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
        <w:spacing w:after="0"/>
        <w:rPr>
          <w:sz w:val="20"/>
          <w:szCs w:val="20"/>
          <w:color w:val="auto"/>
        </w:rPr>
      </w:pPr>
      <w:r>
        <w:rPr>
          <w:rFonts w:ascii="Arial" w:cs="Arial" w:eastAsia="Arial" w:hAnsi="Arial"/>
          <w:sz w:val="11"/>
          <w:szCs w:val="11"/>
          <w:b w:val="1"/>
          <w:bCs w:val="1"/>
          <w:color w:val="auto"/>
        </w:rPr>
        <w:t>UNITED STATES</w:t>
      </w:r>
    </w:p>
    <w:p>
      <w:pPr>
        <w:spacing w:after="0" w:line="2" w:lineRule="exact"/>
        <w:rPr>
          <w:sz w:val="24"/>
          <w:szCs w:val="24"/>
          <w:color w:val="auto"/>
        </w:rPr>
      </w:pPr>
    </w:p>
    <w:p>
      <w:pPr>
        <w:jc w:val="center"/>
        <w:ind w:right="18"/>
        <w:spacing w:after="0"/>
        <w:rPr>
          <w:sz w:val="20"/>
          <w:szCs w:val="20"/>
          <w:color w:val="auto"/>
        </w:rPr>
      </w:pPr>
      <w:r>
        <w:rPr>
          <w:rFonts w:ascii="Arial" w:cs="Arial" w:eastAsia="Arial" w:hAnsi="Arial"/>
          <w:sz w:val="14"/>
          <w:szCs w:val="14"/>
          <w:b w:val="1"/>
          <w:bCs w:val="1"/>
          <w:color w:val="auto"/>
        </w:rPr>
        <w:t>SECURITIES AND EXCHANGE COMMISSION</w:t>
      </w:r>
    </w:p>
    <w:p>
      <w:pPr>
        <w:jc w:val="center"/>
        <w:ind w:right="18"/>
        <w:spacing w:after="0" w:line="211" w:lineRule="auto"/>
        <w:rPr>
          <w:sz w:val="20"/>
          <w:szCs w:val="20"/>
          <w:color w:val="auto"/>
        </w:rPr>
      </w:pPr>
      <w:r>
        <w:rPr>
          <w:rFonts w:ascii="Arial" w:cs="Arial" w:eastAsia="Arial" w:hAnsi="Arial"/>
          <w:sz w:val="10"/>
          <w:szCs w:val="10"/>
          <w:b w:val="1"/>
          <w:bCs w:val="1"/>
          <w:color w:val="auto"/>
        </w:rPr>
        <w:t>Washington, D.C. 20549</w:t>
      </w:r>
    </w:p>
    <w:p>
      <w:pPr>
        <w:ind w:left="4422"/>
        <w:spacing w:after="0"/>
        <w:rPr>
          <w:sz w:val="20"/>
          <w:szCs w:val="20"/>
          <w:color w:val="auto"/>
        </w:rPr>
      </w:pPr>
      <w:r>
        <w:rPr>
          <w:rFonts w:ascii="Arial" w:cs="Arial" w:eastAsia="Arial" w:hAnsi="Arial"/>
          <w:sz w:val="6"/>
          <w:szCs w:val="6"/>
          <w:color w:val="auto"/>
        </w:rPr>
        <w:t>_____________________________________________________</w:t>
      </w:r>
    </w:p>
    <w:p>
      <w:pPr>
        <w:spacing w:after="0" w:line="33" w:lineRule="exact"/>
        <w:rPr>
          <w:sz w:val="24"/>
          <w:szCs w:val="24"/>
          <w:color w:val="auto"/>
        </w:rPr>
      </w:pPr>
    </w:p>
    <w:p>
      <w:pPr>
        <w:jc w:val="center"/>
        <w:ind w:right="18"/>
        <w:spacing w:after="0"/>
        <w:rPr>
          <w:sz w:val="20"/>
          <w:szCs w:val="20"/>
          <w:color w:val="auto"/>
        </w:rPr>
      </w:pPr>
      <w:r>
        <w:rPr>
          <w:rFonts w:ascii="Arial" w:cs="Arial" w:eastAsia="Arial" w:hAnsi="Arial"/>
          <w:sz w:val="14"/>
          <w:szCs w:val="14"/>
          <w:b w:val="1"/>
          <w:bCs w:val="1"/>
          <w:color w:val="auto"/>
        </w:rPr>
        <w:t>FORM 10-Q</w:t>
      </w:r>
    </w:p>
    <w:p>
      <w:pPr>
        <w:spacing w:after="0" w:line="5" w:lineRule="exact"/>
        <w:rPr>
          <w:sz w:val="24"/>
          <w:szCs w:val="24"/>
          <w:color w:val="auto"/>
        </w:rPr>
      </w:pPr>
    </w:p>
    <w:p>
      <w:pPr>
        <w:ind w:left="2"/>
        <w:spacing w:after="0"/>
        <w:rPr>
          <w:sz w:val="20"/>
          <w:szCs w:val="20"/>
          <w:color w:val="auto"/>
        </w:rPr>
      </w:pPr>
      <w:r>
        <w:rPr>
          <w:rFonts w:ascii="Arial" w:cs="Arial" w:eastAsia="Arial" w:hAnsi="Arial"/>
          <w:sz w:val="10"/>
          <w:szCs w:val="10"/>
          <w:color w:val="auto"/>
        </w:rPr>
        <w:t>(Mark One)</w:t>
      </w:r>
    </w:p>
    <w:p>
      <w:pPr>
        <w:ind w:left="622" w:hanging="622"/>
        <w:spacing w:after="0"/>
        <w:tabs>
          <w:tab w:leader="none" w:pos="622" w:val="left"/>
        </w:tabs>
        <w:numPr>
          <w:ilvl w:val="0"/>
          <w:numId w:val="1"/>
        </w:numPr>
        <w:rPr>
          <w:rFonts w:ascii="MS PGothic" w:cs="MS PGothic" w:eastAsia="MS PGothic" w:hAnsi="MS PGothic"/>
          <w:sz w:val="10"/>
          <w:szCs w:val="10"/>
          <w:b w:val="1"/>
          <w:bCs w:val="1"/>
          <w:color w:val="auto"/>
        </w:rPr>
      </w:pPr>
      <w:r>
        <w:rPr>
          <w:rFonts w:ascii="Arial" w:cs="Arial" w:eastAsia="Arial" w:hAnsi="Arial"/>
          <w:sz w:val="10"/>
          <w:szCs w:val="10"/>
          <w:b w:val="1"/>
          <w:bCs w:val="1"/>
          <w:color w:val="auto"/>
        </w:rPr>
        <w:t>QUARTERLY REPORT PURSUANT TO SECTION 13 OR 15(D) OF THE SECURITIES EXCHANGE ACT OF 1934</w:t>
      </w:r>
    </w:p>
    <w:p>
      <w:pPr>
        <w:spacing w:after="0" w:line="85" w:lineRule="exact"/>
        <w:rPr>
          <w:sz w:val="24"/>
          <w:szCs w:val="24"/>
          <w:color w:val="auto"/>
        </w:rPr>
      </w:pPr>
    </w:p>
    <w:p>
      <w:pPr>
        <w:jc w:val="center"/>
        <w:ind w:right="18"/>
        <w:spacing w:after="0"/>
        <w:rPr>
          <w:sz w:val="20"/>
          <w:szCs w:val="20"/>
          <w:color w:val="auto"/>
        </w:rPr>
      </w:pPr>
      <w:r>
        <w:rPr>
          <w:rFonts w:ascii="Arial" w:cs="Arial" w:eastAsia="Arial" w:hAnsi="Arial"/>
          <w:sz w:val="10"/>
          <w:szCs w:val="10"/>
          <w:b w:val="1"/>
          <w:bCs w:val="1"/>
          <w:color w:val="auto"/>
        </w:rPr>
        <w:t>For the quarterly period ended: September 30, 2023</w:t>
      </w:r>
    </w:p>
    <w:p>
      <w:pPr>
        <w:spacing w:after="0" w:line="50" w:lineRule="exact"/>
        <w:rPr>
          <w:sz w:val="24"/>
          <w:szCs w:val="24"/>
          <w:color w:val="auto"/>
        </w:rPr>
      </w:pPr>
    </w:p>
    <w:p>
      <w:pPr>
        <w:jc w:val="center"/>
        <w:ind w:right="18"/>
        <w:spacing w:after="0"/>
        <w:rPr>
          <w:sz w:val="20"/>
          <w:szCs w:val="20"/>
          <w:color w:val="auto"/>
        </w:rPr>
      </w:pPr>
      <w:r>
        <w:rPr>
          <w:rFonts w:ascii="Arial" w:cs="Arial" w:eastAsia="Arial" w:hAnsi="Arial"/>
          <w:sz w:val="10"/>
          <w:szCs w:val="10"/>
          <w:b w:val="1"/>
          <w:bCs w:val="1"/>
          <w:color w:val="auto"/>
        </w:rPr>
        <w:t>OR</w:t>
      </w:r>
    </w:p>
    <w:p>
      <w:pPr>
        <w:spacing w:after="0" w:line="7" w:lineRule="exact"/>
        <w:rPr>
          <w:sz w:val="24"/>
          <w:szCs w:val="24"/>
          <w:color w:val="auto"/>
        </w:rPr>
      </w:pPr>
    </w:p>
    <w:p>
      <w:pPr>
        <w:ind w:left="622" w:hanging="622"/>
        <w:spacing w:after="0"/>
        <w:tabs>
          <w:tab w:leader="none" w:pos="622" w:val="left"/>
        </w:tabs>
        <w:numPr>
          <w:ilvl w:val="0"/>
          <w:numId w:val="2"/>
        </w:numPr>
        <w:rPr>
          <w:rFonts w:ascii="MS PGothic" w:cs="MS PGothic" w:eastAsia="MS PGothic" w:hAnsi="MS PGothic"/>
          <w:sz w:val="10"/>
          <w:szCs w:val="10"/>
          <w:b w:val="1"/>
          <w:bCs w:val="1"/>
          <w:color w:val="auto"/>
        </w:rPr>
      </w:pPr>
      <w:r>
        <w:rPr>
          <w:rFonts w:ascii="Arial" w:cs="Arial" w:eastAsia="Arial" w:hAnsi="Arial"/>
          <w:sz w:val="10"/>
          <w:szCs w:val="10"/>
          <w:b w:val="1"/>
          <w:bCs w:val="1"/>
          <w:color w:val="auto"/>
        </w:rPr>
        <w:t>TRANSITION REPORT PURSUANT TO SECTION 13 OR 15(D) OF THE SECURITIES EXCHANGE ACT OF 1934</w:t>
      </w:r>
    </w:p>
    <w:p>
      <w:pPr>
        <w:spacing w:after="0" w:line="85" w:lineRule="exact"/>
        <w:rPr>
          <w:sz w:val="24"/>
          <w:szCs w:val="24"/>
          <w:color w:val="auto"/>
        </w:rPr>
      </w:pPr>
    </w:p>
    <w:tbl>
      <w:tblPr>
        <w:tblLayout w:type="fixed"/>
        <w:tblInd w:w="2" w:type="dxa"/>
        <w:tblCellMar>
          <w:top w:w="0" w:type="dxa"/>
          <w:left w:w="0" w:type="dxa"/>
          <w:bottom w:w="0" w:type="dxa"/>
          <w:right w:w="0" w:type="dxa"/>
        </w:tblCellMar>
      </w:tblPr>
      <w:tr>
        <w:trPr>
          <w:trHeight w:val="136"/>
        </w:trPr>
        <w:tc>
          <w:tcPr>
            <w:tcW w:w="3760" w:type="dxa"/>
            <w:vAlign w:val="bottom"/>
          </w:tcPr>
          <w:p>
            <w:pPr>
              <w:spacing w:after="0"/>
              <w:rPr>
                <w:sz w:val="11"/>
                <w:szCs w:val="11"/>
                <w:color w:val="auto"/>
              </w:rPr>
            </w:pPr>
          </w:p>
        </w:tc>
        <w:tc>
          <w:tcPr>
            <w:tcW w:w="3260" w:type="dxa"/>
            <w:vAlign w:val="bottom"/>
            <w:gridSpan w:val="3"/>
          </w:tcPr>
          <w:p>
            <w:pPr>
              <w:jc w:val="center"/>
              <w:ind w:right="114"/>
              <w:spacing w:after="0"/>
              <w:rPr>
                <w:sz w:val="20"/>
                <w:szCs w:val="20"/>
                <w:color w:val="auto"/>
              </w:rPr>
            </w:pPr>
            <w:r>
              <w:rPr>
                <w:rFonts w:ascii="Arial" w:cs="Arial" w:eastAsia="Arial" w:hAnsi="Arial"/>
                <w:sz w:val="10"/>
                <w:szCs w:val="10"/>
                <w:b w:val="1"/>
                <w:bCs w:val="1"/>
                <w:color w:val="auto"/>
                <w:w w:val="97"/>
              </w:rPr>
              <w:t>For the transition period from ___________ to ___________</w:t>
            </w:r>
          </w:p>
        </w:tc>
        <w:tc>
          <w:tcPr>
            <w:tcW w:w="1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jc w:val="center"/>
              <w:ind w:right="974"/>
              <w:spacing w:after="0"/>
              <w:rPr>
                <w:sz w:val="20"/>
                <w:szCs w:val="20"/>
                <w:color w:val="auto"/>
              </w:rPr>
            </w:pPr>
            <w:r>
              <w:rPr>
                <w:rFonts w:ascii="Arial" w:cs="Arial" w:eastAsia="Arial" w:hAnsi="Arial"/>
                <w:sz w:val="10"/>
                <w:szCs w:val="10"/>
                <w:color w:val="auto"/>
                <w:w w:val="97"/>
              </w:rPr>
              <w:t>Commission file number 1-8625</w:t>
            </w:r>
          </w:p>
        </w:tc>
        <w:tc>
          <w:tcPr>
            <w:tcW w:w="1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0"/>
        </w:trPr>
        <w:tc>
          <w:tcPr>
            <w:tcW w:w="3760" w:type="dxa"/>
            <w:vAlign w:val="bottom"/>
          </w:tcPr>
          <w:p>
            <w:pPr>
              <w:spacing w:after="0"/>
              <w:rPr>
                <w:sz w:val="24"/>
                <w:szCs w:val="24"/>
                <w:color w:val="auto"/>
              </w:rPr>
            </w:pPr>
          </w:p>
        </w:tc>
        <w:tc>
          <w:tcPr>
            <w:tcW w:w="3260" w:type="dxa"/>
            <w:vAlign w:val="bottom"/>
            <w:gridSpan w:val="3"/>
          </w:tcPr>
          <w:p>
            <w:pPr>
              <w:jc w:val="center"/>
              <w:ind w:right="114"/>
              <w:spacing w:after="0"/>
              <w:rPr>
                <w:sz w:val="20"/>
                <w:szCs w:val="20"/>
                <w:color w:val="auto"/>
              </w:rPr>
            </w:pPr>
            <w:r>
              <w:rPr>
                <w:rFonts w:ascii="Arial" w:cs="Arial" w:eastAsia="Arial" w:hAnsi="Arial"/>
                <w:sz w:val="14"/>
                <w:szCs w:val="14"/>
                <w:b w:val="1"/>
                <w:bCs w:val="1"/>
                <w:color w:val="auto"/>
              </w:rPr>
              <w:t>READING INTERNATIONAL, INC.</w:t>
            </w: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760" w:type="dxa"/>
            <w:vAlign w:val="bottom"/>
          </w:tcPr>
          <w:p>
            <w:pPr>
              <w:spacing w:after="0"/>
              <w:rPr>
                <w:sz w:val="10"/>
                <w:szCs w:val="10"/>
                <w:color w:val="auto"/>
              </w:rPr>
            </w:pPr>
          </w:p>
        </w:tc>
        <w:tc>
          <w:tcPr>
            <w:tcW w:w="3260" w:type="dxa"/>
            <w:vAlign w:val="bottom"/>
            <w:gridSpan w:val="3"/>
          </w:tcPr>
          <w:p>
            <w:pPr>
              <w:jc w:val="center"/>
              <w:ind w:right="114"/>
              <w:spacing w:after="0"/>
              <w:rPr>
                <w:sz w:val="20"/>
                <w:szCs w:val="20"/>
                <w:color w:val="auto"/>
              </w:rPr>
            </w:pPr>
            <w:r>
              <w:rPr>
                <w:rFonts w:ascii="Arial" w:cs="Arial" w:eastAsia="Arial" w:hAnsi="Arial"/>
                <w:sz w:val="10"/>
                <w:szCs w:val="10"/>
                <w:color w:val="auto"/>
                <w:w w:val="97"/>
              </w:rPr>
              <w:t>(Exact name of Registrant as specified in its charter)</w:t>
            </w:r>
          </w:p>
        </w:tc>
        <w:tc>
          <w:tcPr>
            <w:tcW w:w="1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760" w:type="dxa"/>
            <w:vAlign w:val="bottom"/>
          </w:tcPr>
          <w:p>
            <w:pPr>
              <w:jc w:val="center"/>
              <w:ind w:left="1494"/>
              <w:spacing w:after="0"/>
              <w:rPr>
                <w:sz w:val="20"/>
                <w:szCs w:val="20"/>
                <w:color w:val="auto"/>
              </w:rPr>
            </w:pPr>
            <w:r>
              <w:rPr>
                <w:rFonts w:ascii="Arial" w:cs="Arial" w:eastAsia="Arial" w:hAnsi="Arial"/>
                <w:sz w:val="10"/>
                <w:szCs w:val="10"/>
                <w:b w:val="1"/>
                <w:bCs w:val="1"/>
                <w:color w:val="auto"/>
                <w:w w:val="95"/>
              </w:rPr>
              <w:t>Nevada</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600" w:type="dxa"/>
            <w:vAlign w:val="bottom"/>
            <w:gridSpan w:val="2"/>
          </w:tcPr>
          <w:p>
            <w:pPr>
              <w:jc w:val="right"/>
              <w:ind w:right="2356"/>
              <w:spacing w:after="0"/>
              <w:rPr>
                <w:sz w:val="20"/>
                <w:szCs w:val="20"/>
                <w:color w:val="auto"/>
              </w:rPr>
            </w:pPr>
            <w:r>
              <w:rPr>
                <w:rFonts w:ascii="Arial" w:cs="Arial" w:eastAsia="Arial" w:hAnsi="Arial"/>
                <w:sz w:val="10"/>
                <w:szCs w:val="10"/>
                <w:b w:val="1"/>
                <w:bCs w:val="1"/>
                <w:color w:val="auto"/>
              </w:rPr>
              <w:t>95-3885184</w:t>
            </w:r>
          </w:p>
        </w:tc>
        <w:tc>
          <w:tcPr>
            <w:tcW w:w="0" w:type="dxa"/>
            <w:vAlign w:val="bottom"/>
          </w:tcPr>
          <w:p>
            <w:pPr>
              <w:spacing w:after="0"/>
              <w:rPr>
                <w:sz w:val="1"/>
                <w:szCs w:val="1"/>
                <w:color w:val="auto"/>
              </w:rPr>
            </w:pPr>
          </w:p>
        </w:tc>
      </w:tr>
      <w:tr>
        <w:trPr>
          <w:trHeight w:val="105"/>
        </w:trPr>
        <w:tc>
          <w:tcPr>
            <w:tcW w:w="3760" w:type="dxa"/>
            <w:vAlign w:val="bottom"/>
          </w:tcPr>
          <w:p>
            <w:pPr>
              <w:jc w:val="center"/>
              <w:ind w:left="1494"/>
              <w:spacing w:after="0"/>
              <w:rPr>
                <w:sz w:val="20"/>
                <w:szCs w:val="20"/>
                <w:color w:val="auto"/>
              </w:rPr>
            </w:pPr>
            <w:r>
              <w:rPr>
                <w:rFonts w:ascii="Arial" w:cs="Arial" w:eastAsia="Arial" w:hAnsi="Arial"/>
                <w:sz w:val="8"/>
                <w:szCs w:val="8"/>
                <w:color w:val="auto"/>
              </w:rPr>
              <w:t>State or other jurisdiction of incorporation or organization)</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tcPr>
          <w:p>
            <w:pPr>
              <w:jc w:val="center"/>
              <w:ind w:right="1776"/>
              <w:spacing w:after="0"/>
              <w:rPr>
                <w:sz w:val="20"/>
                <w:szCs w:val="20"/>
                <w:color w:val="auto"/>
              </w:rPr>
            </w:pPr>
            <w:r>
              <w:rPr>
                <w:rFonts w:ascii="Arial" w:cs="Arial" w:eastAsia="Arial" w:hAnsi="Arial"/>
                <w:sz w:val="8"/>
                <w:szCs w:val="8"/>
                <w:color w:val="auto"/>
              </w:rPr>
              <w:t>(IRS Employer Identification Number)</w:t>
            </w:r>
          </w:p>
        </w:tc>
        <w:tc>
          <w:tcPr>
            <w:tcW w:w="0" w:type="dxa"/>
            <w:vAlign w:val="bottom"/>
          </w:tcPr>
          <w:p>
            <w:pPr>
              <w:spacing w:after="0"/>
              <w:rPr>
                <w:sz w:val="1"/>
                <w:szCs w:val="1"/>
                <w:color w:val="auto"/>
              </w:rPr>
            </w:pPr>
          </w:p>
        </w:tc>
      </w:tr>
      <w:tr>
        <w:trPr>
          <w:trHeight w:val="146"/>
        </w:trPr>
        <w:tc>
          <w:tcPr>
            <w:tcW w:w="3760" w:type="dxa"/>
            <w:vAlign w:val="bottom"/>
          </w:tcPr>
          <w:p>
            <w:pPr>
              <w:jc w:val="center"/>
              <w:ind w:left="1494"/>
              <w:spacing w:after="0"/>
              <w:rPr>
                <w:sz w:val="20"/>
                <w:szCs w:val="20"/>
                <w:color w:val="auto"/>
              </w:rPr>
            </w:pPr>
            <w:r>
              <w:rPr>
                <w:rFonts w:ascii="Arial" w:cs="Arial" w:eastAsia="Arial" w:hAnsi="Arial"/>
                <w:sz w:val="10"/>
                <w:szCs w:val="10"/>
                <w:b w:val="1"/>
                <w:bCs w:val="1"/>
                <w:color w:val="auto"/>
                <w:w w:val="96"/>
              </w:rPr>
              <w:t>189 Second Avenue, Suite 2S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600" w:type="dxa"/>
            <w:vAlign w:val="bottom"/>
            <w:gridSpan w:val="2"/>
            <w:vMerge w:val="restart"/>
          </w:tcPr>
          <w:p>
            <w:pPr>
              <w:jc w:val="right"/>
              <w:ind w:right="2476"/>
              <w:spacing w:after="0"/>
              <w:rPr>
                <w:sz w:val="20"/>
                <w:szCs w:val="20"/>
                <w:color w:val="auto"/>
              </w:rPr>
            </w:pPr>
            <w:r>
              <w:rPr>
                <w:rFonts w:ascii="Arial" w:cs="Arial" w:eastAsia="Arial" w:hAnsi="Arial"/>
                <w:sz w:val="10"/>
                <w:szCs w:val="10"/>
                <w:b w:val="1"/>
                <w:bCs w:val="1"/>
                <w:color w:val="auto"/>
              </w:rPr>
              <w:t>10003</w:t>
            </w:r>
          </w:p>
        </w:tc>
        <w:tc>
          <w:tcPr>
            <w:tcW w:w="0" w:type="dxa"/>
            <w:vAlign w:val="bottom"/>
          </w:tcPr>
          <w:p>
            <w:pPr>
              <w:spacing w:after="0"/>
              <w:rPr>
                <w:sz w:val="1"/>
                <w:szCs w:val="1"/>
                <w:color w:val="auto"/>
              </w:rPr>
            </w:pPr>
          </w:p>
        </w:tc>
      </w:tr>
      <w:tr>
        <w:trPr>
          <w:trHeight w:val="102"/>
        </w:trPr>
        <w:tc>
          <w:tcPr>
            <w:tcW w:w="3760" w:type="dxa"/>
            <w:vAlign w:val="bottom"/>
          </w:tcPr>
          <w:p>
            <w:pPr>
              <w:jc w:val="center"/>
              <w:ind w:left="1494"/>
              <w:spacing w:after="0" w:line="103" w:lineRule="exact"/>
              <w:rPr>
                <w:sz w:val="20"/>
                <w:szCs w:val="20"/>
                <w:color w:val="auto"/>
              </w:rPr>
            </w:pPr>
            <w:r>
              <w:rPr>
                <w:rFonts w:ascii="Arial" w:cs="Arial" w:eastAsia="Arial" w:hAnsi="Arial"/>
                <w:sz w:val="10"/>
                <w:szCs w:val="10"/>
                <w:b w:val="1"/>
                <w:bCs w:val="1"/>
                <w:color w:val="auto"/>
                <w:w w:val="97"/>
              </w:rPr>
              <w:t>New York, New York</w:t>
            </w: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760" w:type="dxa"/>
            <w:vAlign w:val="bottom"/>
          </w:tcPr>
          <w:p>
            <w:pPr>
              <w:jc w:val="center"/>
              <w:ind w:left="1494"/>
              <w:spacing w:after="0"/>
              <w:rPr>
                <w:sz w:val="20"/>
                <w:szCs w:val="20"/>
                <w:color w:val="auto"/>
              </w:rPr>
            </w:pPr>
            <w:r>
              <w:rPr>
                <w:rFonts w:ascii="Arial" w:cs="Arial" w:eastAsia="Arial" w:hAnsi="Arial"/>
                <w:sz w:val="8"/>
                <w:szCs w:val="8"/>
                <w:color w:val="auto"/>
              </w:rPr>
              <w:t>(Address of principal executive offices)</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tcPr>
          <w:p>
            <w:pPr>
              <w:jc w:val="center"/>
              <w:ind w:right="1756"/>
              <w:spacing w:after="0"/>
              <w:rPr>
                <w:sz w:val="20"/>
                <w:szCs w:val="20"/>
                <w:color w:val="auto"/>
              </w:rPr>
            </w:pPr>
            <w:r>
              <w:rPr>
                <w:rFonts w:ascii="Arial" w:cs="Arial" w:eastAsia="Arial" w:hAnsi="Arial"/>
                <w:sz w:val="8"/>
                <w:szCs w:val="8"/>
                <w:color w:val="auto"/>
              </w:rPr>
              <w:t>(Zip Code)</w:t>
            </w:r>
          </w:p>
        </w:tc>
        <w:tc>
          <w:tcPr>
            <w:tcW w:w="0" w:type="dxa"/>
            <w:vAlign w:val="bottom"/>
          </w:tcPr>
          <w:p>
            <w:pPr>
              <w:spacing w:after="0"/>
              <w:rPr>
                <w:sz w:val="1"/>
                <w:szCs w:val="1"/>
                <w:color w:val="auto"/>
              </w:rPr>
            </w:pPr>
          </w:p>
        </w:tc>
      </w:tr>
      <w:tr>
        <w:trPr>
          <w:trHeight w:val="282"/>
        </w:trPr>
        <w:tc>
          <w:tcPr>
            <w:tcW w:w="3760" w:type="dxa"/>
            <w:vAlign w:val="bottom"/>
          </w:tcPr>
          <w:p>
            <w:pPr>
              <w:spacing w:after="0"/>
              <w:rPr>
                <w:sz w:val="24"/>
                <w:szCs w:val="24"/>
                <w:color w:val="auto"/>
              </w:rPr>
            </w:pPr>
          </w:p>
        </w:tc>
        <w:tc>
          <w:tcPr>
            <w:tcW w:w="3260" w:type="dxa"/>
            <w:vAlign w:val="bottom"/>
            <w:gridSpan w:val="3"/>
          </w:tcPr>
          <w:p>
            <w:pPr>
              <w:jc w:val="center"/>
              <w:ind w:right="114"/>
              <w:spacing w:after="0"/>
              <w:rPr>
                <w:sz w:val="20"/>
                <w:szCs w:val="20"/>
                <w:color w:val="auto"/>
              </w:rPr>
            </w:pPr>
            <w:r>
              <w:rPr>
                <w:rFonts w:ascii="Arial" w:cs="Arial" w:eastAsia="Arial" w:hAnsi="Arial"/>
                <w:sz w:val="10"/>
                <w:szCs w:val="10"/>
                <w:color w:val="auto"/>
                <w:w w:val="97"/>
              </w:rPr>
              <w:t xml:space="preserve">Registrant’s telephone number, including area code: </w:t>
            </w:r>
            <w:r>
              <w:rPr>
                <w:rFonts w:ascii="Arial" w:cs="Arial" w:eastAsia="Arial" w:hAnsi="Arial"/>
                <w:sz w:val="10"/>
                <w:szCs w:val="10"/>
                <w:b w:val="1"/>
                <w:bCs w:val="1"/>
                <w:color w:val="auto"/>
                <w:w w:val="97"/>
              </w:rPr>
              <w:t>(213) 235-2240</w:t>
            </w: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760" w:type="dxa"/>
            <w:vAlign w:val="bottom"/>
          </w:tcPr>
          <w:p>
            <w:pPr>
              <w:spacing w:after="0"/>
              <w:rPr>
                <w:sz w:val="17"/>
                <w:szCs w:val="17"/>
                <w:color w:val="auto"/>
              </w:rPr>
            </w:pPr>
          </w:p>
        </w:tc>
        <w:tc>
          <w:tcPr>
            <w:tcW w:w="3260" w:type="dxa"/>
            <w:vAlign w:val="bottom"/>
            <w:gridSpan w:val="3"/>
          </w:tcPr>
          <w:p>
            <w:pPr>
              <w:jc w:val="center"/>
              <w:ind w:right="114"/>
              <w:spacing w:after="0"/>
              <w:rPr>
                <w:sz w:val="20"/>
                <w:szCs w:val="20"/>
                <w:color w:val="auto"/>
              </w:rPr>
            </w:pPr>
            <w:r>
              <w:rPr>
                <w:rFonts w:ascii="Arial" w:cs="Arial" w:eastAsia="Arial" w:hAnsi="Arial"/>
                <w:sz w:val="10"/>
                <w:szCs w:val="10"/>
                <w:color w:val="auto"/>
                <w:w w:val="96"/>
              </w:rPr>
              <w:t>Securities registered pursuant to Section 12(b) of the Act:</w:t>
            </w:r>
          </w:p>
        </w:tc>
        <w:tc>
          <w:tcPr>
            <w:tcW w:w="1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3760" w:type="dxa"/>
            <w:vAlign w:val="bottom"/>
            <w:tcBorders>
              <w:bottom w:val="single" w:sz="8" w:color="auto"/>
            </w:tcBorders>
          </w:tcPr>
          <w:p>
            <w:pPr>
              <w:jc w:val="center"/>
              <w:ind w:left="674"/>
              <w:spacing w:after="0"/>
              <w:rPr>
                <w:sz w:val="20"/>
                <w:szCs w:val="20"/>
                <w:color w:val="auto"/>
              </w:rPr>
            </w:pPr>
            <w:r>
              <w:rPr>
                <w:rFonts w:ascii="Arial" w:cs="Arial" w:eastAsia="Arial" w:hAnsi="Arial"/>
                <w:sz w:val="9"/>
                <w:szCs w:val="9"/>
                <w:color w:val="auto"/>
                <w:w w:val="99"/>
              </w:rPr>
              <w:t>Title of each class</w:t>
            </w: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w w:val="98"/>
              </w:rPr>
              <w:t>Trading Symbol</w:t>
            </w:r>
          </w:p>
        </w:tc>
        <w:tc>
          <w:tcPr>
            <w:tcW w:w="100" w:type="dxa"/>
            <w:vAlign w:val="bottom"/>
          </w:tcPr>
          <w:p>
            <w:pPr>
              <w:spacing w:after="0"/>
              <w:rPr>
                <w:sz w:val="9"/>
                <w:szCs w:val="9"/>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w w:val="99"/>
              </w:rPr>
              <w:t>Name of each exchange on which registered</w:t>
            </w:r>
          </w:p>
        </w:tc>
        <w:tc>
          <w:tcPr>
            <w:tcW w:w="0" w:type="dxa"/>
            <w:vAlign w:val="bottom"/>
          </w:tcPr>
          <w:p>
            <w:pPr>
              <w:spacing w:after="0"/>
              <w:rPr>
                <w:sz w:val="1"/>
                <w:szCs w:val="1"/>
                <w:color w:val="auto"/>
              </w:rPr>
            </w:pPr>
          </w:p>
        </w:tc>
      </w:tr>
      <w:tr>
        <w:trPr>
          <w:trHeight w:val="82"/>
        </w:trPr>
        <w:tc>
          <w:tcPr>
            <w:tcW w:w="3760" w:type="dxa"/>
            <w:vAlign w:val="bottom"/>
          </w:tcPr>
          <w:p>
            <w:pPr>
              <w:jc w:val="center"/>
              <w:ind w:left="674"/>
              <w:spacing w:after="0" w:line="82" w:lineRule="exact"/>
              <w:rPr>
                <w:sz w:val="20"/>
                <w:szCs w:val="20"/>
                <w:color w:val="auto"/>
              </w:rPr>
            </w:pPr>
            <w:r>
              <w:rPr>
                <w:rFonts w:ascii="Arial" w:cs="Arial" w:eastAsia="Arial" w:hAnsi="Arial"/>
                <w:sz w:val="9"/>
                <w:szCs w:val="9"/>
                <w:b w:val="1"/>
                <w:bCs w:val="1"/>
                <w:color w:val="auto"/>
              </w:rPr>
              <w:t>Class A Nonvoting Common Stock, $0.01 par value</w:t>
            </w: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0" w:type="dxa"/>
            <w:vAlign w:val="bottom"/>
          </w:tcPr>
          <w:p>
            <w:pPr>
              <w:jc w:val="center"/>
              <w:spacing w:after="0" w:line="82" w:lineRule="exact"/>
              <w:rPr>
                <w:sz w:val="20"/>
                <w:szCs w:val="20"/>
                <w:color w:val="auto"/>
              </w:rPr>
            </w:pPr>
            <w:r>
              <w:rPr>
                <w:rFonts w:ascii="Arial" w:cs="Arial" w:eastAsia="Arial" w:hAnsi="Arial"/>
                <w:sz w:val="9"/>
                <w:szCs w:val="9"/>
                <w:b w:val="1"/>
                <w:bCs w:val="1"/>
                <w:color w:val="auto"/>
              </w:rPr>
              <w:t>RDI</w:t>
            </w:r>
          </w:p>
        </w:tc>
        <w:tc>
          <w:tcPr>
            <w:tcW w:w="100" w:type="dxa"/>
            <w:vAlign w:val="bottom"/>
          </w:tcPr>
          <w:p>
            <w:pPr>
              <w:spacing w:after="0"/>
              <w:rPr>
                <w:sz w:val="7"/>
                <w:szCs w:val="7"/>
                <w:color w:val="auto"/>
              </w:rPr>
            </w:pPr>
          </w:p>
        </w:tc>
        <w:tc>
          <w:tcPr>
            <w:tcW w:w="3500" w:type="dxa"/>
            <w:vAlign w:val="bottom"/>
          </w:tcPr>
          <w:p>
            <w:pPr>
              <w:jc w:val="center"/>
              <w:spacing w:after="0" w:line="82" w:lineRule="exact"/>
              <w:rPr>
                <w:sz w:val="20"/>
                <w:szCs w:val="20"/>
                <w:color w:val="auto"/>
              </w:rPr>
            </w:pPr>
            <w:r>
              <w:rPr>
                <w:rFonts w:ascii="Arial" w:cs="Arial" w:eastAsia="Arial" w:hAnsi="Arial"/>
                <w:sz w:val="9"/>
                <w:szCs w:val="9"/>
                <w:b w:val="1"/>
                <w:bCs w:val="1"/>
                <w:color w:val="auto"/>
              </w:rPr>
              <w:t>The Nasdaq Stock Market LLC</w:t>
            </w:r>
          </w:p>
        </w:tc>
        <w:tc>
          <w:tcPr>
            <w:tcW w:w="0" w:type="dxa"/>
            <w:vAlign w:val="bottom"/>
          </w:tcPr>
          <w:p>
            <w:pPr>
              <w:spacing w:after="0"/>
              <w:rPr>
                <w:sz w:val="1"/>
                <w:szCs w:val="1"/>
                <w:color w:val="auto"/>
              </w:rPr>
            </w:pPr>
          </w:p>
        </w:tc>
      </w:tr>
      <w:tr>
        <w:trPr>
          <w:trHeight w:val="136"/>
        </w:trPr>
        <w:tc>
          <w:tcPr>
            <w:tcW w:w="3760" w:type="dxa"/>
            <w:vAlign w:val="bottom"/>
          </w:tcPr>
          <w:p>
            <w:pPr>
              <w:jc w:val="center"/>
              <w:ind w:left="694"/>
              <w:spacing w:after="0"/>
              <w:rPr>
                <w:sz w:val="20"/>
                <w:szCs w:val="20"/>
                <w:color w:val="auto"/>
              </w:rPr>
            </w:pPr>
            <w:r>
              <w:rPr>
                <w:rFonts w:ascii="Arial" w:cs="Arial" w:eastAsia="Arial" w:hAnsi="Arial"/>
                <w:sz w:val="10"/>
                <w:szCs w:val="10"/>
                <w:b w:val="1"/>
                <w:bCs w:val="1"/>
                <w:color w:val="auto"/>
                <w:w w:val="97"/>
              </w:rPr>
              <w:t>Class B Voting Common Stock, $0.01 par value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tcPr>
          <w:p>
            <w:pPr>
              <w:jc w:val="center"/>
              <w:spacing w:after="0"/>
              <w:rPr>
                <w:sz w:val="20"/>
                <w:szCs w:val="20"/>
                <w:color w:val="auto"/>
              </w:rPr>
            </w:pPr>
            <w:r>
              <w:rPr>
                <w:rFonts w:ascii="Arial" w:cs="Arial" w:eastAsia="Arial" w:hAnsi="Arial"/>
                <w:sz w:val="10"/>
                <w:szCs w:val="10"/>
                <w:b w:val="1"/>
                <w:bCs w:val="1"/>
                <w:color w:val="auto"/>
                <w:w w:val="89"/>
              </w:rPr>
              <w:t>RDIB</w:t>
            </w:r>
          </w:p>
        </w:tc>
        <w:tc>
          <w:tcPr>
            <w:tcW w:w="100" w:type="dxa"/>
            <w:vAlign w:val="bottom"/>
          </w:tcPr>
          <w:p>
            <w:pPr>
              <w:spacing w:after="0"/>
              <w:rPr>
                <w:sz w:val="11"/>
                <w:szCs w:val="11"/>
                <w:color w:val="auto"/>
              </w:rPr>
            </w:pPr>
          </w:p>
        </w:tc>
        <w:tc>
          <w:tcPr>
            <w:tcW w:w="3500" w:type="dxa"/>
            <w:vAlign w:val="bottom"/>
          </w:tcPr>
          <w:p>
            <w:pPr>
              <w:jc w:val="center"/>
              <w:spacing w:after="0"/>
              <w:rPr>
                <w:sz w:val="20"/>
                <w:szCs w:val="20"/>
                <w:color w:val="auto"/>
              </w:rPr>
            </w:pPr>
            <w:r>
              <w:rPr>
                <w:rFonts w:ascii="Arial" w:cs="Arial" w:eastAsia="Arial" w:hAnsi="Arial"/>
                <w:sz w:val="10"/>
                <w:szCs w:val="10"/>
                <w:b w:val="1"/>
                <w:bCs w:val="1"/>
                <w:color w:val="auto"/>
                <w:w w:val="98"/>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2809875</wp:posOffset>
            </wp:positionH>
            <wp:positionV relativeFrom="paragraph">
              <wp:posOffset>-1555750</wp:posOffset>
            </wp:positionV>
            <wp:extent cx="1123950" cy="424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950" cy="424180"/>
                    </a:xfrm>
                    <a:prstGeom prst="rect">
                      <a:avLst/>
                    </a:prstGeom>
                    <a:noFill/>
                  </pic:spPr>
                </pic:pic>
              </a:graphicData>
            </a:graphic>
          </wp:anchor>
        </w:drawing>
      </w:r>
    </w:p>
    <w:p>
      <w:pPr>
        <w:spacing w:after="0" w:line="60" w:lineRule="exact"/>
        <w:rPr>
          <w:sz w:val="24"/>
          <w:szCs w:val="24"/>
          <w:color w:val="auto"/>
        </w:rPr>
      </w:pPr>
    </w:p>
    <w:p>
      <w:pPr>
        <w:jc w:val="both"/>
        <w:ind w:left="2"/>
        <w:spacing w:after="0" w:line="122"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8" w:lineRule="exact"/>
        <w:rPr>
          <w:sz w:val="24"/>
          <w:szCs w:val="24"/>
          <w:color w:val="auto"/>
        </w:rPr>
      </w:pPr>
    </w:p>
    <w:p>
      <w:pPr>
        <w:ind w:left="2" w:right="160"/>
        <w:spacing w:after="0" w:line="122"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8" w:lineRule="exact"/>
        <w:rPr>
          <w:sz w:val="24"/>
          <w:szCs w:val="24"/>
          <w:color w:val="auto"/>
        </w:rPr>
      </w:pPr>
    </w:p>
    <w:p>
      <w:pPr>
        <w:ind w:left="2" w:right="240"/>
        <w:spacing w:after="0" w:line="237"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9" w:lineRule="exact"/>
        <w:rPr>
          <w:sz w:val="24"/>
          <w:szCs w:val="24"/>
          <w:color w:val="auto"/>
        </w:rPr>
      </w:pPr>
    </w:p>
    <w:p>
      <w:pPr>
        <w:ind w:left="2"/>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r>
        <w:rPr>
          <w:rFonts w:ascii="Arial" w:cs="Arial" w:eastAsia="Arial" w:hAnsi="Arial"/>
          <w:sz w:val="10"/>
          <w:szCs w:val="10"/>
          <w:color w:val="auto"/>
        </w:rPr>
        <w:t xml:space="preserve"> Accelerated Filer </w:t>
      </w:r>
      <w:r>
        <w:rPr>
          <w:rFonts w:ascii="MS PGothic" w:cs="MS PGothic" w:eastAsia="MS PGothic" w:hAnsi="MS PGothic"/>
          <w:sz w:val="10"/>
          <w:szCs w:val="10"/>
          <w:color w:val="auto"/>
        </w:rPr>
        <w:t>☐</w:t>
      </w:r>
      <w:r>
        <w:rPr>
          <w:rFonts w:ascii="Arial" w:cs="Arial" w:eastAsia="Arial" w:hAnsi="Arial"/>
          <w:sz w:val="10"/>
          <w:szCs w:val="10"/>
          <w:color w:val="auto"/>
        </w:rPr>
        <w:t xml:space="preserve"> Non-Accelerated Filer </w:t>
      </w:r>
      <w:r>
        <w:rPr>
          <w:rFonts w:ascii="MS PGothic" w:cs="MS PGothic" w:eastAsia="MS PGothic" w:hAnsi="MS PGothic"/>
          <w:sz w:val="10"/>
          <w:szCs w:val="10"/>
          <w:color w:val="auto"/>
        </w:rPr>
        <w:t>☑</w:t>
      </w:r>
      <w:r>
        <w:rPr>
          <w:rFonts w:ascii="Arial" w:cs="Arial" w:eastAsia="Arial" w:hAnsi="Arial"/>
          <w:sz w:val="10"/>
          <w:szCs w:val="10"/>
          <w:color w:val="auto"/>
        </w:rPr>
        <w:t xml:space="preserve"> Smaller Reporting Company </w:t>
      </w:r>
      <w:r>
        <w:rPr>
          <w:rFonts w:ascii="MS PGothic" w:cs="MS PGothic" w:eastAsia="MS PGothic" w:hAnsi="MS PGothic"/>
          <w:sz w:val="10"/>
          <w:szCs w:val="10"/>
          <w:color w:val="auto"/>
        </w:rPr>
        <w:t>☑</w:t>
      </w:r>
      <w:r>
        <w:rPr>
          <w:rFonts w:ascii="Arial" w:cs="Arial" w:eastAsia="Arial" w:hAnsi="Arial"/>
          <w:sz w:val="10"/>
          <w:szCs w:val="10"/>
          <w:color w:val="auto"/>
        </w:rPr>
        <w:t xml:space="preserve"> Emerging Growth Company </w:t>
      </w:r>
      <w:r>
        <w:rPr>
          <w:rFonts w:ascii="MS PGothic" w:cs="MS PGothic" w:eastAsia="MS PGothic" w:hAnsi="MS PGothic"/>
          <w:sz w:val="10"/>
          <w:szCs w:val="10"/>
          <w:color w:val="auto"/>
        </w:rPr>
        <w:t>☐</w:t>
      </w:r>
    </w:p>
    <w:p>
      <w:pPr>
        <w:spacing w:after="0" w:line="119" w:lineRule="exact"/>
        <w:rPr>
          <w:sz w:val="24"/>
          <w:szCs w:val="24"/>
          <w:color w:val="auto"/>
        </w:rPr>
      </w:pPr>
    </w:p>
    <w:p>
      <w:pPr>
        <w:ind w:left="2" w:right="40"/>
        <w:spacing w:after="0" w:line="122"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3" w:lineRule="exact"/>
        <w:rPr>
          <w:sz w:val="24"/>
          <w:szCs w:val="24"/>
          <w:color w:val="auto"/>
        </w:rPr>
      </w:pPr>
    </w:p>
    <w:p>
      <w:pPr>
        <w:ind w:left="2"/>
        <w:spacing w:after="0" w:line="115"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74" w:lineRule="exact"/>
        <w:rPr>
          <w:sz w:val="24"/>
          <w:szCs w:val="24"/>
          <w:color w:val="auto"/>
        </w:rPr>
      </w:pPr>
    </w:p>
    <w:p>
      <w:pPr>
        <w:ind w:left="2" w:right="280"/>
        <w:spacing w:after="0" w:line="237" w:lineRule="auto"/>
        <w:rPr>
          <w:sz w:val="20"/>
          <w:szCs w:val="20"/>
          <w:color w:val="auto"/>
        </w:rPr>
      </w:pPr>
      <w:r>
        <w:rPr>
          <w:rFonts w:ascii="Arial" w:cs="Arial" w:eastAsia="Arial" w:hAnsi="Arial"/>
          <w:sz w:val="10"/>
          <w:szCs w:val="10"/>
          <w:color w:val="auto"/>
        </w:rPr>
        <w:t>Indicate the number of shares outstanding of each of the issuer’s classes of common stock, as of the latest practicable date. As of November 13, 2023, there were 20,592,834 shares of Class A Nonvoting Common Stock, $0.01 par value per share, and 1,680,590 shares of Class B Voting Common Stock, $0.01 par value per share, outstanding.</w:t>
      </w:r>
    </w:p>
    <w:p>
      <w:pPr>
        <w:spacing w:after="0" w:line="193" w:lineRule="exact"/>
        <w:rPr>
          <w:sz w:val="24"/>
          <w:szCs w:val="24"/>
          <w:color w:val="auto"/>
        </w:rPr>
      </w:pPr>
    </w:p>
    <w:p>
      <w:pPr>
        <w:jc w:val="center"/>
        <w:ind w:right="18"/>
        <w:spacing w:after="0"/>
        <w:rPr>
          <w:sz w:val="20"/>
          <w:szCs w:val="20"/>
          <w:color w:val="auto"/>
        </w:rPr>
      </w:pPr>
      <w:r>
        <w:rPr>
          <w:rFonts w:ascii="Arial" w:cs="Arial" w:eastAsia="Arial" w:hAnsi="Arial"/>
          <w:sz w:val="10"/>
          <w:szCs w:val="1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97790</wp:posOffset>
            </wp:positionV>
            <wp:extent cx="6778625" cy="34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2"/>
          </w:cols>
          <w:pgMar w:left="638" w:top="551" w:right="62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6"/>
        </w:trPr>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60" w:type="dxa"/>
            <w:vAlign w:val="bottom"/>
            <w:gridSpan w:val="4"/>
          </w:tcPr>
          <w:p>
            <w:pPr>
              <w:jc w:val="center"/>
              <w:ind w:right="2360"/>
              <w:spacing w:after="0"/>
              <w:rPr>
                <w:sz w:val="20"/>
                <w:szCs w:val="20"/>
                <w:color w:val="auto"/>
              </w:rPr>
            </w:pPr>
            <w:r>
              <w:rPr>
                <w:rFonts w:ascii="Arial" w:cs="Arial" w:eastAsia="Arial" w:hAnsi="Arial"/>
                <w:sz w:val="10"/>
                <w:szCs w:val="10"/>
                <w:b w:val="1"/>
                <w:bCs w:val="1"/>
                <w:color w:val="auto"/>
                <w:w w:val="96"/>
              </w:rPr>
              <w:t>READING INTERNATIONAL, INC. AND SUBSIDIARIES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140" w:type="dxa"/>
            <w:vAlign w:val="bottom"/>
            <w:gridSpan w:val="2"/>
          </w:tcPr>
          <w:p>
            <w:pPr>
              <w:jc w:val="center"/>
              <w:ind w:right="4080"/>
              <w:spacing w:after="0"/>
              <w:rPr>
                <w:sz w:val="20"/>
                <w:szCs w:val="20"/>
                <w:color w:val="auto"/>
              </w:rPr>
            </w:pPr>
            <w:r>
              <w:rPr>
                <w:rFonts w:ascii="Arial" w:cs="Arial" w:eastAsia="Arial" w:hAnsi="Arial"/>
                <w:sz w:val="10"/>
                <w:szCs w:val="10"/>
                <w:b w:val="1"/>
                <w:bCs w:val="1"/>
                <w:color w:val="auto"/>
                <w:w w:val="98"/>
              </w:rPr>
              <w:t>TABLE OF CONTENTS</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8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Arial" w:cs="Arial" w:eastAsia="Arial" w:hAnsi="Arial"/>
                <w:sz w:val="10"/>
                <w:szCs w:val="10"/>
                <w:color w:val="auto"/>
                <w:w w:val="94"/>
              </w:rPr>
              <w:t>Page</w:t>
            </w:r>
          </w:p>
        </w:tc>
        <w:tc>
          <w:tcPr>
            <w:tcW w:w="0" w:type="dxa"/>
            <w:vAlign w:val="bottom"/>
          </w:tcPr>
          <w:p>
            <w:pPr>
              <w:spacing w:after="0"/>
              <w:rPr>
                <w:sz w:val="1"/>
                <w:szCs w:val="1"/>
                <w:color w:val="auto"/>
              </w:rPr>
            </w:pPr>
          </w:p>
        </w:tc>
      </w:tr>
      <w:tr>
        <w:trPr>
          <w:trHeight w:val="85"/>
        </w:trPr>
        <w:tc>
          <w:tcPr>
            <w:tcW w:w="9920" w:type="dxa"/>
            <w:vAlign w:val="bottom"/>
            <w:tcBorders>
              <w:top w:val="single" w:sz="8" w:color="CCEEFF"/>
            </w:tcBorders>
            <w:gridSpan w:val="24"/>
            <w:shd w:val="clear" w:color="auto" w:fill="CCEEFF"/>
          </w:tcPr>
          <w:p>
            <w:pPr>
              <w:spacing w:after="0" w:line="85" w:lineRule="exact"/>
              <w:rPr>
                <w:rFonts w:ascii="Arial" w:cs="Arial" w:eastAsia="Arial" w:hAnsi="Arial"/>
                <w:sz w:val="9"/>
                <w:szCs w:val="9"/>
                <w:b w:val="1"/>
                <w:bCs w:val="1"/>
                <w:color w:val="0000FF"/>
              </w:rPr>
            </w:pPr>
            <w:hyperlink w:anchor="page3">
              <w:r>
                <w:rPr>
                  <w:rFonts w:ascii="Arial" w:cs="Arial" w:eastAsia="Arial" w:hAnsi="Arial"/>
                  <w:sz w:val="9"/>
                  <w:szCs w:val="9"/>
                  <w:b w:val="1"/>
                  <w:bCs w:val="1"/>
                  <w:color w:val="0000FF"/>
                </w:rPr>
                <w:t>PART I - Financial Information</w:t>
              </w:r>
            </w:hyperlink>
          </w:p>
        </w:tc>
        <w:tc>
          <w:tcPr>
            <w:tcW w:w="700" w:type="dxa"/>
            <w:vAlign w:val="bottom"/>
            <w:tcBorders>
              <w:top w:val="single" w:sz="8" w:color="auto"/>
            </w:tcBorders>
            <w:shd w:val="clear" w:color="auto" w:fill="CCEEFF"/>
          </w:tcPr>
          <w:p>
            <w:pPr>
              <w:jc w:val="right"/>
              <w:spacing w:after="0" w:line="85" w:lineRule="exact"/>
              <w:rPr>
                <w:sz w:val="20"/>
                <w:szCs w:val="20"/>
                <w:color w:val="auto"/>
              </w:rPr>
            </w:pPr>
            <w:r>
              <w:rPr>
                <w:rFonts w:ascii="Arial" w:cs="Arial" w:eastAsia="Arial" w:hAnsi="Arial"/>
                <w:sz w:val="9"/>
                <w:szCs w:val="9"/>
                <w:color w:val="auto"/>
              </w:rPr>
              <w:t>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0" w:type="dxa"/>
            <w:vAlign w:val="bottom"/>
            <w:tcBorders>
              <w:top w:val="single" w:sz="8" w:color="0000FF"/>
            </w:tcBorders>
          </w:tcPr>
          <w:p>
            <w:pPr>
              <w:spacing w:after="0"/>
              <w:rPr>
                <w:sz w:val="7"/>
                <w:szCs w:val="7"/>
                <w:color w:val="auto"/>
              </w:rPr>
            </w:pPr>
          </w:p>
        </w:tc>
        <w:tc>
          <w:tcPr>
            <w:tcW w:w="1320" w:type="dxa"/>
            <w:vAlign w:val="bottom"/>
            <w:tcBorders>
              <w:top w:val="single" w:sz="8" w:color="0000FF"/>
            </w:tcBorders>
            <w:gridSpan w:val="9"/>
          </w:tcPr>
          <w:p>
            <w:pPr>
              <w:spacing w:after="0" w:line="85" w:lineRule="exact"/>
              <w:rPr>
                <w:rFonts w:ascii="Arial" w:cs="Arial" w:eastAsia="Arial" w:hAnsi="Arial"/>
                <w:sz w:val="9"/>
                <w:szCs w:val="9"/>
                <w:color w:val="0000FF"/>
              </w:rPr>
            </w:pPr>
            <w:hyperlink w:anchor="page1">
              <w:r>
                <w:rPr>
                  <w:rFonts w:ascii="Arial" w:cs="Arial" w:eastAsia="Arial" w:hAnsi="Arial"/>
                  <w:sz w:val="9"/>
                  <w:szCs w:val="9"/>
                  <w:color w:val="0000FF"/>
                </w:rPr>
                <w:t>Item 1 – Financial Statements</w:t>
              </w:r>
            </w:hyperlink>
          </w:p>
        </w:tc>
        <w:tc>
          <w:tcPr>
            <w:tcW w:w="8540" w:type="dxa"/>
            <w:vAlign w:val="bottom"/>
            <w:tcBorders>
              <w:top w:val="single" w:sz="8" w:color="CCEEFF"/>
            </w:tcBorders>
            <w:gridSpan w:val="14"/>
          </w:tcPr>
          <w:p>
            <w:pPr>
              <w:spacing w:after="0"/>
              <w:rPr>
                <w:sz w:val="7"/>
                <w:szCs w:val="7"/>
                <w:color w:val="auto"/>
              </w:rPr>
            </w:pPr>
          </w:p>
        </w:tc>
        <w:tc>
          <w:tcPr>
            <w:tcW w:w="700" w:type="dxa"/>
            <w:vAlign w:val="bottom"/>
            <w:tcBorders>
              <w:top w:val="single" w:sz="8" w:color="CCEEFF"/>
            </w:tcBorders>
          </w:tcPr>
          <w:p>
            <w:pPr>
              <w:jc w:val="right"/>
              <w:spacing w:after="0" w:line="85" w:lineRule="exact"/>
              <w:rPr>
                <w:sz w:val="20"/>
                <w:szCs w:val="20"/>
                <w:color w:val="auto"/>
              </w:rPr>
            </w:pPr>
            <w:r>
              <w:rPr>
                <w:rFonts w:ascii="Arial" w:cs="Arial" w:eastAsia="Arial" w:hAnsi="Arial"/>
                <w:sz w:val="9"/>
                <w:szCs w:val="9"/>
                <w:color w:val="auto"/>
              </w:rPr>
              <w:t>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740" w:type="dxa"/>
            <w:vAlign w:val="bottom"/>
            <w:gridSpan w:val="22"/>
            <w:shd w:val="clear" w:color="auto" w:fill="CCEEFF"/>
          </w:tcPr>
          <w:p>
            <w:pPr>
              <w:spacing w:after="0" w:line="85" w:lineRule="exact"/>
              <w:rPr>
                <w:rFonts w:ascii="Arial" w:cs="Arial" w:eastAsia="Arial" w:hAnsi="Arial"/>
                <w:sz w:val="9"/>
                <w:szCs w:val="9"/>
                <w:color w:val="0000FF"/>
              </w:rPr>
            </w:pPr>
            <w:hyperlink w:anchor="page3">
              <w:r>
                <w:rPr>
                  <w:rFonts w:ascii="Arial" w:cs="Arial" w:eastAsia="Arial" w:hAnsi="Arial"/>
                  <w:sz w:val="9"/>
                  <w:szCs w:val="9"/>
                  <w:color w:val="0000FF"/>
                </w:rPr>
                <w:t>Consolidated Balance Sheets (Unaudited)</w:t>
              </w:r>
            </w:hyperlink>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3</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740" w:type="dxa"/>
            <w:vAlign w:val="bottom"/>
            <w:gridSpan w:val="22"/>
          </w:tcPr>
          <w:p>
            <w:pPr>
              <w:spacing w:after="0" w:line="85" w:lineRule="exact"/>
              <w:rPr>
                <w:rFonts w:ascii="Arial" w:cs="Arial" w:eastAsia="Arial" w:hAnsi="Arial"/>
                <w:sz w:val="9"/>
                <w:szCs w:val="9"/>
                <w:color w:val="0000FF"/>
              </w:rPr>
            </w:pPr>
            <w:hyperlink w:anchor="page4">
              <w:r>
                <w:rPr>
                  <w:rFonts w:ascii="Arial" w:cs="Arial" w:eastAsia="Arial" w:hAnsi="Arial"/>
                  <w:sz w:val="9"/>
                  <w:szCs w:val="9"/>
                  <w:color w:val="0000FF"/>
                </w:rPr>
                <w:t>Consolidated Statements of Income (Unaudited)</w:t>
              </w:r>
            </w:hyperlink>
          </w:p>
        </w:tc>
        <w:tc>
          <w:tcPr>
            <w:tcW w:w="700" w:type="dxa"/>
            <w:vAlign w:val="bottom"/>
          </w:tcPr>
          <w:p>
            <w:pPr>
              <w:jc w:val="right"/>
              <w:spacing w:after="0" w:line="85" w:lineRule="exact"/>
              <w:rPr>
                <w:sz w:val="20"/>
                <w:szCs w:val="20"/>
                <w:color w:val="auto"/>
              </w:rPr>
            </w:pPr>
            <w:r>
              <w:rPr>
                <w:rFonts w:ascii="Arial" w:cs="Arial" w:eastAsia="Arial" w:hAnsi="Arial"/>
                <w:sz w:val="9"/>
                <w:szCs w:val="9"/>
                <w:color w:val="auto"/>
              </w:rPr>
              <w:t>4</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780" w:type="dxa"/>
            <w:vAlign w:val="bottom"/>
            <w:tcBorders>
              <w:bottom w:val="single" w:sz="8" w:color="0000FF"/>
            </w:tcBorders>
            <w:gridSpan w:val="17"/>
            <w:shd w:val="clear" w:color="auto" w:fill="CCEEFF"/>
          </w:tcPr>
          <w:p>
            <w:pPr>
              <w:spacing w:after="0" w:line="85" w:lineRule="exact"/>
              <w:rPr>
                <w:rFonts w:ascii="Arial" w:cs="Arial" w:eastAsia="Arial" w:hAnsi="Arial"/>
                <w:sz w:val="9"/>
                <w:szCs w:val="9"/>
                <w:color w:val="0000FF"/>
              </w:rPr>
            </w:pPr>
            <w:hyperlink w:anchor="page5">
              <w:r>
                <w:rPr>
                  <w:rFonts w:ascii="Arial" w:cs="Arial" w:eastAsia="Arial" w:hAnsi="Arial"/>
                  <w:sz w:val="9"/>
                  <w:szCs w:val="9"/>
                  <w:color w:val="0000FF"/>
                </w:rPr>
                <w:t>Consolidated Statements of Comprehensive Income (Unaudited)</w:t>
              </w:r>
            </w:hyperlink>
          </w:p>
        </w:tc>
        <w:tc>
          <w:tcPr>
            <w:tcW w:w="6960" w:type="dxa"/>
            <w:vAlign w:val="bottom"/>
            <w:tcBorders>
              <w:bottom w:val="single" w:sz="8" w:color="CCEEFF"/>
            </w:tcBorders>
            <w:gridSpan w:val="5"/>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jc w:val="right"/>
              <w:spacing w:after="0" w:line="85" w:lineRule="exact"/>
              <w:rPr>
                <w:sz w:val="20"/>
                <w:szCs w:val="20"/>
                <w:color w:val="auto"/>
              </w:rPr>
            </w:pPr>
            <w:r>
              <w:rPr>
                <w:rFonts w:ascii="Arial" w:cs="Arial" w:eastAsia="Arial" w:hAnsi="Arial"/>
                <w:sz w:val="9"/>
                <w:szCs w:val="9"/>
                <w:color w:val="auto"/>
              </w:rPr>
              <w:t>5</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60" w:type="dxa"/>
            <w:vAlign w:val="bottom"/>
            <w:tcBorders>
              <w:bottom w:val="single" w:sz="8" w:color="0000FF"/>
            </w:tcBorders>
            <w:gridSpan w:val="14"/>
          </w:tcPr>
          <w:p>
            <w:pPr>
              <w:spacing w:after="0" w:line="85" w:lineRule="exact"/>
              <w:rPr>
                <w:rFonts w:ascii="Arial" w:cs="Arial" w:eastAsia="Arial" w:hAnsi="Arial"/>
                <w:sz w:val="9"/>
                <w:szCs w:val="9"/>
                <w:color w:val="0000FF"/>
              </w:rPr>
            </w:pPr>
            <w:hyperlink w:anchor="page6">
              <w:r>
                <w:rPr>
                  <w:rFonts w:ascii="Arial" w:cs="Arial" w:eastAsia="Arial" w:hAnsi="Arial"/>
                  <w:sz w:val="9"/>
                  <w:szCs w:val="9"/>
                  <w:color w:val="0000FF"/>
                </w:rPr>
                <w:t>Consolidated Statements of Cash Flows (Unaudited)</w:t>
              </w:r>
            </w:hyperlink>
          </w:p>
        </w:tc>
        <w:tc>
          <w:tcPr>
            <w:tcW w:w="7480" w:type="dxa"/>
            <w:vAlign w:val="bottom"/>
            <w:gridSpan w:val="8"/>
          </w:tcPr>
          <w:p>
            <w:pPr>
              <w:spacing w:after="0"/>
              <w:rPr>
                <w:sz w:val="7"/>
                <w:szCs w:val="7"/>
                <w:color w:val="auto"/>
              </w:rPr>
            </w:pPr>
          </w:p>
        </w:tc>
        <w:tc>
          <w:tcPr>
            <w:tcW w:w="700" w:type="dxa"/>
            <w:vAlign w:val="bottom"/>
          </w:tcPr>
          <w:p>
            <w:pPr>
              <w:jc w:val="right"/>
              <w:spacing w:after="0" w:line="85" w:lineRule="exact"/>
              <w:rPr>
                <w:sz w:val="20"/>
                <w:szCs w:val="20"/>
                <w:color w:val="auto"/>
              </w:rPr>
            </w:pPr>
            <w:r>
              <w:rPr>
                <w:rFonts w:ascii="Arial" w:cs="Arial" w:eastAsia="Arial" w:hAnsi="Arial"/>
                <w:sz w:val="9"/>
                <w:szCs w:val="9"/>
                <w:color w:val="auto"/>
              </w:rPr>
              <w:t>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420" w:type="dxa"/>
            <w:vAlign w:val="bottom"/>
            <w:tcBorders>
              <w:bottom w:val="single" w:sz="8" w:color="0000FF"/>
            </w:tcBorders>
            <w:gridSpan w:val="15"/>
            <w:shd w:val="clear" w:color="auto" w:fill="CCEEFF"/>
          </w:tcPr>
          <w:p>
            <w:pPr>
              <w:spacing w:after="0" w:line="85" w:lineRule="exact"/>
              <w:rPr>
                <w:rFonts w:ascii="Arial" w:cs="Arial" w:eastAsia="Arial" w:hAnsi="Arial"/>
                <w:sz w:val="9"/>
                <w:szCs w:val="9"/>
                <w:color w:val="0000FF"/>
              </w:rPr>
            </w:pPr>
            <w:hyperlink w:anchor="page1">
              <w:r>
                <w:rPr>
                  <w:rFonts w:ascii="Arial" w:cs="Arial" w:eastAsia="Arial" w:hAnsi="Arial"/>
                  <w:sz w:val="9"/>
                  <w:szCs w:val="9"/>
                  <w:color w:val="0000FF"/>
                </w:rPr>
                <w:t>Notes to Consolidated Financial Statements (Unaudited)</w:t>
              </w:r>
            </w:hyperlink>
          </w:p>
        </w:tc>
        <w:tc>
          <w:tcPr>
            <w:tcW w:w="7320" w:type="dxa"/>
            <w:vAlign w:val="bottom"/>
            <w:tcBorders>
              <w:bottom w:val="single" w:sz="8" w:color="CCEEFF"/>
            </w:tcBorders>
            <w:gridSpan w:val="7"/>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jc w:val="right"/>
              <w:spacing w:after="0" w:line="85" w:lineRule="exact"/>
              <w:rPr>
                <w:sz w:val="20"/>
                <w:szCs w:val="20"/>
                <w:color w:val="auto"/>
              </w:rPr>
            </w:pPr>
            <w:r>
              <w:rPr>
                <w:rFonts w:ascii="Arial" w:cs="Arial" w:eastAsia="Arial" w:hAnsi="Arial"/>
                <w:sz w:val="9"/>
                <w:szCs w:val="9"/>
                <w:color w:val="auto"/>
              </w:rPr>
              <w:t>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9860" w:type="dxa"/>
            <w:vAlign w:val="bottom"/>
            <w:gridSpan w:val="23"/>
          </w:tcPr>
          <w:p>
            <w:pPr>
              <w:spacing w:after="0" w:line="85" w:lineRule="exact"/>
              <w:rPr>
                <w:rFonts w:ascii="Arial" w:cs="Arial" w:eastAsia="Arial" w:hAnsi="Arial"/>
                <w:sz w:val="9"/>
                <w:szCs w:val="9"/>
                <w:color w:val="0000FF"/>
              </w:rPr>
            </w:pPr>
            <w:hyperlink w:anchor="page25">
              <w:r>
                <w:rPr>
                  <w:rFonts w:ascii="Arial" w:cs="Arial" w:eastAsia="Arial" w:hAnsi="Arial"/>
                  <w:sz w:val="9"/>
                  <w:szCs w:val="9"/>
                  <w:color w:val="0000FF"/>
                </w:rPr>
                <w:t>Item 2 – Management’s Discussion and Analysis of Financial Condition and Results of Operations</w:t>
              </w:r>
            </w:hyperlink>
          </w:p>
        </w:tc>
        <w:tc>
          <w:tcPr>
            <w:tcW w:w="700" w:type="dxa"/>
            <w:vAlign w:val="bottom"/>
          </w:tcPr>
          <w:p>
            <w:pPr>
              <w:jc w:val="right"/>
              <w:spacing w:after="0" w:line="85" w:lineRule="exact"/>
              <w:rPr>
                <w:sz w:val="20"/>
                <w:szCs w:val="20"/>
                <w:color w:val="auto"/>
              </w:rPr>
            </w:pPr>
            <w:r>
              <w:rPr>
                <w:rFonts w:ascii="Arial" w:cs="Arial" w:eastAsia="Arial" w:hAnsi="Arial"/>
                <w:sz w:val="9"/>
                <w:szCs w:val="9"/>
                <w:color w:val="auto"/>
              </w:rPr>
              <w:t>25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CCEEFF"/>
            </w:tcBorders>
            <w:shd w:val="clear" w:color="auto" w:fill="CCEEFF"/>
          </w:tcPr>
          <w:p>
            <w:pPr>
              <w:spacing w:after="0"/>
              <w:rPr>
                <w:sz w:val="7"/>
                <w:szCs w:val="7"/>
                <w:color w:val="auto"/>
              </w:rPr>
            </w:pPr>
          </w:p>
        </w:tc>
        <w:tc>
          <w:tcPr>
            <w:tcW w:w="2880" w:type="dxa"/>
            <w:vAlign w:val="bottom"/>
            <w:tcBorders>
              <w:top w:val="single" w:sz="8" w:color="0000FF"/>
              <w:bottom w:val="single" w:sz="8" w:color="0000FF"/>
            </w:tcBorders>
            <w:gridSpan w:val="17"/>
            <w:shd w:val="clear" w:color="auto" w:fill="CCEEFF"/>
          </w:tcPr>
          <w:p>
            <w:pPr>
              <w:spacing w:after="0" w:line="85" w:lineRule="exact"/>
              <w:rPr>
                <w:rFonts w:ascii="Arial" w:cs="Arial" w:eastAsia="Arial" w:hAnsi="Arial"/>
                <w:sz w:val="9"/>
                <w:szCs w:val="9"/>
                <w:color w:val="0000FF"/>
              </w:rPr>
            </w:pPr>
            <w:hyperlink w:anchor="page44">
              <w:r>
                <w:rPr>
                  <w:rFonts w:ascii="Arial" w:cs="Arial" w:eastAsia="Arial" w:hAnsi="Arial"/>
                  <w:sz w:val="9"/>
                  <w:szCs w:val="9"/>
                  <w:color w:val="0000FF"/>
                </w:rPr>
                <w:t>Item 3 – Quantitative and Qualitative Disclosure about Market Risk</w:t>
              </w:r>
            </w:hyperlink>
          </w:p>
        </w:tc>
        <w:tc>
          <w:tcPr>
            <w:tcW w:w="1320" w:type="dxa"/>
            <w:vAlign w:val="bottom"/>
            <w:tcBorders>
              <w:top w:val="single" w:sz="8" w:color="0000FF"/>
              <w:bottom w:val="single" w:sz="8" w:color="CCEEFF"/>
            </w:tcBorders>
            <w:gridSpan w:val="3"/>
            <w:shd w:val="clear" w:color="auto" w:fill="CCEEFF"/>
          </w:tcPr>
          <w:p>
            <w:pPr>
              <w:spacing w:after="0"/>
              <w:rPr>
                <w:sz w:val="7"/>
                <w:szCs w:val="7"/>
                <w:color w:val="auto"/>
              </w:rPr>
            </w:pPr>
          </w:p>
        </w:tc>
        <w:tc>
          <w:tcPr>
            <w:tcW w:w="5660" w:type="dxa"/>
            <w:vAlign w:val="bottom"/>
            <w:tcBorders>
              <w:bottom w:val="single" w:sz="8" w:color="CCEEFF"/>
            </w:tcBorders>
            <w:gridSpan w:val="3"/>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jc w:val="right"/>
              <w:spacing w:after="0" w:line="85" w:lineRule="exact"/>
              <w:rPr>
                <w:sz w:val="20"/>
                <w:szCs w:val="20"/>
                <w:color w:val="auto"/>
              </w:rPr>
            </w:pPr>
            <w:r>
              <w:rPr>
                <w:rFonts w:ascii="Arial" w:cs="Arial" w:eastAsia="Arial" w:hAnsi="Arial"/>
                <w:sz w:val="9"/>
                <w:szCs w:val="9"/>
                <w:color w:val="auto"/>
              </w:rPr>
              <w:t>44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1460" w:type="dxa"/>
            <w:vAlign w:val="bottom"/>
            <w:tcBorders>
              <w:bottom w:val="single" w:sz="8" w:color="0000FF"/>
            </w:tcBorders>
            <w:gridSpan w:val="11"/>
          </w:tcPr>
          <w:p>
            <w:pPr>
              <w:spacing w:after="0" w:line="85" w:lineRule="exact"/>
              <w:rPr>
                <w:rFonts w:ascii="Arial" w:cs="Arial" w:eastAsia="Arial" w:hAnsi="Arial"/>
                <w:sz w:val="9"/>
                <w:szCs w:val="9"/>
                <w:color w:val="0000FF"/>
              </w:rPr>
            </w:pPr>
            <w:hyperlink w:anchor="page46">
              <w:r>
                <w:rPr>
                  <w:rFonts w:ascii="Arial" w:cs="Arial" w:eastAsia="Arial" w:hAnsi="Arial"/>
                  <w:sz w:val="9"/>
                  <w:szCs w:val="9"/>
                  <w:color w:val="0000FF"/>
                </w:rPr>
                <w:t>Item 4 – Controls and Procedures</w:t>
              </w:r>
            </w:hyperlink>
          </w:p>
        </w:tc>
        <w:tc>
          <w:tcPr>
            <w:tcW w:w="8400" w:type="dxa"/>
            <w:vAlign w:val="bottom"/>
            <w:gridSpan w:val="12"/>
          </w:tcPr>
          <w:p>
            <w:pPr>
              <w:spacing w:after="0"/>
              <w:rPr>
                <w:sz w:val="7"/>
                <w:szCs w:val="7"/>
                <w:color w:val="auto"/>
              </w:rPr>
            </w:pPr>
          </w:p>
        </w:tc>
        <w:tc>
          <w:tcPr>
            <w:tcW w:w="700" w:type="dxa"/>
            <w:vAlign w:val="bottom"/>
          </w:tcPr>
          <w:p>
            <w:pPr>
              <w:jc w:val="right"/>
              <w:spacing w:after="0" w:line="85" w:lineRule="exact"/>
              <w:rPr>
                <w:sz w:val="20"/>
                <w:szCs w:val="20"/>
                <w:color w:val="auto"/>
              </w:rPr>
            </w:pPr>
            <w:r>
              <w:rPr>
                <w:rFonts w:ascii="Arial" w:cs="Arial" w:eastAsia="Arial" w:hAnsi="Arial"/>
                <w:sz w:val="9"/>
                <w:szCs w:val="9"/>
                <w:color w:val="auto"/>
              </w:rPr>
              <w:t>46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9920" w:type="dxa"/>
            <w:vAlign w:val="bottom"/>
            <w:gridSpan w:val="24"/>
            <w:shd w:val="clear" w:color="auto" w:fill="CCEEFF"/>
          </w:tcPr>
          <w:p>
            <w:pPr>
              <w:spacing w:after="0" w:line="85" w:lineRule="exact"/>
              <w:rPr>
                <w:rFonts w:ascii="Arial" w:cs="Arial" w:eastAsia="Arial" w:hAnsi="Arial"/>
                <w:sz w:val="9"/>
                <w:szCs w:val="9"/>
                <w:b w:val="1"/>
                <w:bCs w:val="1"/>
                <w:color w:val="0000FF"/>
              </w:rPr>
            </w:pPr>
            <w:hyperlink w:anchor="page47">
              <w:r>
                <w:rPr>
                  <w:rFonts w:ascii="Arial" w:cs="Arial" w:eastAsia="Arial" w:hAnsi="Arial"/>
                  <w:sz w:val="9"/>
                  <w:szCs w:val="9"/>
                  <w:b w:val="1"/>
                  <w:bCs w:val="1"/>
                  <w:color w:val="0000FF"/>
                </w:rPr>
                <w:t>PART II – Other Information</w:t>
              </w:r>
            </w:hyperlink>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47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0" w:type="dxa"/>
            <w:vAlign w:val="bottom"/>
            <w:tcBorders>
              <w:top w:val="single" w:sz="8" w:color="0000FF"/>
            </w:tcBorders>
          </w:tcPr>
          <w:p>
            <w:pPr>
              <w:spacing w:after="0"/>
              <w:rPr>
                <w:sz w:val="7"/>
                <w:szCs w:val="7"/>
                <w:color w:val="auto"/>
              </w:rPr>
            </w:pPr>
          </w:p>
        </w:tc>
        <w:tc>
          <w:tcPr>
            <w:tcW w:w="1200" w:type="dxa"/>
            <w:vAlign w:val="bottom"/>
            <w:tcBorders>
              <w:top w:val="single" w:sz="8" w:color="0000FF"/>
            </w:tcBorders>
            <w:gridSpan w:val="7"/>
          </w:tcPr>
          <w:p>
            <w:pPr>
              <w:spacing w:after="0" w:line="85" w:lineRule="exact"/>
              <w:rPr>
                <w:rFonts w:ascii="Arial" w:cs="Arial" w:eastAsia="Arial" w:hAnsi="Arial"/>
                <w:sz w:val="9"/>
                <w:szCs w:val="9"/>
                <w:color w:val="0000FF"/>
              </w:rPr>
            </w:pPr>
            <w:hyperlink w:anchor="page1">
              <w:r>
                <w:rPr>
                  <w:rFonts w:ascii="Arial" w:cs="Arial" w:eastAsia="Arial" w:hAnsi="Arial"/>
                  <w:sz w:val="9"/>
                  <w:szCs w:val="9"/>
                  <w:color w:val="0000FF"/>
                </w:rPr>
                <w:t>Item 1 – Legal Proceedings</w:t>
              </w:r>
            </w:hyperlink>
          </w:p>
        </w:tc>
        <w:tc>
          <w:tcPr>
            <w:tcW w:w="8660" w:type="dxa"/>
            <w:vAlign w:val="bottom"/>
            <w:tcBorders>
              <w:top w:val="single" w:sz="8" w:color="CCEEFF"/>
            </w:tcBorders>
            <w:gridSpan w:val="16"/>
          </w:tcPr>
          <w:p>
            <w:pPr>
              <w:spacing w:after="0"/>
              <w:rPr>
                <w:sz w:val="7"/>
                <w:szCs w:val="7"/>
                <w:color w:val="auto"/>
              </w:rPr>
            </w:pPr>
          </w:p>
        </w:tc>
        <w:tc>
          <w:tcPr>
            <w:tcW w:w="700" w:type="dxa"/>
            <w:vAlign w:val="bottom"/>
            <w:tcBorders>
              <w:top w:val="single" w:sz="8" w:color="CCEEFF"/>
            </w:tcBorders>
          </w:tcPr>
          <w:p>
            <w:pPr>
              <w:jc w:val="right"/>
              <w:spacing w:after="0" w:line="85" w:lineRule="exact"/>
              <w:rPr>
                <w:sz w:val="20"/>
                <w:szCs w:val="20"/>
                <w:color w:val="auto"/>
              </w:rPr>
            </w:pPr>
            <w:r>
              <w:rPr>
                <w:rFonts w:ascii="Arial" w:cs="Arial" w:eastAsia="Arial" w:hAnsi="Arial"/>
                <w:sz w:val="9"/>
                <w:szCs w:val="9"/>
                <w:color w:val="auto"/>
              </w:rPr>
              <w:t>47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0" w:type="dxa"/>
            <w:vAlign w:val="bottom"/>
            <w:shd w:val="clear" w:color="auto" w:fill="CCEEFF"/>
          </w:tcPr>
          <w:p>
            <w:pPr>
              <w:spacing w:after="0"/>
              <w:rPr>
                <w:sz w:val="7"/>
                <w:szCs w:val="7"/>
                <w:color w:val="auto"/>
              </w:rPr>
            </w:pPr>
          </w:p>
        </w:tc>
        <w:tc>
          <w:tcPr>
            <w:tcW w:w="1180" w:type="dxa"/>
            <w:vAlign w:val="bottom"/>
            <w:tcBorders>
              <w:top w:val="single" w:sz="8" w:color="0000FF"/>
            </w:tcBorders>
            <w:gridSpan w:val="6"/>
            <w:shd w:val="clear" w:color="auto" w:fill="CCEEFF"/>
          </w:tcPr>
          <w:p>
            <w:pPr>
              <w:spacing w:after="0" w:line="85" w:lineRule="exact"/>
              <w:rPr>
                <w:rFonts w:ascii="Arial" w:cs="Arial" w:eastAsia="Arial" w:hAnsi="Arial"/>
                <w:sz w:val="9"/>
                <w:szCs w:val="9"/>
                <w:color w:val="0000FF"/>
              </w:rPr>
            </w:pPr>
            <w:hyperlink w:anchor="page1">
              <w:r>
                <w:rPr>
                  <w:rFonts w:ascii="Arial" w:cs="Arial" w:eastAsia="Arial" w:hAnsi="Arial"/>
                  <w:sz w:val="9"/>
                  <w:szCs w:val="9"/>
                  <w:color w:val="0000FF"/>
                </w:rPr>
                <w:t>Item 1A – Risk Factors</w:t>
              </w:r>
            </w:hyperlink>
          </w:p>
        </w:tc>
        <w:tc>
          <w:tcPr>
            <w:tcW w:w="8680" w:type="dxa"/>
            <w:vAlign w:val="bottom"/>
            <w:gridSpan w:val="17"/>
            <w:shd w:val="clear" w:color="auto" w:fill="CCEEFF"/>
          </w:tcPr>
          <w:p>
            <w:pPr>
              <w:spacing w:after="0"/>
              <w:rPr>
                <w:sz w:val="7"/>
                <w:szCs w:val="7"/>
                <w:color w:val="auto"/>
              </w:rPr>
            </w:pPr>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47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0" w:type="dxa"/>
            <w:vAlign w:val="bottom"/>
          </w:tcPr>
          <w:p>
            <w:pPr>
              <w:spacing w:after="0"/>
              <w:rPr>
                <w:sz w:val="7"/>
                <w:szCs w:val="7"/>
                <w:color w:val="auto"/>
              </w:rPr>
            </w:pPr>
          </w:p>
        </w:tc>
        <w:tc>
          <w:tcPr>
            <w:tcW w:w="9860" w:type="dxa"/>
            <w:vAlign w:val="bottom"/>
            <w:gridSpan w:val="23"/>
          </w:tcPr>
          <w:p>
            <w:pPr>
              <w:spacing w:after="0" w:line="85" w:lineRule="exact"/>
              <w:rPr>
                <w:rFonts w:ascii="Arial" w:cs="Arial" w:eastAsia="Arial" w:hAnsi="Arial"/>
                <w:sz w:val="9"/>
                <w:szCs w:val="9"/>
                <w:color w:val="0000FF"/>
              </w:rPr>
            </w:pPr>
            <w:hyperlink w:anchor="page47">
              <w:r>
                <w:rPr>
                  <w:rFonts w:ascii="Arial" w:cs="Arial" w:eastAsia="Arial" w:hAnsi="Arial"/>
                  <w:sz w:val="9"/>
                  <w:szCs w:val="9"/>
                  <w:color w:val="0000FF"/>
                </w:rPr>
                <w:t>Item 2 – Unregistered Sales of Equity Securities and Use of Proceeds</w:t>
              </w:r>
            </w:hyperlink>
          </w:p>
        </w:tc>
        <w:tc>
          <w:tcPr>
            <w:tcW w:w="700" w:type="dxa"/>
            <w:vAlign w:val="bottom"/>
          </w:tcPr>
          <w:p>
            <w:pPr>
              <w:jc w:val="right"/>
              <w:spacing w:after="0" w:line="85" w:lineRule="exact"/>
              <w:rPr>
                <w:sz w:val="20"/>
                <w:szCs w:val="20"/>
                <w:color w:val="auto"/>
              </w:rPr>
            </w:pPr>
            <w:r>
              <w:rPr>
                <w:rFonts w:ascii="Arial" w:cs="Arial" w:eastAsia="Arial" w:hAnsi="Arial"/>
                <w:sz w:val="9"/>
                <w:szCs w:val="9"/>
                <w:color w:val="auto"/>
              </w:rPr>
              <w:t>47</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CCEEFF"/>
            </w:tcBorders>
            <w:shd w:val="clear" w:color="auto" w:fill="CCEEFF"/>
          </w:tcPr>
          <w:p>
            <w:pPr>
              <w:spacing w:after="0"/>
              <w:rPr>
                <w:sz w:val="7"/>
                <w:szCs w:val="7"/>
                <w:color w:val="auto"/>
              </w:rPr>
            </w:pPr>
          </w:p>
        </w:tc>
        <w:tc>
          <w:tcPr>
            <w:tcW w:w="1760" w:type="dxa"/>
            <w:vAlign w:val="bottom"/>
            <w:tcBorders>
              <w:top w:val="single" w:sz="8" w:color="0000FF"/>
              <w:bottom w:val="single" w:sz="8" w:color="0000FF"/>
            </w:tcBorders>
            <w:gridSpan w:val="12"/>
            <w:shd w:val="clear" w:color="auto" w:fill="CCEEFF"/>
          </w:tcPr>
          <w:p>
            <w:pPr>
              <w:spacing w:after="0" w:line="85" w:lineRule="exact"/>
              <w:rPr>
                <w:rFonts w:ascii="Arial" w:cs="Arial" w:eastAsia="Arial" w:hAnsi="Arial"/>
                <w:sz w:val="9"/>
                <w:szCs w:val="9"/>
                <w:color w:val="0000FF"/>
              </w:rPr>
            </w:pPr>
            <w:hyperlink w:anchor="page1">
              <w:r>
                <w:rPr>
                  <w:rFonts w:ascii="Arial" w:cs="Arial" w:eastAsia="Arial" w:hAnsi="Arial"/>
                  <w:sz w:val="9"/>
                  <w:szCs w:val="9"/>
                  <w:color w:val="0000FF"/>
                </w:rPr>
                <w:t>Item 3 – Defaults Upon Senior Securities</w:t>
              </w:r>
            </w:hyperlink>
          </w:p>
        </w:tc>
        <w:tc>
          <w:tcPr>
            <w:tcW w:w="1240" w:type="dxa"/>
            <w:vAlign w:val="bottom"/>
            <w:tcBorders>
              <w:top w:val="single" w:sz="8" w:color="0000FF"/>
              <w:bottom w:val="single" w:sz="8" w:color="CCEEFF"/>
            </w:tcBorders>
            <w:gridSpan w:val="7"/>
            <w:shd w:val="clear" w:color="auto" w:fill="CCEEFF"/>
          </w:tcPr>
          <w:p>
            <w:pPr>
              <w:spacing w:after="0"/>
              <w:rPr>
                <w:sz w:val="7"/>
                <w:szCs w:val="7"/>
                <w:color w:val="auto"/>
              </w:rPr>
            </w:pPr>
          </w:p>
        </w:tc>
        <w:tc>
          <w:tcPr>
            <w:tcW w:w="6860" w:type="dxa"/>
            <w:vAlign w:val="bottom"/>
            <w:tcBorders>
              <w:bottom w:val="single" w:sz="8" w:color="CCEEFF"/>
            </w:tcBorders>
            <w:gridSpan w:val="4"/>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jc w:val="right"/>
              <w:spacing w:after="0" w:line="85" w:lineRule="exact"/>
              <w:rPr>
                <w:sz w:val="20"/>
                <w:szCs w:val="20"/>
                <w:color w:val="auto"/>
              </w:rPr>
            </w:pPr>
            <w:r>
              <w:rPr>
                <w:rFonts w:ascii="Arial" w:cs="Arial" w:eastAsia="Arial" w:hAnsi="Arial"/>
                <w:sz w:val="9"/>
                <w:szCs w:val="9"/>
                <w:color w:val="auto"/>
              </w:rPr>
              <w:t>47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1380" w:type="dxa"/>
            <w:vAlign w:val="bottom"/>
            <w:tcBorders>
              <w:bottom w:val="single" w:sz="8" w:color="0000FF"/>
            </w:tcBorders>
            <w:gridSpan w:val="10"/>
          </w:tcPr>
          <w:p>
            <w:pPr>
              <w:spacing w:after="0" w:line="85" w:lineRule="exact"/>
              <w:rPr>
                <w:rFonts w:ascii="Arial" w:cs="Arial" w:eastAsia="Arial" w:hAnsi="Arial"/>
                <w:sz w:val="9"/>
                <w:szCs w:val="9"/>
                <w:color w:val="0000FF"/>
              </w:rPr>
            </w:pPr>
            <w:hyperlink w:anchor="page1">
              <w:r>
                <w:rPr>
                  <w:rFonts w:ascii="Arial" w:cs="Arial" w:eastAsia="Arial" w:hAnsi="Arial"/>
                  <w:sz w:val="9"/>
                  <w:szCs w:val="9"/>
                  <w:color w:val="0000FF"/>
                </w:rPr>
                <w:t>Item 4 – Mine Safety Disclosure</w:t>
              </w:r>
            </w:hyperlink>
          </w:p>
        </w:tc>
        <w:tc>
          <w:tcPr>
            <w:tcW w:w="8480" w:type="dxa"/>
            <w:vAlign w:val="bottom"/>
            <w:gridSpan w:val="13"/>
          </w:tcPr>
          <w:p>
            <w:pPr>
              <w:spacing w:after="0"/>
              <w:rPr>
                <w:sz w:val="7"/>
                <w:szCs w:val="7"/>
                <w:color w:val="auto"/>
              </w:rPr>
            </w:pPr>
          </w:p>
        </w:tc>
        <w:tc>
          <w:tcPr>
            <w:tcW w:w="700" w:type="dxa"/>
            <w:vAlign w:val="bottom"/>
          </w:tcPr>
          <w:p>
            <w:pPr>
              <w:jc w:val="right"/>
              <w:spacing w:after="0" w:line="85" w:lineRule="exact"/>
              <w:rPr>
                <w:sz w:val="20"/>
                <w:szCs w:val="20"/>
                <w:color w:val="auto"/>
              </w:rPr>
            </w:pPr>
            <w:r>
              <w:rPr>
                <w:rFonts w:ascii="Arial" w:cs="Arial" w:eastAsia="Arial" w:hAnsi="Arial"/>
                <w:sz w:val="9"/>
                <w:szCs w:val="9"/>
                <w:color w:val="auto"/>
              </w:rPr>
              <w:t>47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CCEEFF"/>
            </w:tcBorders>
            <w:shd w:val="clear" w:color="auto" w:fill="CCEEFF"/>
          </w:tcPr>
          <w:p>
            <w:pPr>
              <w:spacing w:after="0"/>
              <w:rPr>
                <w:sz w:val="7"/>
                <w:szCs w:val="7"/>
                <w:color w:val="auto"/>
              </w:rPr>
            </w:pPr>
          </w:p>
        </w:tc>
        <w:tc>
          <w:tcPr>
            <w:tcW w:w="1140" w:type="dxa"/>
            <w:vAlign w:val="bottom"/>
            <w:tcBorders>
              <w:bottom w:val="single" w:sz="8" w:color="0000FF"/>
            </w:tcBorders>
            <w:gridSpan w:val="5"/>
            <w:shd w:val="clear" w:color="auto" w:fill="CCEEFF"/>
          </w:tcPr>
          <w:p>
            <w:pPr>
              <w:spacing w:after="0" w:line="85" w:lineRule="exact"/>
              <w:rPr>
                <w:rFonts w:ascii="Arial" w:cs="Arial" w:eastAsia="Arial" w:hAnsi="Arial"/>
                <w:sz w:val="9"/>
                <w:szCs w:val="9"/>
                <w:color w:val="0000FF"/>
              </w:rPr>
            </w:pPr>
            <w:hyperlink w:anchor="page1">
              <w:r>
                <w:rPr>
                  <w:rFonts w:ascii="Arial" w:cs="Arial" w:eastAsia="Arial" w:hAnsi="Arial"/>
                  <w:sz w:val="9"/>
                  <w:szCs w:val="9"/>
                  <w:color w:val="0000FF"/>
                </w:rPr>
                <w:t>Item 5 – Other Information</w:t>
              </w:r>
            </w:hyperlink>
          </w:p>
        </w:tc>
        <w:tc>
          <w:tcPr>
            <w:tcW w:w="8720" w:type="dxa"/>
            <w:vAlign w:val="bottom"/>
            <w:tcBorders>
              <w:bottom w:val="single" w:sz="8" w:color="CCEEFF"/>
            </w:tcBorders>
            <w:gridSpan w:val="18"/>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jc w:val="right"/>
              <w:spacing w:after="0" w:line="85" w:lineRule="exact"/>
              <w:rPr>
                <w:sz w:val="20"/>
                <w:szCs w:val="20"/>
                <w:color w:val="auto"/>
              </w:rPr>
            </w:pPr>
            <w:r>
              <w:rPr>
                <w:rFonts w:ascii="Arial" w:cs="Arial" w:eastAsia="Arial" w:hAnsi="Arial"/>
                <w:sz w:val="9"/>
                <w:szCs w:val="9"/>
                <w:color w:val="auto"/>
              </w:rPr>
              <w:t>47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720" w:type="dxa"/>
            <w:vAlign w:val="bottom"/>
            <w:tcBorders>
              <w:bottom w:val="single" w:sz="8" w:color="0000FF"/>
            </w:tcBorders>
            <w:gridSpan w:val="3"/>
          </w:tcPr>
          <w:p>
            <w:pPr>
              <w:spacing w:after="0" w:line="85" w:lineRule="exact"/>
              <w:rPr>
                <w:rFonts w:ascii="Arial" w:cs="Arial" w:eastAsia="Arial" w:hAnsi="Arial"/>
                <w:sz w:val="9"/>
                <w:szCs w:val="9"/>
                <w:color w:val="0000FF"/>
              </w:rPr>
            </w:pPr>
            <w:hyperlink w:anchor="page1">
              <w:r>
                <w:rPr>
                  <w:rFonts w:ascii="Arial" w:cs="Arial" w:eastAsia="Arial" w:hAnsi="Arial"/>
                  <w:sz w:val="9"/>
                  <w:szCs w:val="9"/>
                  <w:color w:val="0000FF"/>
                </w:rPr>
                <w:t>Item 6 – Exhibits</w:t>
              </w:r>
            </w:hyperlink>
          </w:p>
        </w:tc>
        <w:tc>
          <w:tcPr>
            <w:tcW w:w="9140" w:type="dxa"/>
            <w:vAlign w:val="bottom"/>
            <w:gridSpan w:val="20"/>
          </w:tcPr>
          <w:p>
            <w:pPr>
              <w:spacing w:after="0"/>
              <w:rPr>
                <w:sz w:val="7"/>
                <w:szCs w:val="7"/>
                <w:color w:val="auto"/>
              </w:rPr>
            </w:pPr>
          </w:p>
        </w:tc>
        <w:tc>
          <w:tcPr>
            <w:tcW w:w="700" w:type="dxa"/>
            <w:vAlign w:val="bottom"/>
          </w:tcPr>
          <w:p>
            <w:pPr>
              <w:jc w:val="right"/>
              <w:spacing w:after="0" w:line="85" w:lineRule="exact"/>
              <w:rPr>
                <w:sz w:val="20"/>
                <w:szCs w:val="20"/>
                <w:color w:val="auto"/>
              </w:rPr>
            </w:pPr>
            <w:r>
              <w:rPr>
                <w:rFonts w:ascii="Arial" w:cs="Arial" w:eastAsia="Arial" w:hAnsi="Arial"/>
                <w:sz w:val="9"/>
                <w:szCs w:val="9"/>
                <w:color w:val="auto"/>
              </w:rPr>
              <w:t>48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9920" w:type="dxa"/>
            <w:vAlign w:val="bottom"/>
            <w:gridSpan w:val="24"/>
            <w:shd w:val="clear" w:color="auto" w:fill="CCEEFF"/>
          </w:tcPr>
          <w:p>
            <w:pPr>
              <w:spacing w:after="0" w:line="85" w:lineRule="exact"/>
              <w:rPr>
                <w:rFonts w:ascii="Arial" w:cs="Arial" w:eastAsia="Arial" w:hAnsi="Arial"/>
                <w:sz w:val="9"/>
                <w:szCs w:val="9"/>
                <w:b w:val="1"/>
                <w:bCs w:val="1"/>
                <w:color w:val="0000FF"/>
              </w:rPr>
            </w:pPr>
            <w:hyperlink w:anchor="page49">
              <w:r>
                <w:rPr>
                  <w:rFonts w:ascii="Arial" w:cs="Arial" w:eastAsia="Arial" w:hAnsi="Arial"/>
                  <w:sz w:val="9"/>
                  <w:szCs w:val="9"/>
                  <w:b w:val="1"/>
                  <w:bCs w:val="1"/>
                  <w:color w:val="0000FF"/>
                </w:rPr>
                <w:t>SIGNATURES</w:t>
              </w:r>
            </w:hyperlink>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49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20" w:type="dxa"/>
            <w:vAlign w:val="bottom"/>
            <w:tcBorders>
              <w:top w:val="single" w:sz="8" w:color="0000FF"/>
            </w:tcBorders>
            <w:gridSpan w:val="3"/>
          </w:tcPr>
          <w:p>
            <w:pPr>
              <w:spacing w:after="0"/>
              <w:rPr>
                <w:sz w:val="20"/>
                <w:szCs w:val="20"/>
                <w:color w:val="auto"/>
              </w:rPr>
            </w:pPr>
            <w:r>
              <w:rPr>
                <w:rFonts w:ascii="Arial" w:cs="Arial" w:eastAsia="Arial" w:hAnsi="Arial"/>
                <w:sz w:val="10"/>
                <w:szCs w:val="10"/>
                <w:b w:val="1"/>
                <w:bCs w:val="1"/>
                <w:color w:val="0000FF"/>
                <w:w w:val="93"/>
              </w:rPr>
              <w:t>Certifications</w:t>
            </w:r>
          </w:p>
        </w:tc>
        <w:tc>
          <w:tcPr>
            <w:tcW w:w="9300" w:type="dxa"/>
            <w:vAlign w:val="bottom"/>
            <w:tcBorders>
              <w:top w:val="single" w:sz="8" w:color="CCEEFF"/>
            </w:tcBorders>
            <w:gridSpan w:val="21"/>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4" w:right="640" w:bottom="1440" w:gutter="0" w:footer="0" w:header="0"/>
        </w:sectPr>
      </w:pPr>
    </w:p>
    <w:bookmarkStart w:id="2" w:name="page3"/>
    <w:bookmarkEnd w:id="2"/>
    <w:p>
      <w:pPr>
        <w:jc w:val="center"/>
        <w:spacing w:after="0"/>
        <w:rPr>
          <w:sz w:val="20"/>
          <w:szCs w:val="20"/>
          <w:color w:val="auto"/>
        </w:rPr>
      </w:pPr>
      <w:r>
        <w:rPr>
          <w:rFonts w:ascii="Arial" w:cs="Arial" w:eastAsia="Arial" w:hAnsi="Arial"/>
          <w:sz w:val="10"/>
          <w:szCs w:val="10"/>
          <w:b w:val="1"/>
          <w:bCs w:val="1"/>
          <w:color w:val="auto"/>
        </w:rPr>
        <w:t>PART 1 – FINANCIAL INFORMATION</w:t>
      </w:r>
    </w:p>
    <w:p>
      <w:pPr>
        <w:spacing w:after="0" w:line="223" w:lineRule="auto"/>
        <w:rPr>
          <w:sz w:val="20"/>
          <w:szCs w:val="20"/>
          <w:color w:val="auto"/>
        </w:rPr>
      </w:pPr>
      <w:r>
        <w:rPr>
          <w:rFonts w:ascii="Arial" w:cs="Arial" w:eastAsia="Arial" w:hAnsi="Arial"/>
          <w:sz w:val="10"/>
          <w:szCs w:val="10"/>
          <w:b w:val="1"/>
          <w:bCs w:val="1"/>
          <w:u w:val="single" w:color="auto"/>
          <w:color w:val="auto"/>
        </w:rPr>
        <w:t>Item 1 - Financial Statements</w:t>
      </w:r>
    </w:p>
    <w:p>
      <w:pPr>
        <w:spacing w:after="0" w:line="219" w:lineRule="auto"/>
        <w:rPr>
          <w:sz w:val="20"/>
          <w:szCs w:val="20"/>
          <w:color w:val="auto"/>
        </w:rPr>
      </w:pPr>
      <w:r>
        <w:rPr>
          <w:rFonts w:ascii="Arial" w:cs="Arial" w:eastAsia="Arial" w:hAnsi="Arial"/>
          <w:sz w:val="10"/>
          <w:szCs w:val="10"/>
          <w:b w:val="1"/>
          <w:bCs w:val="1"/>
          <w:color w:val="auto"/>
        </w:rPr>
        <w:t>READING INTERNATIONAL, INC.</w:t>
      </w:r>
    </w:p>
    <w:p>
      <w:pPr>
        <w:spacing w:after="0" w:line="219" w:lineRule="auto"/>
        <w:rPr>
          <w:sz w:val="20"/>
          <w:szCs w:val="20"/>
          <w:color w:val="auto"/>
        </w:rPr>
      </w:pPr>
      <w:r>
        <w:rPr>
          <w:rFonts w:ascii="Arial" w:cs="Arial" w:eastAsia="Arial" w:hAnsi="Arial"/>
          <w:sz w:val="10"/>
          <w:szCs w:val="10"/>
          <w:b w:val="1"/>
          <w:bCs w:val="1"/>
          <w:color w:val="auto"/>
        </w:rPr>
        <w:t>CONSOLIDATED BALANCE SHEETS</w:t>
      </w:r>
    </w:p>
    <w:p>
      <w:pPr>
        <w:spacing w:after="0"/>
        <w:rPr>
          <w:sz w:val="20"/>
          <w:szCs w:val="20"/>
          <w:color w:val="auto"/>
        </w:rPr>
      </w:pPr>
      <w:r>
        <w:rPr>
          <w:rFonts w:ascii="Arial" w:cs="Arial" w:eastAsia="Arial" w:hAnsi="Arial"/>
          <w:sz w:val="10"/>
          <w:szCs w:val="10"/>
          <w:i w:val="1"/>
          <w:iCs w:val="1"/>
          <w:color w:val="auto"/>
        </w:rPr>
        <w:t>(U.S. dollars in thousands, except share information)</w:t>
      </w:r>
    </w:p>
    <w:tbl>
      <w:tblPr>
        <w:tblLayout w:type="fixed"/>
        <w:tblInd w:w="0" w:type="dxa"/>
        <w:tblCellMar>
          <w:top w:w="0" w:type="dxa"/>
          <w:left w:w="0" w:type="dxa"/>
          <w:bottom w:w="0" w:type="dxa"/>
          <w:right w:w="0" w:type="dxa"/>
        </w:tblCellMar>
      </w:tblPr>
      <w:tr>
        <w:trPr>
          <w:trHeight w:val="86"/>
        </w:trPr>
        <w:tc>
          <w:tcPr>
            <w:tcW w:w="7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tcPr>
          <w:p>
            <w:pPr>
              <w:jc w:val="center"/>
              <w:ind w:right="360"/>
              <w:spacing w:after="0" w:line="86" w:lineRule="exact"/>
              <w:rPr>
                <w:sz w:val="20"/>
                <w:szCs w:val="20"/>
                <w:color w:val="auto"/>
              </w:rPr>
            </w:pPr>
            <w:r>
              <w:rPr>
                <w:rFonts w:ascii="Arial" w:cs="Arial" w:eastAsia="Arial" w:hAnsi="Arial"/>
                <w:sz w:val="8"/>
                <w:szCs w:val="8"/>
                <w:b w:val="1"/>
                <w:bCs w:val="1"/>
                <w:color w:val="auto"/>
              </w:rPr>
              <w:t>September 30,</w:t>
            </w:r>
          </w:p>
        </w:tc>
        <w:tc>
          <w:tcPr>
            <w:tcW w:w="220" w:type="dxa"/>
            <w:vAlign w:val="bottom"/>
          </w:tcPr>
          <w:p>
            <w:pPr>
              <w:spacing w:after="0"/>
              <w:rPr>
                <w:sz w:val="7"/>
                <w:szCs w:val="7"/>
                <w:color w:val="auto"/>
              </w:rPr>
            </w:pPr>
          </w:p>
        </w:tc>
        <w:tc>
          <w:tcPr>
            <w:tcW w:w="1080" w:type="dxa"/>
            <w:vAlign w:val="bottom"/>
          </w:tcPr>
          <w:p>
            <w:pPr>
              <w:jc w:val="right"/>
              <w:ind w:right="332"/>
              <w:spacing w:after="0" w:line="86" w:lineRule="exact"/>
              <w:rPr>
                <w:sz w:val="20"/>
                <w:szCs w:val="20"/>
                <w:color w:val="auto"/>
              </w:rPr>
            </w:pPr>
            <w:r>
              <w:rPr>
                <w:rFonts w:ascii="Arial" w:cs="Arial" w:eastAsia="Arial" w:hAnsi="Arial"/>
                <w:sz w:val="8"/>
                <w:szCs w:val="8"/>
                <w:b w:val="1"/>
                <w:bCs w:val="1"/>
                <w:color w:val="auto"/>
              </w:rPr>
              <w:t>December 31,</w:t>
            </w:r>
          </w:p>
        </w:tc>
      </w:tr>
      <w:tr>
        <w:trPr>
          <w:trHeight w:val="98"/>
        </w:trPr>
        <w:tc>
          <w:tcPr>
            <w:tcW w:w="7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center"/>
              <w:ind w:right="152"/>
              <w:spacing w:after="0"/>
              <w:rPr>
                <w:sz w:val="20"/>
                <w:szCs w:val="20"/>
                <w:color w:val="auto"/>
              </w:rPr>
            </w:pPr>
            <w:r>
              <w:rPr>
                <w:rFonts w:ascii="Arial" w:cs="Arial" w:eastAsia="Arial" w:hAnsi="Arial"/>
                <w:sz w:val="8"/>
                <w:szCs w:val="8"/>
                <w:b w:val="1"/>
                <w:bCs w:val="1"/>
                <w:color w:val="auto"/>
              </w:rPr>
              <w:t>2023</w:t>
            </w:r>
          </w:p>
        </w:tc>
        <w:tc>
          <w:tcPr>
            <w:tcW w:w="1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8"/>
                <w:szCs w:val="8"/>
                <w:b w:val="1"/>
                <w:bCs w:val="1"/>
                <w:color w:val="auto"/>
              </w:rPr>
              <w:t>2022</w:t>
            </w:r>
          </w:p>
        </w:tc>
      </w:tr>
      <w:tr>
        <w:trPr>
          <w:trHeight w:val="100"/>
        </w:trPr>
        <w:tc>
          <w:tcPr>
            <w:tcW w:w="7720" w:type="dxa"/>
            <w:vAlign w:val="bottom"/>
          </w:tcPr>
          <w:p>
            <w:pPr>
              <w:spacing w:after="0" w:line="100" w:lineRule="exact"/>
              <w:rPr>
                <w:sz w:val="20"/>
                <w:szCs w:val="20"/>
                <w:color w:val="auto"/>
              </w:rPr>
            </w:pPr>
            <w:r>
              <w:rPr>
                <w:rFonts w:ascii="Arial" w:cs="Arial" w:eastAsia="Arial" w:hAnsi="Arial"/>
                <w:sz w:val="10"/>
                <w:szCs w:val="10"/>
                <w:b w:val="1"/>
                <w:bCs w:val="1"/>
                <w:color w:val="auto"/>
              </w:rPr>
              <w:t>ASSETS</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8"/>
                <w:szCs w:val="8"/>
                <w:b w:val="1"/>
                <w:bCs w:val="1"/>
                <w:color w:val="auto"/>
              </w:rPr>
              <w:t>(unaudited)</w:t>
            </w: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b w:val="1"/>
                <w:bCs w:val="1"/>
                <w:color w:val="auto"/>
              </w:rPr>
              <w:t>Current Assets:</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Cash and cash equivalents</w:t>
            </w:r>
          </w:p>
        </w:tc>
        <w:tc>
          <w:tcPr>
            <w:tcW w:w="360" w:type="dxa"/>
            <w:vAlign w:val="bottom"/>
            <w:gridSpan w:val="2"/>
          </w:tcPr>
          <w:p>
            <w:pPr>
              <w:jc w:val="right"/>
              <w:ind w:right="136"/>
              <w:spacing w:after="0" w:line="105" w:lineRule="exact"/>
              <w:rPr>
                <w:sz w:val="20"/>
                <w:szCs w:val="20"/>
                <w:color w:val="auto"/>
              </w:rPr>
            </w:pPr>
            <w:r>
              <w:rPr>
                <w:rFonts w:ascii="Arial" w:cs="Arial" w:eastAsia="Arial" w:hAnsi="Arial"/>
                <w:sz w:val="10"/>
                <w:szCs w:val="10"/>
                <w:color w:val="auto"/>
              </w:rPr>
              <w:t>$</w:t>
            </w: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11,925</w:t>
            </w:r>
          </w:p>
        </w:tc>
        <w:tc>
          <w:tcPr>
            <w:tcW w:w="160" w:type="dxa"/>
            <w:vAlign w:val="bottom"/>
          </w:tcPr>
          <w:p>
            <w:pPr>
              <w:spacing w:after="0"/>
              <w:rPr>
                <w:sz w:val="9"/>
                <w:szCs w:val="9"/>
                <w:color w:val="auto"/>
              </w:rPr>
            </w:pPr>
          </w:p>
        </w:tc>
        <w:tc>
          <w:tcPr>
            <w:tcW w:w="220" w:type="dxa"/>
            <w:vAlign w:val="bottom"/>
          </w:tcPr>
          <w:p>
            <w:pPr>
              <w:jc w:val="right"/>
              <w:ind w:right="111"/>
              <w:spacing w:after="0" w:line="105" w:lineRule="exact"/>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29,947</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Restricted cash</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5,714</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5,032</w:t>
            </w: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Receivables</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5,779</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6,206</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Inventories</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1,488</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1,616</w:t>
            </w: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Derivative financial instruments - current portion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17</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907</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Prepaid and other current assets</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4,243</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3,804</w:t>
            </w:r>
          </w:p>
        </w:tc>
      </w:tr>
      <w:tr>
        <w:trPr>
          <w:trHeight w:val="105"/>
        </w:trPr>
        <w:tc>
          <w:tcPr>
            <w:tcW w:w="7720" w:type="dxa"/>
            <w:vAlign w:val="bottom"/>
            <w:tcBorders>
              <w:bottom w:val="single" w:sz="8" w:color="auto"/>
            </w:tcBorders>
          </w:tcPr>
          <w:p>
            <w:pPr>
              <w:spacing w:after="0" w:line="105" w:lineRule="exact"/>
              <w:rPr>
                <w:sz w:val="20"/>
                <w:szCs w:val="20"/>
                <w:color w:val="auto"/>
              </w:rPr>
            </w:pPr>
            <w:r>
              <w:rPr>
                <w:rFonts w:ascii="Arial" w:cs="Arial" w:eastAsia="Arial" w:hAnsi="Arial"/>
                <w:sz w:val="10"/>
                <w:szCs w:val="10"/>
                <w:color w:val="auto"/>
              </w:rPr>
              <w:t>Land and property held for sale</w:t>
            </w:r>
          </w:p>
        </w:tc>
        <w:tc>
          <w:tcPr>
            <w:tcW w:w="16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12,362</w:t>
            </w:r>
          </w:p>
        </w:tc>
        <w:tc>
          <w:tcPr>
            <w:tcW w:w="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w:t>
            </w:r>
          </w:p>
        </w:tc>
      </w:tr>
      <w:tr>
        <w:trPr>
          <w:trHeight w:val="93"/>
        </w:trPr>
        <w:tc>
          <w:tcPr>
            <w:tcW w:w="7720" w:type="dxa"/>
            <w:vAlign w:val="bottom"/>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 current assets</w:t>
            </w: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41,528</w:t>
            </w:r>
          </w:p>
        </w:tc>
        <w:tc>
          <w:tcPr>
            <w:tcW w:w="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47,512</w:t>
            </w: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Operating property, net</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261,614</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286,952</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Operating lease right-of-use assets</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180,718</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200,417</w:t>
            </w: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Investment and development property, net</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8,336</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8,792</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Investment in unconsolidated joint ventures</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4,488</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4,756</w:t>
            </w: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Goodwill</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24,597</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25,504</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Intangible assets, net</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2,110</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2,391</w:t>
            </w: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Deferred tax asset, net</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489</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447</w:t>
            </w:r>
          </w:p>
        </w:tc>
      </w:tr>
      <w:tr>
        <w:trPr>
          <w:trHeight w:val="105"/>
        </w:trPr>
        <w:tc>
          <w:tcPr>
            <w:tcW w:w="7720" w:type="dxa"/>
            <w:vAlign w:val="bottom"/>
            <w:tcBorders>
              <w:bottom w:val="single" w:sz="8" w:color="auto"/>
            </w:tcBorders>
            <w:shd w:val="clear" w:color="auto" w:fill="CCEEFF"/>
          </w:tcPr>
          <w:p>
            <w:pPr>
              <w:spacing w:after="0" w:line="105" w:lineRule="exact"/>
              <w:rPr>
                <w:sz w:val="20"/>
                <w:szCs w:val="20"/>
                <w:color w:val="auto"/>
              </w:rPr>
            </w:pPr>
            <w:r>
              <w:rPr>
                <w:rFonts w:ascii="Arial" w:cs="Arial" w:eastAsia="Arial" w:hAnsi="Arial"/>
                <w:sz w:val="10"/>
                <w:szCs w:val="10"/>
                <w:color w:val="auto"/>
              </w:rPr>
              <w:t>Other assets</w:t>
            </w:r>
          </w:p>
        </w:tc>
        <w:tc>
          <w:tcPr>
            <w:tcW w:w="16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8,717</w:t>
            </w:r>
          </w:p>
        </w:tc>
        <w:tc>
          <w:tcPr>
            <w:tcW w:w="16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10,284</w:t>
            </w:r>
          </w:p>
        </w:tc>
      </w:tr>
      <w:tr>
        <w:trPr>
          <w:trHeight w:val="93"/>
        </w:trPr>
        <w:tc>
          <w:tcPr>
            <w:tcW w:w="7720" w:type="dxa"/>
            <w:vAlign w:val="bottom"/>
            <w:tcBorders>
              <w:bottom w:val="single" w:sz="8" w:color="auto"/>
            </w:tcBorders>
          </w:tcPr>
          <w:p>
            <w:pPr>
              <w:spacing w:after="0" w:line="93" w:lineRule="exact"/>
              <w:rPr>
                <w:sz w:val="20"/>
                <w:szCs w:val="20"/>
                <w:color w:val="auto"/>
              </w:rPr>
            </w:pPr>
            <w:r>
              <w:rPr>
                <w:rFonts w:ascii="Arial" w:cs="Arial" w:eastAsia="Arial" w:hAnsi="Arial"/>
                <w:sz w:val="10"/>
                <w:szCs w:val="10"/>
                <w:b w:val="1"/>
                <w:bCs w:val="1"/>
                <w:color w:val="auto"/>
              </w:rPr>
              <w:t>Total assets</w:t>
            </w:r>
          </w:p>
        </w:tc>
        <w:tc>
          <w:tcPr>
            <w:tcW w:w="16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jc w:val="right"/>
              <w:ind w:right="136"/>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532,597</w:t>
            </w:r>
          </w:p>
        </w:tc>
        <w:tc>
          <w:tcPr>
            <w:tcW w:w="16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jc w:val="right"/>
              <w:ind w:right="111"/>
              <w:spacing w:after="0" w:line="93" w:lineRule="exact"/>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587,055</w:t>
            </w:r>
          </w:p>
        </w:tc>
      </w:tr>
      <w:tr>
        <w:trPr>
          <w:trHeight w:val="100"/>
        </w:trPr>
        <w:tc>
          <w:tcPr>
            <w:tcW w:w="7720" w:type="dxa"/>
            <w:vAlign w:val="bottom"/>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LIABILITIES AND STOCKHOLDERS' EQUITY</w:t>
            </w: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b w:val="1"/>
                <w:bCs w:val="1"/>
                <w:color w:val="auto"/>
              </w:rPr>
              <w:t>Current Liabilities:</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Accounts payable and accrued liabilities</w:t>
            </w:r>
          </w:p>
        </w:tc>
        <w:tc>
          <w:tcPr>
            <w:tcW w:w="360" w:type="dxa"/>
            <w:vAlign w:val="bottom"/>
            <w:gridSpan w:val="2"/>
            <w:shd w:val="clear" w:color="auto" w:fill="CCEEFF"/>
          </w:tcPr>
          <w:p>
            <w:pPr>
              <w:jc w:val="right"/>
              <w:ind w:right="136"/>
              <w:spacing w:after="0" w:line="105" w:lineRule="exact"/>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41,896</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jc w:val="right"/>
              <w:ind w:right="111"/>
              <w:spacing w:after="0" w:line="105" w:lineRule="exact"/>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42,590</w:t>
            </w: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Film rent payable</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3,462</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5,678</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Debt - current portion</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40,402</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37,279</w:t>
            </w: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Subordinated debt - current portion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776</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747</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Taxes payable - current</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2,390</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300</w:t>
            </w: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Deferred revenue</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8,616</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10,286</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Operating lease liabilities - current portion</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22,977</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23,971</w:t>
            </w:r>
          </w:p>
        </w:tc>
      </w:tr>
      <w:tr>
        <w:trPr>
          <w:trHeight w:val="105"/>
        </w:trPr>
        <w:tc>
          <w:tcPr>
            <w:tcW w:w="7720" w:type="dxa"/>
            <w:vAlign w:val="bottom"/>
            <w:tcBorders>
              <w:bottom w:val="single" w:sz="8" w:color="auto"/>
            </w:tcBorders>
          </w:tcPr>
          <w:p>
            <w:pPr>
              <w:spacing w:after="0" w:line="105" w:lineRule="exact"/>
              <w:rPr>
                <w:sz w:val="20"/>
                <w:szCs w:val="20"/>
                <w:color w:val="auto"/>
              </w:rPr>
            </w:pPr>
            <w:r>
              <w:rPr>
                <w:rFonts w:ascii="Arial" w:cs="Arial" w:eastAsia="Arial" w:hAnsi="Arial"/>
                <w:sz w:val="10"/>
                <w:szCs w:val="10"/>
                <w:color w:val="auto"/>
              </w:rPr>
              <w:t>Other current liabilities</w:t>
            </w:r>
          </w:p>
        </w:tc>
        <w:tc>
          <w:tcPr>
            <w:tcW w:w="16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6,673</w:t>
            </w:r>
          </w:p>
        </w:tc>
        <w:tc>
          <w:tcPr>
            <w:tcW w:w="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813</w:t>
            </w:r>
          </w:p>
        </w:tc>
      </w:tr>
      <w:tr>
        <w:trPr>
          <w:trHeight w:val="93"/>
        </w:trPr>
        <w:tc>
          <w:tcPr>
            <w:tcW w:w="7720" w:type="dxa"/>
            <w:vAlign w:val="bottom"/>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 current liabilities</w:t>
            </w: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127,192</w:t>
            </w:r>
          </w:p>
        </w:tc>
        <w:tc>
          <w:tcPr>
            <w:tcW w:w="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121,664</w:t>
            </w: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Debt - long-term portion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138,560</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148,688</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Subordinated debt, net</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27,117</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26,950</w:t>
            </w: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Noncurrent tax liabilities</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5,842</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7,117</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Operating lease liabilities - non-current portion</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180,002</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200,037</w:t>
            </w:r>
          </w:p>
        </w:tc>
      </w:tr>
      <w:tr>
        <w:trPr>
          <w:trHeight w:val="105"/>
        </w:trPr>
        <w:tc>
          <w:tcPr>
            <w:tcW w:w="7720" w:type="dxa"/>
            <w:vAlign w:val="bottom"/>
            <w:tcBorders>
              <w:bottom w:val="single" w:sz="8" w:color="auto"/>
            </w:tcBorders>
          </w:tcPr>
          <w:p>
            <w:pPr>
              <w:spacing w:after="0" w:line="105" w:lineRule="exact"/>
              <w:rPr>
                <w:sz w:val="20"/>
                <w:szCs w:val="20"/>
                <w:color w:val="auto"/>
              </w:rPr>
            </w:pPr>
            <w:r>
              <w:rPr>
                <w:rFonts w:ascii="Arial" w:cs="Arial" w:eastAsia="Arial" w:hAnsi="Arial"/>
                <w:sz w:val="10"/>
                <w:szCs w:val="10"/>
                <w:color w:val="auto"/>
              </w:rPr>
              <w:t>Other liabilities</w:t>
            </w:r>
          </w:p>
        </w:tc>
        <w:tc>
          <w:tcPr>
            <w:tcW w:w="16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11,829</w:t>
            </w:r>
          </w:p>
        </w:tc>
        <w:tc>
          <w:tcPr>
            <w:tcW w:w="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19,320</w:t>
            </w:r>
          </w:p>
        </w:tc>
      </w:tr>
      <w:tr>
        <w:trPr>
          <w:trHeight w:val="93"/>
        </w:trPr>
        <w:tc>
          <w:tcPr>
            <w:tcW w:w="772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 liabilities</w:t>
            </w:r>
          </w:p>
        </w:tc>
        <w:tc>
          <w:tcPr>
            <w:tcW w:w="16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490,542</w:t>
            </w:r>
          </w:p>
        </w:tc>
        <w:tc>
          <w:tcPr>
            <w:tcW w:w="16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ind w:right="111"/>
              <w:spacing w:after="0" w:line="93" w:lineRule="exact"/>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523,776</w:t>
            </w:r>
          </w:p>
        </w:tc>
      </w:tr>
      <w:tr>
        <w:trPr>
          <w:trHeight w:val="93"/>
        </w:trPr>
        <w:tc>
          <w:tcPr>
            <w:tcW w:w="7720" w:type="dxa"/>
            <w:vAlign w:val="bottom"/>
          </w:tcPr>
          <w:p>
            <w:pPr>
              <w:spacing w:after="0" w:line="93" w:lineRule="exact"/>
              <w:rPr>
                <w:sz w:val="20"/>
                <w:szCs w:val="20"/>
                <w:color w:val="auto"/>
              </w:rPr>
            </w:pPr>
            <w:r>
              <w:rPr>
                <w:rFonts w:ascii="Arial" w:cs="Arial" w:eastAsia="Arial" w:hAnsi="Arial"/>
                <w:sz w:val="10"/>
                <w:szCs w:val="10"/>
                <w:b w:val="1"/>
                <w:bCs w:val="1"/>
                <w:color w:val="auto"/>
              </w:rPr>
              <w:t>Commitments and contingencies (Note 15)</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b w:val="1"/>
                <w:bCs w:val="1"/>
                <w:color w:val="auto"/>
              </w:rPr>
              <w:t>Stockholders’ equity:</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01"/>
        </w:trPr>
        <w:tc>
          <w:tcPr>
            <w:tcW w:w="7720" w:type="dxa"/>
            <w:vAlign w:val="bottom"/>
          </w:tcPr>
          <w:p>
            <w:pPr>
              <w:spacing w:after="0" w:line="101" w:lineRule="exact"/>
              <w:rPr>
                <w:sz w:val="20"/>
                <w:szCs w:val="20"/>
                <w:color w:val="auto"/>
              </w:rPr>
            </w:pPr>
            <w:r>
              <w:rPr>
                <w:rFonts w:ascii="Arial" w:cs="Arial" w:eastAsia="Arial" w:hAnsi="Arial"/>
                <w:sz w:val="10"/>
                <w:szCs w:val="10"/>
                <w:color w:val="auto"/>
              </w:rPr>
              <w:t>Class A non-voting common shares, par value $0.01, 100,000,000 shares authorized,</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05"/>
        </w:trPr>
        <w:tc>
          <w:tcPr>
            <w:tcW w:w="7720" w:type="dxa"/>
            <w:vAlign w:val="bottom"/>
          </w:tcPr>
          <w:p>
            <w:pPr>
              <w:ind w:left="40"/>
              <w:spacing w:after="0" w:line="105" w:lineRule="exact"/>
              <w:rPr>
                <w:sz w:val="20"/>
                <w:szCs w:val="20"/>
                <w:color w:val="auto"/>
              </w:rPr>
            </w:pPr>
            <w:r>
              <w:rPr>
                <w:rFonts w:ascii="Arial" w:cs="Arial" w:eastAsia="Arial" w:hAnsi="Arial"/>
                <w:sz w:val="10"/>
                <w:szCs w:val="10"/>
                <w:color w:val="auto"/>
              </w:rPr>
              <w:t>33,528,994 issued and 20,592,834 outstanding at September 30, 2023 and</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09"/>
        </w:trPr>
        <w:tc>
          <w:tcPr>
            <w:tcW w:w="7720" w:type="dxa"/>
            <w:vAlign w:val="bottom"/>
          </w:tcPr>
          <w:p>
            <w:pPr>
              <w:ind w:left="40"/>
              <w:spacing w:after="0" w:line="109" w:lineRule="exact"/>
              <w:rPr>
                <w:sz w:val="20"/>
                <w:szCs w:val="20"/>
                <w:color w:val="auto"/>
              </w:rPr>
            </w:pPr>
            <w:r>
              <w:rPr>
                <w:rFonts w:ascii="Arial" w:cs="Arial" w:eastAsia="Arial" w:hAnsi="Arial"/>
                <w:sz w:val="10"/>
                <w:szCs w:val="10"/>
                <w:color w:val="auto"/>
              </w:rPr>
              <w:t>33,348,295 issued and 20,412,185 outstanding at December 31, 2022</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236</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235</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Class B voting common shares, par value $0.01, 20,000,000 shares authorized and</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05"/>
        </w:trPr>
        <w:tc>
          <w:tcPr>
            <w:tcW w:w="7720" w:type="dxa"/>
            <w:vAlign w:val="bottom"/>
            <w:shd w:val="clear" w:color="auto" w:fill="CCEEFF"/>
          </w:tcPr>
          <w:p>
            <w:pPr>
              <w:ind w:left="40"/>
              <w:spacing w:after="0" w:line="105" w:lineRule="exact"/>
              <w:rPr>
                <w:sz w:val="20"/>
                <w:szCs w:val="20"/>
                <w:color w:val="auto"/>
              </w:rPr>
            </w:pPr>
            <w:r>
              <w:rPr>
                <w:rFonts w:ascii="Arial" w:cs="Arial" w:eastAsia="Arial" w:hAnsi="Arial"/>
                <w:sz w:val="10"/>
                <w:szCs w:val="10"/>
                <w:color w:val="auto"/>
              </w:rPr>
              <w:t>1,680,590 issued and outstanding at September 30, 2023 and December 31, 2022</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17</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17</w:t>
            </w:r>
          </w:p>
        </w:tc>
      </w:tr>
      <w:tr>
        <w:trPr>
          <w:trHeight w:val="101"/>
        </w:trPr>
        <w:tc>
          <w:tcPr>
            <w:tcW w:w="7720" w:type="dxa"/>
            <w:vAlign w:val="bottom"/>
          </w:tcPr>
          <w:p>
            <w:pPr>
              <w:spacing w:after="0" w:line="101" w:lineRule="exact"/>
              <w:rPr>
                <w:sz w:val="20"/>
                <w:szCs w:val="20"/>
                <w:color w:val="auto"/>
              </w:rPr>
            </w:pPr>
            <w:r>
              <w:rPr>
                <w:rFonts w:ascii="Arial" w:cs="Arial" w:eastAsia="Arial" w:hAnsi="Arial"/>
                <w:sz w:val="10"/>
                <w:szCs w:val="10"/>
                <w:color w:val="auto"/>
              </w:rPr>
              <w:t>Nonvoting preferred shares, par value $0.01, 12,000 shares authorized and no issued</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09"/>
        </w:trPr>
        <w:tc>
          <w:tcPr>
            <w:tcW w:w="7720" w:type="dxa"/>
            <w:vAlign w:val="bottom"/>
          </w:tcPr>
          <w:p>
            <w:pPr>
              <w:ind w:left="40"/>
              <w:spacing w:after="0" w:line="109" w:lineRule="exact"/>
              <w:rPr>
                <w:sz w:val="20"/>
                <w:szCs w:val="20"/>
                <w:color w:val="auto"/>
              </w:rPr>
            </w:pPr>
            <w:r>
              <w:rPr>
                <w:rFonts w:ascii="Arial" w:cs="Arial" w:eastAsia="Arial" w:hAnsi="Arial"/>
                <w:sz w:val="10"/>
                <w:szCs w:val="10"/>
                <w:color w:val="auto"/>
              </w:rPr>
              <w:t>or outstanding shares at September 30, 2023 and December 31, 2022</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Additional paid-in capital</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154,903</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153,784</w:t>
            </w: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Retained earnings/(deficits)</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(67,104)</w:t>
            </w: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(48,816)</w:t>
            </w:r>
          </w:p>
        </w:tc>
      </w:tr>
      <w:tr>
        <w:trPr>
          <w:trHeight w:val="105"/>
        </w:trPr>
        <w:tc>
          <w:tcPr>
            <w:tcW w:w="772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Treasury shares</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(40,407)</w:t>
            </w: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(40,407)</w:t>
            </w:r>
          </w:p>
        </w:tc>
      </w:tr>
      <w:tr>
        <w:trPr>
          <w:trHeight w:val="105"/>
        </w:trPr>
        <w:tc>
          <w:tcPr>
            <w:tcW w:w="7720" w:type="dxa"/>
            <w:vAlign w:val="bottom"/>
          </w:tcPr>
          <w:p>
            <w:pPr>
              <w:spacing w:after="0" w:line="105" w:lineRule="exact"/>
              <w:rPr>
                <w:sz w:val="20"/>
                <w:szCs w:val="20"/>
                <w:color w:val="auto"/>
              </w:rPr>
            </w:pPr>
            <w:r>
              <w:rPr>
                <w:rFonts w:ascii="Arial" w:cs="Arial" w:eastAsia="Arial" w:hAnsi="Arial"/>
                <w:sz w:val="10"/>
                <w:szCs w:val="10"/>
                <w:color w:val="auto"/>
              </w:rPr>
              <w:t>Accumulated other comprehensive income</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(5,647)</w:t>
            </w: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(1,957)</w:t>
            </w:r>
          </w:p>
        </w:tc>
      </w:tr>
      <w:tr>
        <w:trPr>
          <w:trHeight w:val="93"/>
        </w:trPr>
        <w:tc>
          <w:tcPr>
            <w:tcW w:w="7720" w:type="dxa"/>
            <w:vAlign w:val="bottom"/>
            <w:tcBorders>
              <w:top w:val="single" w:sz="8" w:color="auto"/>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 Reading International, Inc. stockholders’ equity</w:t>
            </w:r>
          </w:p>
        </w:tc>
        <w:tc>
          <w:tcPr>
            <w:tcW w:w="16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41,998</w:t>
            </w:r>
          </w:p>
        </w:tc>
        <w:tc>
          <w:tcPr>
            <w:tcW w:w="1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62,856</w:t>
            </w:r>
          </w:p>
        </w:tc>
      </w:tr>
      <w:tr>
        <w:trPr>
          <w:trHeight w:val="105"/>
        </w:trPr>
        <w:tc>
          <w:tcPr>
            <w:tcW w:w="7720" w:type="dxa"/>
            <w:vAlign w:val="bottom"/>
            <w:tcBorders>
              <w:bottom w:val="single" w:sz="8" w:color="auto"/>
            </w:tcBorders>
          </w:tcPr>
          <w:p>
            <w:pPr>
              <w:spacing w:after="0" w:line="105" w:lineRule="exact"/>
              <w:rPr>
                <w:sz w:val="20"/>
                <w:szCs w:val="20"/>
                <w:color w:val="auto"/>
              </w:rPr>
            </w:pPr>
            <w:r>
              <w:rPr>
                <w:rFonts w:ascii="Arial" w:cs="Arial" w:eastAsia="Arial" w:hAnsi="Arial"/>
                <w:sz w:val="10"/>
                <w:szCs w:val="10"/>
                <w:color w:val="auto"/>
              </w:rPr>
              <w:t>Noncontrolling interests</w:t>
            </w:r>
          </w:p>
        </w:tc>
        <w:tc>
          <w:tcPr>
            <w:tcW w:w="16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57</w:t>
            </w:r>
          </w:p>
        </w:tc>
        <w:tc>
          <w:tcPr>
            <w:tcW w:w="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423</w:t>
            </w:r>
          </w:p>
        </w:tc>
      </w:tr>
      <w:tr>
        <w:trPr>
          <w:trHeight w:val="93"/>
        </w:trPr>
        <w:tc>
          <w:tcPr>
            <w:tcW w:w="772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 stockholders’ equity</w:t>
            </w:r>
          </w:p>
        </w:tc>
        <w:tc>
          <w:tcPr>
            <w:tcW w:w="16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42,055</w:t>
            </w:r>
          </w:p>
        </w:tc>
        <w:tc>
          <w:tcPr>
            <w:tcW w:w="16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63,279</w:t>
            </w:r>
          </w:p>
        </w:tc>
      </w:tr>
      <w:tr>
        <w:trPr>
          <w:trHeight w:val="93"/>
        </w:trPr>
        <w:tc>
          <w:tcPr>
            <w:tcW w:w="7720" w:type="dxa"/>
            <w:vAlign w:val="bottom"/>
            <w:tcBorders>
              <w:bottom w:val="single" w:sz="8" w:color="auto"/>
            </w:tcBorders>
          </w:tcPr>
          <w:p>
            <w:pPr>
              <w:spacing w:after="0" w:line="93" w:lineRule="exact"/>
              <w:rPr>
                <w:sz w:val="20"/>
                <w:szCs w:val="20"/>
                <w:color w:val="auto"/>
              </w:rPr>
            </w:pPr>
            <w:r>
              <w:rPr>
                <w:rFonts w:ascii="Arial" w:cs="Arial" w:eastAsia="Arial" w:hAnsi="Arial"/>
                <w:sz w:val="10"/>
                <w:szCs w:val="10"/>
                <w:b w:val="1"/>
                <w:bCs w:val="1"/>
                <w:color w:val="auto"/>
              </w:rPr>
              <w:t>Total liabilities and stockholders’ equity</w:t>
            </w:r>
          </w:p>
        </w:tc>
        <w:tc>
          <w:tcPr>
            <w:tcW w:w="160" w:type="dxa"/>
            <w:vAlign w:val="bottom"/>
          </w:tcPr>
          <w:p>
            <w:pPr>
              <w:spacing w:after="0"/>
              <w:rPr>
                <w:sz w:val="8"/>
                <w:szCs w:val="8"/>
                <w:color w:val="auto"/>
              </w:rPr>
            </w:pPr>
          </w:p>
        </w:tc>
        <w:tc>
          <w:tcPr>
            <w:tcW w:w="200" w:type="dxa"/>
            <w:vAlign w:val="bottom"/>
            <w:tcBorders>
              <w:bottom w:val="single" w:sz="8" w:color="auto"/>
            </w:tcBorders>
          </w:tcPr>
          <w:p>
            <w:pPr>
              <w:jc w:val="right"/>
              <w:ind w:right="136"/>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532,597</w:t>
            </w:r>
          </w:p>
        </w:tc>
        <w:tc>
          <w:tcPr>
            <w:tcW w:w="160" w:type="dxa"/>
            <w:vAlign w:val="bottom"/>
          </w:tcPr>
          <w:p>
            <w:pPr>
              <w:spacing w:after="0"/>
              <w:rPr>
                <w:sz w:val="8"/>
                <w:szCs w:val="8"/>
                <w:color w:val="auto"/>
              </w:rPr>
            </w:pPr>
          </w:p>
        </w:tc>
        <w:tc>
          <w:tcPr>
            <w:tcW w:w="220" w:type="dxa"/>
            <w:vAlign w:val="bottom"/>
            <w:tcBorders>
              <w:bottom w:val="single" w:sz="8" w:color="auto"/>
            </w:tcBorders>
          </w:tcPr>
          <w:p>
            <w:pPr>
              <w:jc w:val="right"/>
              <w:ind w:right="111"/>
              <w:spacing w:after="0" w:line="93" w:lineRule="exact"/>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587,055</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See accompanying Notes to the Unaudited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4" w:right="640" w:bottom="1440" w:gutter="0" w:footer="0" w:header="0"/>
        </w:sectPr>
      </w:pPr>
    </w:p>
    <w:bookmarkStart w:id="3" w:name="page4"/>
    <w:bookmarkEnd w:id="3"/>
    <w:p>
      <w:pPr>
        <w:spacing w:after="0"/>
        <w:rPr>
          <w:sz w:val="20"/>
          <w:szCs w:val="20"/>
          <w:color w:val="auto"/>
        </w:rPr>
      </w:pPr>
      <w:r>
        <w:rPr>
          <w:rFonts w:ascii="Arial" w:cs="Arial" w:eastAsia="Arial" w:hAnsi="Arial"/>
          <w:sz w:val="10"/>
          <w:szCs w:val="10"/>
          <w:b w:val="1"/>
          <w:bCs w:val="1"/>
          <w:color w:val="auto"/>
        </w:rPr>
        <w:t>READING INTERNATIONAL, INC.</w:t>
      </w:r>
    </w:p>
    <w:p>
      <w:pPr>
        <w:spacing w:after="0" w:line="223" w:lineRule="auto"/>
        <w:rPr>
          <w:sz w:val="20"/>
          <w:szCs w:val="20"/>
          <w:color w:val="auto"/>
        </w:rPr>
      </w:pPr>
      <w:r>
        <w:rPr>
          <w:rFonts w:ascii="Arial" w:cs="Arial" w:eastAsia="Arial" w:hAnsi="Arial"/>
          <w:sz w:val="10"/>
          <w:szCs w:val="10"/>
          <w:b w:val="1"/>
          <w:bCs w:val="1"/>
          <w:color w:val="auto"/>
        </w:rPr>
        <w:t>CONSOLIDATED STATEMENTS OF INCOME</w:t>
      </w:r>
    </w:p>
    <w:p>
      <w:pPr>
        <w:spacing w:after="0"/>
        <w:rPr>
          <w:sz w:val="20"/>
          <w:szCs w:val="20"/>
          <w:color w:val="auto"/>
        </w:rPr>
      </w:pPr>
      <w:r>
        <w:rPr>
          <w:rFonts w:ascii="Arial" w:cs="Arial" w:eastAsia="Arial" w:hAnsi="Arial"/>
          <w:sz w:val="10"/>
          <w:szCs w:val="10"/>
          <w:i w:val="1"/>
          <w:iCs w:val="1"/>
          <w:color w:val="auto"/>
        </w:rPr>
        <w:t>(Unaudited; U.S. dollars in thousands, except per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gridSpan w:val="3"/>
          </w:tcPr>
          <w:p>
            <w:pPr>
              <w:jc w:val="right"/>
              <w:ind w:right="156"/>
              <w:spacing w:after="0"/>
              <w:rPr>
                <w:sz w:val="20"/>
                <w:szCs w:val="20"/>
                <w:color w:val="auto"/>
              </w:rPr>
            </w:pPr>
            <w:r>
              <w:rPr>
                <w:rFonts w:ascii="Arial" w:cs="Arial" w:eastAsia="Arial" w:hAnsi="Arial"/>
                <w:sz w:val="8"/>
                <w:szCs w:val="8"/>
                <w:b w:val="1"/>
                <w:bCs w:val="1"/>
                <w:color w:val="auto"/>
              </w:rPr>
              <w:t>Quarter Ended</w:t>
            </w: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gridSpan w:val="3"/>
          </w:tcPr>
          <w:p>
            <w:pPr>
              <w:jc w:val="right"/>
              <w:ind w:right="72"/>
              <w:spacing w:after="0"/>
              <w:rPr>
                <w:sz w:val="20"/>
                <w:szCs w:val="20"/>
                <w:color w:val="auto"/>
              </w:rPr>
            </w:pPr>
            <w:r>
              <w:rPr>
                <w:rFonts w:ascii="Arial" w:cs="Arial" w:eastAsia="Arial" w:hAnsi="Arial"/>
                <w:sz w:val="8"/>
                <w:szCs w:val="8"/>
                <w:b w:val="1"/>
                <w:bCs w:val="1"/>
                <w:color w:val="auto"/>
              </w:rPr>
              <w:t>Nine Months Ended</w:t>
            </w: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8"/>
        </w:trPr>
        <w:tc>
          <w:tcPr>
            <w:tcW w:w="4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8"/>
                <w:szCs w:val="8"/>
                <w:b w:val="1"/>
                <w:bCs w:val="1"/>
                <w:color w:val="auto"/>
              </w:rPr>
              <w:t>September 30,</w:t>
            </w: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8"/>
                <w:szCs w:val="8"/>
                <w:b w:val="1"/>
                <w:bCs w:val="1"/>
                <w:color w:val="auto"/>
              </w:rPr>
              <w:t>September 30,</w:t>
            </w: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78"/>
        </w:trPr>
        <w:tc>
          <w:tcPr>
            <w:tcW w:w="484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jc w:val="right"/>
              <w:ind w:right="512"/>
              <w:spacing w:after="0" w:line="78" w:lineRule="exact"/>
              <w:rPr>
                <w:sz w:val="20"/>
                <w:szCs w:val="20"/>
                <w:color w:val="auto"/>
              </w:rPr>
            </w:pPr>
            <w:r>
              <w:rPr>
                <w:rFonts w:ascii="Arial" w:cs="Arial" w:eastAsia="Arial" w:hAnsi="Arial"/>
                <w:sz w:val="8"/>
                <w:szCs w:val="8"/>
                <w:b w:val="1"/>
                <w:bCs w:val="1"/>
                <w:color w:val="auto"/>
              </w:rPr>
              <w:t>2023</w:t>
            </w:r>
          </w:p>
        </w:tc>
        <w:tc>
          <w:tcPr>
            <w:tcW w:w="16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jc w:val="right"/>
              <w:ind w:right="492"/>
              <w:spacing w:after="0" w:line="78" w:lineRule="exact"/>
              <w:rPr>
                <w:sz w:val="20"/>
                <w:szCs w:val="20"/>
                <w:color w:val="auto"/>
              </w:rPr>
            </w:pPr>
            <w:r>
              <w:rPr>
                <w:rFonts w:ascii="Arial" w:cs="Arial" w:eastAsia="Arial" w:hAnsi="Arial"/>
                <w:sz w:val="8"/>
                <w:szCs w:val="8"/>
                <w:b w:val="1"/>
                <w:bCs w:val="1"/>
                <w:color w:val="auto"/>
              </w:rPr>
              <w:t>2022</w:t>
            </w:r>
          </w:p>
        </w:tc>
        <w:tc>
          <w:tcPr>
            <w:tcW w:w="1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jc w:val="right"/>
              <w:ind w:right="512"/>
              <w:spacing w:after="0" w:line="78" w:lineRule="exact"/>
              <w:rPr>
                <w:sz w:val="20"/>
                <w:szCs w:val="20"/>
                <w:color w:val="auto"/>
              </w:rPr>
            </w:pPr>
            <w:r>
              <w:rPr>
                <w:rFonts w:ascii="Arial" w:cs="Arial" w:eastAsia="Arial" w:hAnsi="Arial"/>
                <w:sz w:val="8"/>
                <w:szCs w:val="8"/>
                <w:b w:val="1"/>
                <w:bCs w:val="1"/>
                <w:color w:val="auto"/>
              </w:rPr>
              <w:t>2023</w:t>
            </w:r>
          </w:p>
        </w:tc>
        <w:tc>
          <w:tcPr>
            <w:tcW w:w="14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jc w:val="right"/>
              <w:ind w:right="512"/>
              <w:spacing w:after="0" w:line="78" w:lineRule="exact"/>
              <w:rPr>
                <w:sz w:val="20"/>
                <w:szCs w:val="20"/>
                <w:color w:val="auto"/>
              </w:rPr>
            </w:pPr>
            <w:r>
              <w:rPr>
                <w:rFonts w:ascii="Arial" w:cs="Arial" w:eastAsia="Arial" w:hAnsi="Arial"/>
                <w:sz w:val="8"/>
                <w:szCs w:val="8"/>
                <w:b w:val="1"/>
                <w:bCs w:val="1"/>
                <w:color w:val="auto"/>
              </w:rPr>
              <w:t>2022</w:t>
            </w:r>
          </w:p>
        </w:tc>
        <w:tc>
          <w:tcPr>
            <w:tcW w:w="20" w:type="dxa"/>
            <w:vAlign w:val="bottom"/>
          </w:tcPr>
          <w:p>
            <w:pPr>
              <w:spacing w:after="0"/>
              <w:rPr>
                <w:sz w:val="6"/>
                <w:szCs w:val="6"/>
                <w:color w:val="auto"/>
              </w:rPr>
            </w:pPr>
          </w:p>
        </w:tc>
      </w:tr>
      <w:tr>
        <w:trPr>
          <w:trHeight w:val="100"/>
        </w:trPr>
        <w:tc>
          <w:tcPr>
            <w:tcW w:w="4840" w:type="dxa"/>
            <w:vAlign w:val="bottom"/>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Revenue</w:t>
            </w: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5"/>
        </w:trPr>
        <w:tc>
          <w:tcPr>
            <w:tcW w:w="4840" w:type="dxa"/>
            <w:vAlign w:val="bottom"/>
          </w:tcPr>
          <w:p>
            <w:pPr>
              <w:spacing w:after="0" w:line="105" w:lineRule="exact"/>
              <w:rPr>
                <w:sz w:val="20"/>
                <w:szCs w:val="20"/>
                <w:color w:val="auto"/>
              </w:rPr>
            </w:pPr>
            <w:r>
              <w:rPr>
                <w:rFonts w:ascii="Arial" w:cs="Arial" w:eastAsia="Arial" w:hAnsi="Arial"/>
                <w:sz w:val="10"/>
                <w:szCs w:val="10"/>
                <w:color w:val="auto"/>
              </w:rPr>
              <w:t>Cinema</w:t>
            </w:r>
          </w:p>
        </w:tc>
        <w:tc>
          <w:tcPr>
            <w:tcW w:w="460" w:type="dxa"/>
            <w:vAlign w:val="bottom"/>
            <w:gridSpan w:val="2"/>
          </w:tcPr>
          <w:p>
            <w:pPr>
              <w:jc w:val="right"/>
              <w:ind w:right="236"/>
              <w:spacing w:after="0" w:line="105" w:lineRule="exact"/>
              <w:rPr>
                <w:sz w:val="20"/>
                <w:szCs w:val="20"/>
                <w:color w:val="auto"/>
              </w:rPr>
            </w:pPr>
            <w:r>
              <w:rPr>
                <w:rFonts w:ascii="Arial" w:cs="Arial" w:eastAsia="Arial" w:hAnsi="Arial"/>
                <w:sz w:val="10"/>
                <w:szCs w:val="10"/>
                <w:color w:val="auto"/>
              </w:rPr>
              <w:t>$</w:t>
            </w: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62,688</w:t>
            </w:r>
          </w:p>
        </w:tc>
        <w:tc>
          <w:tcPr>
            <w:tcW w:w="160" w:type="dxa"/>
            <w:vAlign w:val="bottom"/>
          </w:tcPr>
          <w:p>
            <w:pPr>
              <w:spacing w:after="0"/>
              <w:rPr>
                <w:sz w:val="9"/>
                <w:szCs w:val="9"/>
                <w:color w:val="auto"/>
              </w:rPr>
            </w:pPr>
          </w:p>
        </w:tc>
        <w:tc>
          <w:tcPr>
            <w:tcW w:w="380" w:type="dxa"/>
            <w:vAlign w:val="bottom"/>
          </w:tcPr>
          <w:p>
            <w:pPr>
              <w:jc w:val="right"/>
              <w:ind w:right="316"/>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line="105" w:lineRule="exact"/>
              <w:rPr>
                <w:sz w:val="20"/>
                <w:szCs w:val="20"/>
                <w:color w:val="auto"/>
              </w:rPr>
            </w:pPr>
            <w:r>
              <w:rPr>
                <w:rFonts w:ascii="Arial" w:cs="Arial" w:eastAsia="Arial" w:hAnsi="Arial"/>
                <w:sz w:val="10"/>
                <w:szCs w:val="10"/>
                <w:color w:val="auto"/>
              </w:rPr>
              <w:t>48,359</w:t>
            </w:r>
          </w:p>
        </w:tc>
        <w:tc>
          <w:tcPr>
            <w:tcW w:w="160" w:type="dxa"/>
            <w:vAlign w:val="bottom"/>
          </w:tcPr>
          <w:p>
            <w:pPr>
              <w:spacing w:after="0"/>
              <w:rPr>
                <w:sz w:val="9"/>
                <w:szCs w:val="9"/>
                <w:color w:val="auto"/>
              </w:rPr>
            </w:pPr>
          </w:p>
        </w:tc>
        <w:tc>
          <w:tcPr>
            <w:tcW w:w="300" w:type="dxa"/>
            <w:vAlign w:val="bottom"/>
          </w:tcPr>
          <w:p>
            <w:pPr>
              <w:jc w:val="right"/>
              <w:ind w:right="192"/>
              <w:spacing w:after="0" w:line="105" w:lineRule="exact"/>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05" w:lineRule="exact"/>
              <w:rPr>
                <w:sz w:val="20"/>
                <w:szCs w:val="20"/>
                <w:color w:val="auto"/>
              </w:rPr>
            </w:pPr>
            <w:r>
              <w:rPr>
                <w:rFonts w:ascii="Arial" w:cs="Arial" w:eastAsia="Arial" w:hAnsi="Arial"/>
                <w:sz w:val="10"/>
                <w:szCs w:val="10"/>
                <w:color w:val="auto"/>
              </w:rPr>
              <w:t>165,731</w:t>
            </w:r>
          </w:p>
        </w:tc>
        <w:tc>
          <w:tcPr>
            <w:tcW w:w="140" w:type="dxa"/>
            <w:vAlign w:val="bottom"/>
          </w:tcPr>
          <w:p>
            <w:pPr>
              <w:spacing w:after="0"/>
              <w:rPr>
                <w:sz w:val="9"/>
                <w:szCs w:val="9"/>
                <w:color w:val="auto"/>
              </w:rPr>
            </w:pPr>
          </w:p>
        </w:tc>
        <w:tc>
          <w:tcPr>
            <w:tcW w:w="440" w:type="dxa"/>
            <w:vAlign w:val="bottom"/>
          </w:tcPr>
          <w:p>
            <w:pPr>
              <w:jc w:val="right"/>
              <w:ind w:right="332"/>
              <w:spacing w:after="0" w:line="105" w:lineRule="exact"/>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05" w:lineRule="exact"/>
              <w:rPr>
                <w:sz w:val="20"/>
                <w:szCs w:val="20"/>
                <w:color w:val="auto"/>
              </w:rPr>
            </w:pPr>
            <w:r>
              <w:rPr>
                <w:rFonts w:ascii="Arial" w:cs="Arial" w:eastAsia="Arial" w:hAnsi="Arial"/>
                <w:sz w:val="10"/>
                <w:szCs w:val="10"/>
                <w:color w:val="auto"/>
              </w:rPr>
              <w:t>147,476</w:t>
            </w:r>
          </w:p>
        </w:tc>
        <w:tc>
          <w:tcPr>
            <w:tcW w:w="20" w:type="dxa"/>
            <w:vAlign w:val="bottom"/>
          </w:tcPr>
          <w:p>
            <w:pPr>
              <w:spacing w:after="0"/>
              <w:rPr>
                <w:sz w:val="9"/>
                <w:szCs w:val="9"/>
                <w:color w:val="auto"/>
              </w:rPr>
            </w:pPr>
          </w:p>
        </w:tc>
      </w:tr>
      <w:tr>
        <w:trPr>
          <w:trHeight w:val="105"/>
        </w:trPr>
        <w:tc>
          <w:tcPr>
            <w:tcW w:w="4840" w:type="dxa"/>
            <w:vAlign w:val="bottom"/>
            <w:tcBorders>
              <w:bottom w:val="single" w:sz="8" w:color="auto"/>
            </w:tcBorders>
            <w:shd w:val="clear" w:color="auto" w:fill="CCEEFF"/>
          </w:tcPr>
          <w:p>
            <w:pPr>
              <w:spacing w:after="0" w:line="105" w:lineRule="exact"/>
              <w:rPr>
                <w:sz w:val="20"/>
                <w:szCs w:val="20"/>
                <w:color w:val="auto"/>
              </w:rPr>
            </w:pPr>
            <w:r>
              <w:rPr>
                <w:rFonts w:ascii="Arial" w:cs="Arial" w:eastAsia="Arial" w:hAnsi="Arial"/>
                <w:sz w:val="10"/>
                <w:szCs w:val="10"/>
                <w:color w:val="auto"/>
              </w:rPr>
              <w:t>Real estate</w:t>
            </w:r>
          </w:p>
        </w:tc>
        <w:tc>
          <w:tcPr>
            <w:tcW w:w="16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3,875</w:t>
            </w:r>
          </w:p>
        </w:tc>
        <w:tc>
          <w:tcPr>
            <w:tcW w:w="16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2,837</w:t>
            </w:r>
          </w:p>
        </w:tc>
        <w:tc>
          <w:tcPr>
            <w:tcW w:w="16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11,694</w:t>
            </w:r>
          </w:p>
        </w:tc>
        <w:tc>
          <w:tcPr>
            <w:tcW w:w="140" w:type="dxa"/>
            <w:vAlign w:val="bottom"/>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8,432</w:t>
            </w:r>
          </w:p>
        </w:tc>
        <w:tc>
          <w:tcPr>
            <w:tcW w:w="20" w:type="dxa"/>
            <w:vAlign w:val="bottom"/>
          </w:tcPr>
          <w:p>
            <w:pPr>
              <w:spacing w:after="0"/>
              <w:rPr>
                <w:sz w:val="9"/>
                <w:szCs w:val="9"/>
                <w:color w:val="auto"/>
              </w:rPr>
            </w:pPr>
          </w:p>
        </w:tc>
      </w:tr>
      <w:tr>
        <w:trPr>
          <w:trHeight w:val="93"/>
        </w:trPr>
        <w:tc>
          <w:tcPr>
            <w:tcW w:w="4840" w:type="dxa"/>
            <w:vAlign w:val="bottom"/>
            <w:tcBorders>
              <w:bottom w:val="single" w:sz="8" w:color="auto"/>
            </w:tcBorders>
          </w:tcPr>
          <w:p>
            <w:pPr>
              <w:spacing w:after="0" w:line="93" w:lineRule="exact"/>
              <w:rPr>
                <w:sz w:val="20"/>
                <w:szCs w:val="20"/>
                <w:color w:val="auto"/>
              </w:rPr>
            </w:pPr>
            <w:r>
              <w:rPr>
                <w:rFonts w:ascii="Arial" w:cs="Arial" w:eastAsia="Arial" w:hAnsi="Arial"/>
                <w:sz w:val="10"/>
                <w:szCs w:val="10"/>
                <w:color w:val="auto"/>
              </w:rPr>
              <w:t>Total revenue</w:t>
            </w:r>
          </w:p>
        </w:tc>
        <w:tc>
          <w:tcPr>
            <w:tcW w:w="16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66,563</w:t>
            </w:r>
          </w:p>
        </w:tc>
        <w:tc>
          <w:tcPr>
            <w:tcW w:w="16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51,196</w:t>
            </w:r>
          </w:p>
        </w:tc>
        <w:tc>
          <w:tcPr>
            <w:tcW w:w="16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177,425</w:t>
            </w:r>
          </w:p>
        </w:tc>
        <w:tc>
          <w:tcPr>
            <w:tcW w:w="14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155,908</w:t>
            </w:r>
          </w:p>
        </w:tc>
        <w:tc>
          <w:tcPr>
            <w:tcW w:w="20" w:type="dxa"/>
            <w:vAlign w:val="bottom"/>
          </w:tcPr>
          <w:p>
            <w:pPr>
              <w:spacing w:after="0"/>
              <w:rPr>
                <w:sz w:val="8"/>
                <w:szCs w:val="8"/>
                <w:color w:val="auto"/>
              </w:rPr>
            </w:pPr>
          </w:p>
        </w:tc>
      </w:tr>
      <w:tr>
        <w:trPr>
          <w:trHeight w:val="93"/>
        </w:trPr>
        <w:tc>
          <w:tcPr>
            <w:tcW w:w="4840" w:type="dxa"/>
            <w:vAlign w:val="bottom"/>
            <w:shd w:val="clear" w:color="auto" w:fill="CCEEFF"/>
          </w:tcPr>
          <w:p>
            <w:pPr>
              <w:spacing w:after="0" w:line="93" w:lineRule="exact"/>
              <w:rPr>
                <w:sz w:val="20"/>
                <w:szCs w:val="20"/>
                <w:color w:val="auto"/>
              </w:rPr>
            </w:pPr>
            <w:r>
              <w:rPr>
                <w:rFonts w:ascii="Arial" w:cs="Arial" w:eastAsia="Arial" w:hAnsi="Arial"/>
                <w:sz w:val="10"/>
                <w:szCs w:val="10"/>
                <w:b w:val="1"/>
                <w:bCs w:val="1"/>
                <w:color w:val="auto"/>
              </w:rPr>
              <w:t>Costs and expenses</w:t>
            </w: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5"/>
        </w:trPr>
        <w:tc>
          <w:tcPr>
            <w:tcW w:w="4840" w:type="dxa"/>
            <w:vAlign w:val="bottom"/>
          </w:tcPr>
          <w:p>
            <w:pPr>
              <w:spacing w:after="0" w:line="105" w:lineRule="exact"/>
              <w:rPr>
                <w:sz w:val="20"/>
                <w:szCs w:val="20"/>
                <w:color w:val="auto"/>
              </w:rPr>
            </w:pPr>
            <w:r>
              <w:rPr>
                <w:rFonts w:ascii="Arial" w:cs="Arial" w:eastAsia="Arial" w:hAnsi="Arial"/>
                <w:sz w:val="10"/>
                <w:szCs w:val="10"/>
                <w:color w:val="auto"/>
              </w:rPr>
              <w:t>Cinema</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(53,278)</w:t>
            </w:r>
          </w:p>
        </w:tc>
        <w:tc>
          <w:tcPr>
            <w:tcW w:w="380" w:type="dxa"/>
            <w:vAlign w:val="bottom"/>
          </w:tcPr>
          <w:p>
            <w:pPr>
              <w:spacing w:after="0"/>
              <w:rPr>
                <w:sz w:val="9"/>
                <w:szCs w:val="9"/>
                <w:color w:val="auto"/>
              </w:rPr>
            </w:pPr>
          </w:p>
        </w:tc>
        <w:tc>
          <w:tcPr>
            <w:tcW w:w="106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(45,308)</w:t>
            </w:r>
          </w:p>
        </w:tc>
        <w:tc>
          <w:tcPr>
            <w:tcW w:w="300" w:type="dxa"/>
            <w:vAlign w:val="bottom"/>
          </w:tcPr>
          <w:p>
            <w:pPr>
              <w:spacing w:after="0"/>
              <w:rPr>
                <w:sz w:val="9"/>
                <w:szCs w:val="9"/>
                <w:color w:val="auto"/>
              </w:rPr>
            </w:pPr>
          </w:p>
        </w:tc>
        <w:tc>
          <w:tcPr>
            <w:tcW w:w="114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(146,297)</w:t>
            </w:r>
          </w:p>
        </w:tc>
        <w:tc>
          <w:tcPr>
            <w:tcW w:w="440" w:type="dxa"/>
            <w:vAlign w:val="bottom"/>
          </w:tcPr>
          <w:p>
            <w:pPr>
              <w:spacing w:after="0"/>
              <w:rPr>
                <w:sz w:val="9"/>
                <w:szCs w:val="9"/>
                <w:color w:val="auto"/>
              </w:rPr>
            </w:pPr>
          </w:p>
        </w:tc>
        <w:tc>
          <w:tcPr>
            <w:tcW w:w="860" w:type="dxa"/>
            <w:vAlign w:val="bottom"/>
          </w:tcPr>
          <w:p>
            <w:pPr>
              <w:jc w:val="right"/>
              <w:spacing w:after="0" w:line="105" w:lineRule="exact"/>
              <w:rPr>
                <w:sz w:val="20"/>
                <w:szCs w:val="20"/>
                <w:color w:val="auto"/>
              </w:rPr>
            </w:pPr>
            <w:r>
              <w:rPr>
                <w:rFonts w:ascii="Arial" w:cs="Arial" w:eastAsia="Arial" w:hAnsi="Arial"/>
                <w:sz w:val="10"/>
                <w:szCs w:val="10"/>
                <w:color w:val="auto"/>
              </w:rPr>
              <w:t>(134,579)</w:t>
            </w:r>
          </w:p>
        </w:tc>
        <w:tc>
          <w:tcPr>
            <w:tcW w:w="20" w:type="dxa"/>
            <w:vAlign w:val="bottom"/>
          </w:tcPr>
          <w:p>
            <w:pPr>
              <w:spacing w:after="0"/>
              <w:rPr>
                <w:sz w:val="9"/>
                <w:szCs w:val="9"/>
                <w:color w:val="auto"/>
              </w:rPr>
            </w:pPr>
          </w:p>
        </w:tc>
      </w:tr>
      <w:tr>
        <w:trPr>
          <w:trHeight w:val="105"/>
        </w:trPr>
        <w:tc>
          <w:tcPr>
            <w:tcW w:w="484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Real estate</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(2,281)</w:t>
            </w:r>
          </w:p>
        </w:tc>
        <w:tc>
          <w:tcPr>
            <w:tcW w:w="38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(2,352)</w:t>
            </w: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(6,600)</w:t>
            </w:r>
          </w:p>
        </w:tc>
        <w:tc>
          <w:tcPr>
            <w:tcW w:w="4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(6,715)</w:t>
            </w:r>
          </w:p>
        </w:tc>
        <w:tc>
          <w:tcPr>
            <w:tcW w:w="20" w:type="dxa"/>
            <w:vAlign w:val="bottom"/>
          </w:tcPr>
          <w:p>
            <w:pPr>
              <w:spacing w:after="0"/>
              <w:rPr>
                <w:sz w:val="9"/>
                <w:szCs w:val="9"/>
                <w:color w:val="auto"/>
              </w:rPr>
            </w:pPr>
          </w:p>
        </w:tc>
      </w:tr>
      <w:tr>
        <w:trPr>
          <w:trHeight w:val="105"/>
        </w:trPr>
        <w:tc>
          <w:tcPr>
            <w:tcW w:w="4840" w:type="dxa"/>
            <w:vAlign w:val="bottom"/>
          </w:tcPr>
          <w:p>
            <w:pPr>
              <w:spacing w:after="0" w:line="105" w:lineRule="exact"/>
              <w:rPr>
                <w:sz w:val="20"/>
                <w:szCs w:val="20"/>
                <w:color w:val="auto"/>
              </w:rPr>
            </w:pPr>
            <w:r>
              <w:rPr>
                <w:rFonts w:ascii="Arial" w:cs="Arial" w:eastAsia="Arial" w:hAnsi="Arial"/>
                <w:sz w:val="10"/>
                <w:szCs w:val="10"/>
                <w:color w:val="auto"/>
              </w:rPr>
              <w:t>Depreciation and amortization</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(4,580)</w:t>
            </w:r>
          </w:p>
        </w:tc>
        <w:tc>
          <w:tcPr>
            <w:tcW w:w="380" w:type="dxa"/>
            <w:vAlign w:val="bottom"/>
          </w:tcPr>
          <w:p>
            <w:pPr>
              <w:spacing w:after="0"/>
              <w:rPr>
                <w:sz w:val="9"/>
                <w:szCs w:val="9"/>
                <w:color w:val="auto"/>
              </w:rPr>
            </w:pPr>
          </w:p>
        </w:tc>
        <w:tc>
          <w:tcPr>
            <w:tcW w:w="106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(5,010)</w:t>
            </w:r>
          </w:p>
        </w:tc>
        <w:tc>
          <w:tcPr>
            <w:tcW w:w="300" w:type="dxa"/>
            <w:vAlign w:val="bottom"/>
          </w:tcPr>
          <w:p>
            <w:pPr>
              <w:spacing w:after="0"/>
              <w:rPr>
                <w:sz w:val="9"/>
                <w:szCs w:val="9"/>
                <w:color w:val="auto"/>
              </w:rPr>
            </w:pPr>
          </w:p>
        </w:tc>
        <w:tc>
          <w:tcPr>
            <w:tcW w:w="114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(13,908)</w:t>
            </w:r>
          </w:p>
        </w:tc>
        <w:tc>
          <w:tcPr>
            <w:tcW w:w="440" w:type="dxa"/>
            <w:vAlign w:val="bottom"/>
          </w:tcPr>
          <w:p>
            <w:pPr>
              <w:spacing w:after="0"/>
              <w:rPr>
                <w:sz w:val="9"/>
                <w:szCs w:val="9"/>
                <w:color w:val="auto"/>
              </w:rPr>
            </w:pPr>
          </w:p>
        </w:tc>
        <w:tc>
          <w:tcPr>
            <w:tcW w:w="860" w:type="dxa"/>
            <w:vAlign w:val="bottom"/>
          </w:tcPr>
          <w:p>
            <w:pPr>
              <w:jc w:val="right"/>
              <w:spacing w:after="0" w:line="105" w:lineRule="exact"/>
              <w:rPr>
                <w:sz w:val="20"/>
                <w:szCs w:val="20"/>
                <w:color w:val="auto"/>
              </w:rPr>
            </w:pPr>
            <w:r>
              <w:rPr>
                <w:rFonts w:ascii="Arial" w:cs="Arial" w:eastAsia="Arial" w:hAnsi="Arial"/>
                <w:sz w:val="10"/>
                <w:szCs w:val="10"/>
                <w:color w:val="auto"/>
              </w:rPr>
              <w:t>(15,781)</w:t>
            </w:r>
          </w:p>
        </w:tc>
        <w:tc>
          <w:tcPr>
            <w:tcW w:w="20" w:type="dxa"/>
            <w:vAlign w:val="bottom"/>
          </w:tcPr>
          <w:p>
            <w:pPr>
              <w:spacing w:after="0"/>
              <w:rPr>
                <w:sz w:val="9"/>
                <w:szCs w:val="9"/>
                <w:color w:val="auto"/>
              </w:rPr>
            </w:pPr>
          </w:p>
        </w:tc>
      </w:tr>
      <w:tr>
        <w:trPr>
          <w:trHeight w:val="105"/>
        </w:trPr>
        <w:tc>
          <w:tcPr>
            <w:tcW w:w="484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Impairment expense</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00"/>
              <w:spacing w:after="0" w:line="105"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00"/>
              <w:spacing w:after="0" w:line="105"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(1,549)</w:t>
            </w:r>
          </w:p>
        </w:tc>
        <w:tc>
          <w:tcPr>
            <w:tcW w:w="20" w:type="dxa"/>
            <w:vAlign w:val="bottom"/>
          </w:tcPr>
          <w:p>
            <w:pPr>
              <w:spacing w:after="0"/>
              <w:rPr>
                <w:sz w:val="9"/>
                <w:szCs w:val="9"/>
                <w:color w:val="auto"/>
              </w:rPr>
            </w:pPr>
          </w:p>
        </w:tc>
      </w:tr>
      <w:tr>
        <w:trPr>
          <w:trHeight w:val="105"/>
        </w:trPr>
        <w:tc>
          <w:tcPr>
            <w:tcW w:w="4840" w:type="dxa"/>
            <w:vAlign w:val="bottom"/>
          </w:tcPr>
          <w:p>
            <w:pPr>
              <w:spacing w:after="0" w:line="105" w:lineRule="exact"/>
              <w:rPr>
                <w:sz w:val="20"/>
                <w:szCs w:val="20"/>
                <w:color w:val="auto"/>
              </w:rPr>
            </w:pPr>
            <w:r>
              <w:rPr>
                <w:rFonts w:ascii="Arial" w:cs="Arial" w:eastAsia="Arial" w:hAnsi="Arial"/>
                <w:sz w:val="10"/>
                <w:szCs w:val="10"/>
                <w:color w:val="auto"/>
              </w:rPr>
              <w:t>General and administrative</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(5,405)</w:t>
            </w:r>
          </w:p>
        </w:tc>
        <w:tc>
          <w:tcPr>
            <w:tcW w:w="380" w:type="dxa"/>
            <w:vAlign w:val="bottom"/>
          </w:tcPr>
          <w:p>
            <w:pPr>
              <w:spacing w:after="0"/>
              <w:rPr>
                <w:sz w:val="9"/>
                <w:szCs w:val="9"/>
                <w:color w:val="auto"/>
              </w:rPr>
            </w:pPr>
          </w:p>
        </w:tc>
        <w:tc>
          <w:tcPr>
            <w:tcW w:w="106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(5,257)</w:t>
            </w:r>
          </w:p>
        </w:tc>
        <w:tc>
          <w:tcPr>
            <w:tcW w:w="300" w:type="dxa"/>
            <w:vAlign w:val="bottom"/>
          </w:tcPr>
          <w:p>
            <w:pPr>
              <w:spacing w:after="0"/>
              <w:rPr>
                <w:sz w:val="9"/>
                <w:szCs w:val="9"/>
                <w:color w:val="auto"/>
              </w:rPr>
            </w:pPr>
          </w:p>
        </w:tc>
        <w:tc>
          <w:tcPr>
            <w:tcW w:w="114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(15,693)</w:t>
            </w:r>
          </w:p>
        </w:tc>
        <w:tc>
          <w:tcPr>
            <w:tcW w:w="440" w:type="dxa"/>
            <w:vAlign w:val="bottom"/>
          </w:tcPr>
          <w:p>
            <w:pPr>
              <w:spacing w:after="0"/>
              <w:rPr>
                <w:sz w:val="9"/>
                <w:szCs w:val="9"/>
                <w:color w:val="auto"/>
              </w:rPr>
            </w:pPr>
          </w:p>
        </w:tc>
        <w:tc>
          <w:tcPr>
            <w:tcW w:w="860" w:type="dxa"/>
            <w:vAlign w:val="bottom"/>
          </w:tcPr>
          <w:p>
            <w:pPr>
              <w:jc w:val="right"/>
              <w:spacing w:after="0" w:line="105" w:lineRule="exact"/>
              <w:rPr>
                <w:sz w:val="20"/>
                <w:szCs w:val="20"/>
                <w:color w:val="auto"/>
              </w:rPr>
            </w:pPr>
            <w:r>
              <w:rPr>
                <w:rFonts w:ascii="Arial" w:cs="Arial" w:eastAsia="Arial" w:hAnsi="Arial"/>
                <w:sz w:val="10"/>
                <w:szCs w:val="10"/>
                <w:color w:val="auto"/>
              </w:rPr>
              <w:t>(17,364)</w:t>
            </w:r>
          </w:p>
        </w:tc>
        <w:tc>
          <w:tcPr>
            <w:tcW w:w="20" w:type="dxa"/>
            <w:vAlign w:val="bottom"/>
          </w:tcPr>
          <w:p>
            <w:pPr>
              <w:spacing w:after="0"/>
              <w:rPr>
                <w:sz w:val="9"/>
                <w:szCs w:val="9"/>
                <w:color w:val="auto"/>
              </w:rPr>
            </w:pPr>
          </w:p>
        </w:tc>
      </w:tr>
      <w:tr>
        <w:trPr>
          <w:trHeight w:val="93"/>
        </w:trPr>
        <w:tc>
          <w:tcPr>
            <w:tcW w:w="4840" w:type="dxa"/>
            <w:vAlign w:val="bottom"/>
            <w:tcBorders>
              <w:top w:val="single" w:sz="8" w:color="auto"/>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Total costs and expenses</w:t>
            </w: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bottom w:val="single" w:sz="8" w:color="auto"/>
            </w:tcBorders>
            <w:shd w:val="clear" w:color="auto" w:fill="CCEEFF"/>
          </w:tcPr>
          <w:p>
            <w:pPr>
              <w:spacing w:after="0"/>
              <w:rPr>
                <w:sz w:val="8"/>
                <w:szCs w:val="8"/>
                <w:color w:val="auto"/>
              </w:rPr>
            </w:pPr>
          </w:p>
        </w:tc>
        <w:tc>
          <w:tcPr>
            <w:tcW w:w="98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(65,544)</w:t>
            </w:r>
          </w:p>
        </w:tc>
        <w:tc>
          <w:tcPr>
            <w:tcW w:w="1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bottom w:val="single" w:sz="8" w:color="auto"/>
            </w:tcBorders>
            <w:shd w:val="clear" w:color="auto" w:fill="CCEEFF"/>
          </w:tcPr>
          <w:p>
            <w:pPr>
              <w:spacing w:after="0"/>
              <w:rPr>
                <w:sz w:val="8"/>
                <w:szCs w:val="8"/>
                <w:color w:val="auto"/>
              </w:rPr>
            </w:pPr>
          </w:p>
        </w:tc>
        <w:tc>
          <w:tcPr>
            <w:tcW w:w="90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(57,927)</w:t>
            </w: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bottom w:val="single" w:sz="8" w:color="auto"/>
            </w:tcBorders>
            <w:shd w:val="clear" w:color="auto" w:fill="CCEEFF"/>
          </w:tcPr>
          <w:p>
            <w:pPr>
              <w:spacing w:after="0"/>
              <w:rPr>
                <w:sz w:val="8"/>
                <w:szCs w:val="8"/>
                <w:color w:val="auto"/>
              </w:rPr>
            </w:pPr>
          </w:p>
        </w:tc>
        <w:tc>
          <w:tcPr>
            <w:tcW w:w="100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(182,498)</w:t>
            </w:r>
          </w:p>
        </w:tc>
        <w:tc>
          <w:tcPr>
            <w:tcW w:w="1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bottom w:val="single" w:sz="8" w:color="auto"/>
            </w:tcBorders>
            <w:shd w:val="clear" w:color="auto" w:fill="CCEEFF"/>
          </w:tcPr>
          <w:p>
            <w:pPr>
              <w:spacing w:after="0"/>
              <w:rPr>
                <w:sz w:val="8"/>
                <w:szCs w:val="8"/>
                <w:color w:val="auto"/>
              </w:rPr>
            </w:pPr>
          </w:p>
        </w:tc>
        <w:tc>
          <w:tcPr>
            <w:tcW w:w="86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(175,988)</w:t>
            </w:r>
          </w:p>
        </w:tc>
        <w:tc>
          <w:tcPr>
            <w:tcW w:w="20" w:type="dxa"/>
            <w:vAlign w:val="bottom"/>
          </w:tcPr>
          <w:p>
            <w:pPr>
              <w:spacing w:after="0"/>
              <w:rPr>
                <w:sz w:val="8"/>
                <w:szCs w:val="8"/>
                <w:color w:val="auto"/>
              </w:rPr>
            </w:pPr>
          </w:p>
        </w:tc>
      </w:tr>
      <w:tr>
        <w:trPr>
          <w:trHeight w:val="93"/>
        </w:trPr>
        <w:tc>
          <w:tcPr>
            <w:tcW w:w="4840" w:type="dxa"/>
            <w:vAlign w:val="bottom"/>
          </w:tcPr>
          <w:p>
            <w:pPr>
              <w:spacing w:after="0" w:line="93" w:lineRule="exact"/>
              <w:rPr>
                <w:sz w:val="20"/>
                <w:szCs w:val="20"/>
                <w:color w:val="auto"/>
              </w:rPr>
            </w:pPr>
            <w:r>
              <w:rPr>
                <w:rFonts w:ascii="Arial" w:cs="Arial" w:eastAsia="Arial" w:hAnsi="Arial"/>
                <w:sz w:val="10"/>
                <w:szCs w:val="10"/>
                <w:b w:val="1"/>
                <w:bCs w:val="1"/>
                <w:color w:val="auto"/>
              </w:rPr>
              <w:t>Operating income (loss)</w:t>
            </w: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jc w:val="right"/>
              <w:spacing w:after="0" w:line="93" w:lineRule="exact"/>
              <w:rPr>
                <w:sz w:val="20"/>
                <w:szCs w:val="20"/>
                <w:color w:val="auto"/>
              </w:rPr>
            </w:pPr>
            <w:r>
              <w:rPr>
                <w:rFonts w:ascii="Arial" w:cs="Arial" w:eastAsia="Arial" w:hAnsi="Arial"/>
                <w:sz w:val="10"/>
                <w:szCs w:val="10"/>
                <w:color w:val="auto"/>
              </w:rPr>
              <w:t>1,019</w:t>
            </w: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jc w:val="right"/>
              <w:spacing w:after="0" w:line="93" w:lineRule="exact"/>
              <w:rPr>
                <w:sz w:val="20"/>
                <w:szCs w:val="20"/>
                <w:color w:val="auto"/>
              </w:rPr>
            </w:pPr>
            <w:r>
              <w:rPr>
                <w:rFonts w:ascii="Arial" w:cs="Arial" w:eastAsia="Arial" w:hAnsi="Arial"/>
                <w:sz w:val="10"/>
                <w:szCs w:val="10"/>
                <w:color w:val="auto"/>
              </w:rPr>
              <w:t>(6,731)</w:t>
            </w: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right"/>
              <w:spacing w:after="0" w:line="93" w:lineRule="exact"/>
              <w:rPr>
                <w:sz w:val="20"/>
                <w:szCs w:val="20"/>
                <w:color w:val="auto"/>
              </w:rPr>
            </w:pPr>
            <w:r>
              <w:rPr>
                <w:rFonts w:ascii="Arial" w:cs="Arial" w:eastAsia="Arial" w:hAnsi="Arial"/>
                <w:sz w:val="10"/>
                <w:szCs w:val="10"/>
                <w:color w:val="auto"/>
              </w:rPr>
              <w:t>(5,073)</w:t>
            </w: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jc w:val="right"/>
              <w:spacing w:after="0" w:line="93" w:lineRule="exact"/>
              <w:rPr>
                <w:sz w:val="20"/>
                <w:szCs w:val="20"/>
                <w:color w:val="auto"/>
              </w:rPr>
            </w:pPr>
            <w:r>
              <w:rPr>
                <w:rFonts w:ascii="Arial" w:cs="Arial" w:eastAsia="Arial" w:hAnsi="Arial"/>
                <w:sz w:val="10"/>
                <w:szCs w:val="10"/>
                <w:color w:val="auto"/>
              </w:rPr>
              <w:t>(20,080)</w:t>
            </w:r>
          </w:p>
        </w:tc>
        <w:tc>
          <w:tcPr>
            <w:tcW w:w="20" w:type="dxa"/>
            <w:vAlign w:val="bottom"/>
          </w:tcPr>
          <w:p>
            <w:pPr>
              <w:spacing w:after="0"/>
              <w:rPr>
                <w:sz w:val="8"/>
                <w:szCs w:val="8"/>
                <w:color w:val="auto"/>
              </w:rPr>
            </w:pPr>
          </w:p>
        </w:tc>
      </w:tr>
      <w:tr>
        <w:trPr>
          <w:trHeight w:val="105"/>
        </w:trPr>
        <w:tc>
          <w:tcPr>
            <w:tcW w:w="484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Interest expense, net</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(5,072)</w:t>
            </w:r>
          </w:p>
        </w:tc>
        <w:tc>
          <w:tcPr>
            <w:tcW w:w="38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(3,693)</w:t>
            </w: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(14,063)</w:t>
            </w:r>
          </w:p>
        </w:tc>
        <w:tc>
          <w:tcPr>
            <w:tcW w:w="4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(10,242)</w:t>
            </w:r>
          </w:p>
        </w:tc>
        <w:tc>
          <w:tcPr>
            <w:tcW w:w="20" w:type="dxa"/>
            <w:vAlign w:val="bottom"/>
          </w:tcPr>
          <w:p>
            <w:pPr>
              <w:spacing w:after="0"/>
              <w:rPr>
                <w:sz w:val="9"/>
                <w:szCs w:val="9"/>
                <w:color w:val="auto"/>
              </w:rPr>
            </w:pPr>
          </w:p>
        </w:tc>
      </w:tr>
      <w:tr>
        <w:trPr>
          <w:trHeight w:val="105"/>
        </w:trPr>
        <w:tc>
          <w:tcPr>
            <w:tcW w:w="4840" w:type="dxa"/>
            <w:vAlign w:val="bottom"/>
          </w:tcPr>
          <w:p>
            <w:pPr>
              <w:spacing w:after="0" w:line="105" w:lineRule="exact"/>
              <w:rPr>
                <w:sz w:val="20"/>
                <w:szCs w:val="20"/>
                <w:color w:val="auto"/>
              </w:rPr>
            </w:pPr>
            <w:r>
              <w:rPr>
                <w:rFonts w:ascii="Arial" w:cs="Arial" w:eastAsia="Arial" w:hAnsi="Arial"/>
                <w:sz w:val="10"/>
                <w:szCs w:val="10"/>
                <w:color w:val="auto"/>
              </w:rPr>
              <w:t>Gain (loss) on sale of assets</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gridSpan w:val="2"/>
          </w:tcPr>
          <w:p>
            <w:pPr>
              <w:jc w:val="right"/>
              <w:ind w:right="200"/>
              <w:spacing w:after="0" w:line="105"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106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(59)</w:t>
            </w:r>
          </w:p>
        </w:tc>
        <w:tc>
          <w:tcPr>
            <w:tcW w:w="300" w:type="dxa"/>
            <w:vAlign w:val="bottom"/>
          </w:tcPr>
          <w:p>
            <w:pPr>
              <w:spacing w:after="0"/>
              <w:rPr>
                <w:sz w:val="9"/>
                <w:szCs w:val="9"/>
                <w:color w:val="auto"/>
              </w:rPr>
            </w:pPr>
          </w:p>
        </w:tc>
        <w:tc>
          <w:tcPr>
            <w:tcW w:w="114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860" w:type="dxa"/>
            <w:vAlign w:val="bottom"/>
          </w:tcPr>
          <w:p>
            <w:pPr>
              <w:jc w:val="right"/>
              <w:spacing w:after="0" w:line="105" w:lineRule="exact"/>
              <w:rPr>
                <w:sz w:val="20"/>
                <w:szCs w:val="20"/>
                <w:color w:val="auto"/>
              </w:rPr>
            </w:pPr>
            <w:r>
              <w:rPr>
                <w:rFonts w:ascii="Arial" w:cs="Arial" w:eastAsia="Arial" w:hAnsi="Arial"/>
                <w:sz w:val="10"/>
                <w:szCs w:val="10"/>
                <w:color w:val="auto"/>
              </w:rPr>
              <w:t>(59)</w:t>
            </w:r>
          </w:p>
        </w:tc>
        <w:tc>
          <w:tcPr>
            <w:tcW w:w="20" w:type="dxa"/>
            <w:vAlign w:val="bottom"/>
          </w:tcPr>
          <w:p>
            <w:pPr>
              <w:spacing w:after="0"/>
              <w:rPr>
                <w:sz w:val="9"/>
                <w:szCs w:val="9"/>
                <w:color w:val="auto"/>
              </w:rPr>
            </w:pPr>
          </w:p>
        </w:tc>
      </w:tr>
      <w:tr>
        <w:trPr>
          <w:trHeight w:val="105"/>
        </w:trPr>
        <w:tc>
          <w:tcPr>
            <w:tcW w:w="4840" w:type="dxa"/>
            <w:vAlign w:val="bottom"/>
            <w:tcBorders>
              <w:bottom w:val="single" w:sz="8" w:color="auto"/>
            </w:tcBorders>
            <w:shd w:val="clear" w:color="auto" w:fill="CCEEFF"/>
          </w:tcPr>
          <w:p>
            <w:pPr>
              <w:spacing w:after="0" w:line="105" w:lineRule="exact"/>
              <w:rPr>
                <w:sz w:val="20"/>
                <w:szCs w:val="20"/>
                <w:color w:val="auto"/>
              </w:rPr>
            </w:pPr>
            <w:r>
              <w:rPr>
                <w:rFonts w:ascii="Arial" w:cs="Arial" w:eastAsia="Arial" w:hAnsi="Arial"/>
                <w:sz w:val="10"/>
                <w:szCs w:val="10"/>
                <w:color w:val="auto"/>
              </w:rPr>
              <w:t>Other income (expense)</w:t>
            </w:r>
          </w:p>
        </w:tc>
        <w:tc>
          <w:tcPr>
            <w:tcW w:w="16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267</w:t>
            </w:r>
          </w:p>
        </w:tc>
        <w:tc>
          <w:tcPr>
            <w:tcW w:w="16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5,455</w:t>
            </w:r>
          </w:p>
        </w:tc>
        <w:tc>
          <w:tcPr>
            <w:tcW w:w="16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356</w:t>
            </w:r>
          </w:p>
        </w:tc>
        <w:tc>
          <w:tcPr>
            <w:tcW w:w="140" w:type="dxa"/>
            <w:vAlign w:val="bottom"/>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8,445</w:t>
            </w:r>
          </w:p>
        </w:tc>
        <w:tc>
          <w:tcPr>
            <w:tcW w:w="20" w:type="dxa"/>
            <w:vAlign w:val="bottom"/>
          </w:tcPr>
          <w:p>
            <w:pPr>
              <w:spacing w:after="0"/>
              <w:rPr>
                <w:sz w:val="9"/>
                <w:szCs w:val="9"/>
                <w:color w:val="auto"/>
              </w:rPr>
            </w:pPr>
          </w:p>
        </w:tc>
      </w:tr>
      <w:tr>
        <w:trPr>
          <w:trHeight w:val="93"/>
        </w:trPr>
        <w:tc>
          <w:tcPr>
            <w:tcW w:w="4840" w:type="dxa"/>
            <w:vAlign w:val="bottom"/>
          </w:tcPr>
          <w:p>
            <w:pPr>
              <w:spacing w:after="0" w:line="93" w:lineRule="exact"/>
              <w:rPr>
                <w:sz w:val="20"/>
                <w:szCs w:val="20"/>
                <w:color w:val="auto"/>
              </w:rPr>
            </w:pPr>
            <w:r>
              <w:rPr>
                <w:rFonts w:ascii="Arial" w:cs="Arial" w:eastAsia="Arial" w:hAnsi="Arial"/>
                <w:sz w:val="10"/>
                <w:szCs w:val="10"/>
                <w:b w:val="1"/>
                <w:bCs w:val="1"/>
                <w:color w:val="auto"/>
              </w:rPr>
              <w:t>Income (loss) before income tax expense and equity earnings of unconsolidated joint ventures</w:t>
            </w: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jc w:val="right"/>
              <w:spacing w:after="0" w:line="93" w:lineRule="exact"/>
              <w:rPr>
                <w:sz w:val="20"/>
                <w:szCs w:val="20"/>
                <w:color w:val="auto"/>
              </w:rPr>
            </w:pPr>
            <w:r>
              <w:rPr>
                <w:rFonts w:ascii="Arial" w:cs="Arial" w:eastAsia="Arial" w:hAnsi="Arial"/>
                <w:sz w:val="10"/>
                <w:szCs w:val="10"/>
                <w:color w:val="auto"/>
              </w:rPr>
              <w:t>(3,786)</w:t>
            </w: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jc w:val="right"/>
              <w:spacing w:after="0" w:line="93" w:lineRule="exact"/>
              <w:rPr>
                <w:sz w:val="20"/>
                <w:szCs w:val="20"/>
                <w:color w:val="auto"/>
              </w:rPr>
            </w:pPr>
            <w:r>
              <w:rPr>
                <w:rFonts w:ascii="Arial" w:cs="Arial" w:eastAsia="Arial" w:hAnsi="Arial"/>
                <w:sz w:val="10"/>
                <w:szCs w:val="10"/>
                <w:color w:val="auto"/>
              </w:rPr>
              <w:t>(5,028)</w:t>
            </w: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right"/>
              <w:spacing w:after="0" w:line="93" w:lineRule="exact"/>
              <w:rPr>
                <w:sz w:val="20"/>
                <w:szCs w:val="20"/>
                <w:color w:val="auto"/>
              </w:rPr>
            </w:pPr>
            <w:r>
              <w:rPr>
                <w:rFonts w:ascii="Arial" w:cs="Arial" w:eastAsia="Arial" w:hAnsi="Arial"/>
                <w:sz w:val="10"/>
                <w:szCs w:val="10"/>
                <w:color w:val="auto"/>
              </w:rPr>
              <w:t>(18,780)</w:t>
            </w: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jc w:val="right"/>
              <w:spacing w:after="0" w:line="93" w:lineRule="exact"/>
              <w:rPr>
                <w:sz w:val="20"/>
                <w:szCs w:val="20"/>
                <w:color w:val="auto"/>
              </w:rPr>
            </w:pPr>
            <w:r>
              <w:rPr>
                <w:rFonts w:ascii="Arial" w:cs="Arial" w:eastAsia="Arial" w:hAnsi="Arial"/>
                <w:sz w:val="10"/>
                <w:szCs w:val="10"/>
                <w:color w:val="auto"/>
              </w:rPr>
              <w:t>(21,936)</w:t>
            </w:r>
          </w:p>
        </w:tc>
        <w:tc>
          <w:tcPr>
            <w:tcW w:w="20" w:type="dxa"/>
            <w:vAlign w:val="bottom"/>
          </w:tcPr>
          <w:p>
            <w:pPr>
              <w:spacing w:after="0"/>
              <w:rPr>
                <w:sz w:val="8"/>
                <w:szCs w:val="8"/>
                <w:color w:val="auto"/>
              </w:rPr>
            </w:pPr>
          </w:p>
        </w:tc>
      </w:tr>
      <w:tr>
        <w:trPr>
          <w:trHeight w:val="105"/>
        </w:trPr>
        <w:tc>
          <w:tcPr>
            <w:tcW w:w="4840" w:type="dxa"/>
            <w:vAlign w:val="bottom"/>
            <w:tcBorders>
              <w:bottom w:val="single" w:sz="8" w:color="auto"/>
            </w:tcBorders>
            <w:shd w:val="clear" w:color="auto" w:fill="CCEEFF"/>
          </w:tcPr>
          <w:p>
            <w:pPr>
              <w:spacing w:after="0" w:line="105" w:lineRule="exact"/>
              <w:rPr>
                <w:sz w:val="20"/>
                <w:szCs w:val="20"/>
                <w:color w:val="auto"/>
              </w:rPr>
            </w:pPr>
            <w:r>
              <w:rPr>
                <w:rFonts w:ascii="Arial" w:cs="Arial" w:eastAsia="Arial" w:hAnsi="Arial"/>
                <w:sz w:val="10"/>
                <w:szCs w:val="10"/>
                <w:color w:val="auto"/>
              </w:rPr>
              <w:t>Equity earnings of unconsolidated joint ventures</w:t>
            </w:r>
          </w:p>
        </w:tc>
        <w:tc>
          <w:tcPr>
            <w:tcW w:w="16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217</w:t>
            </w:r>
          </w:p>
        </w:tc>
        <w:tc>
          <w:tcPr>
            <w:tcW w:w="16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61</w:t>
            </w:r>
          </w:p>
        </w:tc>
        <w:tc>
          <w:tcPr>
            <w:tcW w:w="16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443</w:t>
            </w:r>
          </w:p>
        </w:tc>
        <w:tc>
          <w:tcPr>
            <w:tcW w:w="140" w:type="dxa"/>
            <w:vAlign w:val="bottom"/>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233</w:t>
            </w:r>
          </w:p>
        </w:tc>
        <w:tc>
          <w:tcPr>
            <w:tcW w:w="20" w:type="dxa"/>
            <w:vAlign w:val="bottom"/>
          </w:tcPr>
          <w:p>
            <w:pPr>
              <w:spacing w:after="0"/>
              <w:rPr>
                <w:sz w:val="9"/>
                <w:szCs w:val="9"/>
                <w:color w:val="auto"/>
              </w:rPr>
            </w:pPr>
          </w:p>
        </w:tc>
      </w:tr>
      <w:tr>
        <w:trPr>
          <w:trHeight w:val="93"/>
        </w:trPr>
        <w:tc>
          <w:tcPr>
            <w:tcW w:w="4840" w:type="dxa"/>
            <w:vAlign w:val="bottom"/>
          </w:tcPr>
          <w:p>
            <w:pPr>
              <w:spacing w:after="0" w:line="93" w:lineRule="exact"/>
              <w:rPr>
                <w:sz w:val="20"/>
                <w:szCs w:val="20"/>
                <w:color w:val="auto"/>
              </w:rPr>
            </w:pPr>
            <w:r>
              <w:rPr>
                <w:rFonts w:ascii="Arial" w:cs="Arial" w:eastAsia="Arial" w:hAnsi="Arial"/>
                <w:sz w:val="10"/>
                <w:szCs w:val="10"/>
                <w:b w:val="1"/>
                <w:bCs w:val="1"/>
                <w:color w:val="auto"/>
              </w:rPr>
              <w:t>Income (loss) before income taxes</w:t>
            </w: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jc w:val="right"/>
              <w:spacing w:after="0" w:line="93" w:lineRule="exact"/>
              <w:rPr>
                <w:sz w:val="20"/>
                <w:szCs w:val="20"/>
                <w:color w:val="auto"/>
              </w:rPr>
            </w:pPr>
            <w:r>
              <w:rPr>
                <w:rFonts w:ascii="Arial" w:cs="Arial" w:eastAsia="Arial" w:hAnsi="Arial"/>
                <w:sz w:val="10"/>
                <w:szCs w:val="10"/>
                <w:color w:val="auto"/>
              </w:rPr>
              <w:t>(3,569)</w:t>
            </w: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jc w:val="right"/>
              <w:spacing w:after="0" w:line="93" w:lineRule="exact"/>
              <w:rPr>
                <w:sz w:val="20"/>
                <w:szCs w:val="20"/>
                <w:color w:val="auto"/>
              </w:rPr>
            </w:pPr>
            <w:r>
              <w:rPr>
                <w:rFonts w:ascii="Arial" w:cs="Arial" w:eastAsia="Arial" w:hAnsi="Arial"/>
                <w:sz w:val="10"/>
                <w:szCs w:val="10"/>
                <w:color w:val="auto"/>
              </w:rPr>
              <w:t>(4,967)</w:t>
            </w: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right"/>
              <w:spacing w:after="0" w:line="93" w:lineRule="exact"/>
              <w:rPr>
                <w:sz w:val="20"/>
                <w:szCs w:val="20"/>
                <w:color w:val="auto"/>
              </w:rPr>
            </w:pPr>
            <w:r>
              <w:rPr>
                <w:rFonts w:ascii="Arial" w:cs="Arial" w:eastAsia="Arial" w:hAnsi="Arial"/>
                <w:sz w:val="10"/>
                <w:szCs w:val="10"/>
                <w:color w:val="auto"/>
              </w:rPr>
              <w:t>(18,337)</w:t>
            </w: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jc w:val="right"/>
              <w:spacing w:after="0" w:line="93" w:lineRule="exact"/>
              <w:rPr>
                <w:sz w:val="20"/>
                <w:szCs w:val="20"/>
                <w:color w:val="auto"/>
              </w:rPr>
            </w:pPr>
            <w:r>
              <w:rPr>
                <w:rFonts w:ascii="Arial" w:cs="Arial" w:eastAsia="Arial" w:hAnsi="Arial"/>
                <w:sz w:val="10"/>
                <w:szCs w:val="10"/>
                <w:color w:val="auto"/>
              </w:rPr>
              <w:t>(21,703)</w:t>
            </w:r>
          </w:p>
        </w:tc>
        <w:tc>
          <w:tcPr>
            <w:tcW w:w="20" w:type="dxa"/>
            <w:vAlign w:val="bottom"/>
          </w:tcPr>
          <w:p>
            <w:pPr>
              <w:spacing w:after="0"/>
              <w:rPr>
                <w:sz w:val="8"/>
                <w:szCs w:val="8"/>
                <w:color w:val="auto"/>
              </w:rPr>
            </w:pPr>
          </w:p>
        </w:tc>
      </w:tr>
      <w:tr>
        <w:trPr>
          <w:trHeight w:val="105"/>
        </w:trPr>
        <w:tc>
          <w:tcPr>
            <w:tcW w:w="484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Income tax benefit (expense)</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(896)</w:t>
            </w:r>
          </w:p>
        </w:tc>
        <w:tc>
          <w:tcPr>
            <w:tcW w:w="38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(332)</w:t>
            </w: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(313)</w:t>
            </w:r>
          </w:p>
        </w:tc>
        <w:tc>
          <w:tcPr>
            <w:tcW w:w="4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(1,492)</w:t>
            </w:r>
          </w:p>
        </w:tc>
        <w:tc>
          <w:tcPr>
            <w:tcW w:w="20" w:type="dxa"/>
            <w:vAlign w:val="bottom"/>
          </w:tcPr>
          <w:p>
            <w:pPr>
              <w:spacing w:after="0"/>
              <w:rPr>
                <w:sz w:val="9"/>
                <w:szCs w:val="9"/>
                <w:color w:val="auto"/>
              </w:rPr>
            </w:pPr>
          </w:p>
        </w:tc>
      </w:tr>
      <w:tr>
        <w:trPr>
          <w:trHeight w:val="93"/>
        </w:trPr>
        <w:tc>
          <w:tcPr>
            <w:tcW w:w="484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b w:val="1"/>
                <w:bCs w:val="1"/>
                <w:color w:val="auto"/>
              </w:rPr>
              <w:t>Net income (loss)</w:t>
            </w:r>
          </w:p>
        </w:tc>
        <w:tc>
          <w:tcPr>
            <w:tcW w:w="160" w:type="dxa"/>
            <w:vAlign w:val="bottom"/>
          </w:tcPr>
          <w:p>
            <w:pPr>
              <w:spacing w:after="0"/>
              <w:rPr>
                <w:sz w:val="8"/>
                <w:szCs w:val="8"/>
                <w:color w:val="auto"/>
              </w:rPr>
            </w:pPr>
          </w:p>
        </w:tc>
        <w:tc>
          <w:tcPr>
            <w:tcW w:w="300" w:type="dxa"/>
            <w:vAlign w:val="bottom"/>
            <w:tcBorders>
              <w:top w:val="single" w:sz="8" w:color="auto"/>
            </w:tcBorders>
          </w:tcPr>
          <w:p>
            <w:pPr>
              <w:jc w:val="right"/>
              <w:ind w:right="236"/>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(4,465)</w:t>
            </w:r>
          </w:p>
        </w:tc>
        <w:tc>
          <w:tcPr>
            <w:tcW w:w="160" w:type="dxa"/>
            <w:vAlign w:val="bottom"/>
          </w:tcPr>
          <w:p>
            <w:pPr>
              <w:spacing w:after="0"/>
              <w:rPr>
                <w:sz w:val="8"/>
                <w:szCs w:val="8"/>
                <w:color w:val="auto"/>
              </w:rPr>
            </w:pPr>
          </w:p>
        </w:tc>
        <w:tc>
          <w:tcPr>
            <w:tcW w:w="380" w:type="dxa"/>
            <w:vAlign w:val="bottom"/>
            <w:tcBorders>
              <w:top w:val="single" w:sz="8" w:color="auto"/>
            </w:tcBorders>
          </w:tcPr>
          <w:p>
            <w:pPr>
              <w:jc w:val="right"/>
              <w:ind w:right="316"/>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(5,299)</w:t>
            </w:r>
          </w:p>
        </w:tc>
        <w:tc>
          <w:tcPr>
            <w:tcW w:w="160" w:type="dxa"/>
            <w:vAlign w:val="bottom"/>
          </w:tcPr>
          <w:p>
            <w:pPr>
              <w:spacing w:after="0"/>
              <w:rPr>
                <w:sz w:val="8"/>
                <w:szCs w:val="8"/>
                <w:color w:val="auto"/>
              </w:rPr>
            </w:pPr>
          </w:p>
        </w:tc>
        <w:tc>
          <w:tcPr>
            <w:tcW w:w="300" w:type="dxa"/>
            <w:vAlign w:val="bottom"/>
            <w:tcBorders>
              <w:top w:val="single" w:sz="8" w:color="auto"/>
            </w:tcBorders>
          </w:tcPr>
          <w:p>
            <w:pPr>
              <w:jc w:val="right"/>
              <w:ind w:right="192"/>
              <w:spacing w:after="0" w:line="93" w:lineRule="exact"/>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(18,650)</w:t>
            </w:r>
          </w:p>
        </w:tc>
        <w:tc>
          <w:tcPr>
            <w:tcW w:w="140" w:type="dxa"/>
            <w:vAlign w:val="bottom"/>
          </w:tcPr>
          <w:p>
            <w:pPr>
              <w:spacing w:after="0"/>
              <w:rPr>
                <w:sz w:val="8"/>
                <w:szCs w:val="8"/>
                <w:color w:val="auto"/>
              </w:rPr>
            </w:pPr>
          </w:p>
        </w:tc>
        <w:tc>
          <w:tcPr>
            <w:tcW w:w="440" w:type="dxa"/>
            <w:vAlign w:val="bottom"/>
            <w:tcBorders>
              <w:top w:val="single" w:sz="8" w:color="auto"/>
            </w:tcBorders>
          </w:tcPr>
          <w:p>
            <w:pPr>
              <w:jc w:val="right"/>
              <w:ind w:right="332"/>
              <w:spacing w:after="0" w:line="93" w:lineRule="exact"/>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(23,195)</w:t>
            </w:r>
          </w:p>
        </w:tc>
        <w:tc>
          <w:tcPr>
            <w:tcW w:w="20" w:type="dxa"/>
            <w:vAlign w:val="bottom"/>
          </w:tcPr>
          <w:p>
            <w:pPr>
              <w:spacing w:after="0"/>
              <w:rPr>
                <w:sz w:val="8"/>
                <w:szCs w:val="8"/>
                <w:color w:val="auto"/>
              </w:rPr>
            </w:pPr>
          </w:p>
        </w:tc>
      </w:tr>
      <w:tr>
        <w:trPr>
          <w:trHeight w:val="105"/>
        </w:trPr>
        <w:tc>
          <w:tcPr>
            <w:tcW w:w="484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Less: net income (loss) attributable to noncontrolling interests</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(65)</w:t>
            </w:r>
          </w:p>
        </w:tc>
        <w:tc>
          <w:tcPr>
            <w:tcW w:w="38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(122)</w:t>
            </w: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(361)</w:t>
            </w:r>
          </w:p>
        </w:tc>
        <w:tc>
          <w:tcPr>
            <w:tcW w:w="4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(228)</w:t>
            </w:r>
          </w:p>
        </w:tc>
        <w:tc>
          <w:tcPr>
            <w:tcW w:w="20" w:type="dxa"/>
            <w:vAlign w:val="bottom"/>
          </w:tcPr>
          <w:p>
            <w:pPr>
              <w:spacing w:after="0"/>
              <w:rPr>
                <w:sz w:val="9"/>
                <w:szCs w:val="9"/>
                <w:color w:val="auto"/>
              </w:rPr>
            </w:pPr>
          </w:p>
        </w:tc>
      </w:tr>
      <w:tr>
        <w:trPr>
          <w:trHeight w:val="93"/>
        </w:trPr>
        <w:tc>
          <w:tcPr>
            <w:tcW w:w="4840" w:type="dxa"/>
            <w:vAlign w:val="bottom"/>
            <w:tcBorders>
              <w:top w:val="single" w:sz="8" w:color="auto"/>
              <w:bottom w:val="single" w:sz="8" w:color="auto"/>
            </w:tcBorders>
          </w:tcPr>
          <w:p>
            <w:pPr>
              <w:spacing w:after="0" w:line="93" w:lineRule="exact"/>
              <w:rPr>
                <w:sz w:val="20"/>
                <w:szCs w:val="20"/>
                <w:color w:val="auto"/>
              </w:rPr>
            </w:pPr>
            <w:r>
              <w:rPr>
                <w:rFonts w:ascii="Arial" w:cs="Arial" w:eastAsia="Arial" w:hAnsi="Arial"/>
                <w:sz w:val="10"/>
                <w:szCs w:val="10"/>
                <w:b w:val="1"/>
                <w:bCs w:val="1"/>
                <w:color w:val="auto"/>
              </w:rPr>
              <w:t>Net income (loss) attributable to Reading International, Inc.</w:t>
            </w:r>
          </w:p>
        </w:tc>
        <w:tc>
          <w:tcPr>
            <w:tcW w:w="160" w:type="dxa"/>
            <w:vAlign w:val="bottom"/>
            <w:tcBorders>
              <w:bottom w:val="single" w:sz="8" w:color="CCEEFF"/>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(4,400)</w:t>
            </w:r>
          </w:p>
        </w:tc>
        <w:tc>
          <w:tcPr>
            <w:tcW w:w="160" w:type="dxa"/>
            <w:vAlign w:val="bottom"/>
            <w:tcBorders>
              <w:bottom w:val="single" w:sz="8" w:color="CCEEFF"/>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(5,177)</w:t>
            </w:r>
          </w:p>
        </w:tc>
        <w:tc>
          <w:tcPr>
            <w:tcW w:w="160" w:type="dxa"/>
            <w:vAlign w:val="bottom"/>
            <w:tcBorders>
              <w:bottom w:val="single" w:sz="8" w:color="CCEEFF"/>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92"/>
              <w:spacing w:after="0" w:line="93" w:lineRule="exact"/>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(18,289)</w:t>
            </w:r>
          </w:p>
        </w:tc>
        <w:tc>
          <w:tcPr>
            <w:tcW w:w="140" w:type="dxa"/>
            <w:vAlign w:val="bottom"/>
            <w:tcBorders>
              <w:bottom w:val="single" w:sz="8" w:color="CCEEFF"/>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332"/>
              <w:spacing w:after="0" w:line="93" w:lineRule="exact"/>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(22,967)</w:t>
            </w:r>
          </w:p>
        </w:tc>
        <w:tc>
          <w:tcPr>
            <w:tcW w:w="20" w:type="dxa"/>
            <w:vAlign w:val="bottom"/>
          </w:tcPr>
          <w:p>
            <w:pPr>
              <w:spacing w:after="0"/>
              <w:rPr>
                <w:sz w:val="8"/>
                <w:szCs w:val="8"/>
                <w:color w:val="auto"/>
              </w:rPr>
            </w:pPr>
          </w:p>
        </w:tc>
      </w:tr>
      <w:tr>
        <w:trPr>
          <w:trHeight w:val="120"/>
        </w:trPr>
        <w:tc>
          <w:tcPr>
            <w:tcW w:w="4840" w:type="dxa"/>
            <w:vAlign w:val="bottom"/>
            <w:tcBorders>
              <w:bottom w:val="single" w:sz="8" w:color="auto"/>
            </w:tcBorders>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Basic earnings (loss) per share</w:t>
            </w:r>
          </w:p>
        </w:tc>
        <w:tc>
          <w:tcPr>
            <w:tcW w:w="16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(0.20)</w:t>
            </w:r>
          </w:p>
        </w:tc>
        <w:tc>
          <w:tcPr>
            <w:tcW w:w="1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5"/>
                <w:szCs w:val="5"/>
                <w:color w:val="auto"/>
                <w:w w:val="70"/>
              </w:rPr>
              <w:t>$</w:t>
            </w:r>
          </w:p>
        </w:tc>
        <w:tc>
          <w:tcPr>
            <w:tcW w:w="90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(0.23)</w:t>
            </w:r>
          </w:p>
        </w:tc>
        <w:tc>
          <w:tcPr>
            <w:tcW w:w="16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192"/>
              <w:spacing w:after="0" w:line="100" w:lineRule="exact"/>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(0.82)</w:t>
            </w:r>
          </w:p>
        </w:tc>
        <w:tc>
          <w:tcPr>
            <w:tcW w:w="14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ind w:right="332"/>
              <w:spacing w:after="0" w:line="100" w:lineRule="exact"/>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(1.04)</w:t>
            </w:r>
          </w:p>
        </w:tc>
        <w:tc>
          <w:tcPr>
            <w:tcW w:w="20" w:type="dxa"/>
            <w:vAlign w:val="bottom"/>
          </w:tcPr>
          <w:p>
            <w:pPr>
              <w:spacing w:after="0"/>
              <w:rPr>
                <w:sz w:val="10"/>
                <w:szCs w:val="10"/>
                <w:color w:val="auto"/>
              </w:rPr>
            </w:pPr>
          </w:p>
        </w:tc>
      </w:tr>
      <w:tr>
        <w:trPr>
          <w:trHeight w:val="80"/>
        </w:trPr>
        <w:tc>
          <w:tcPr>
            <w:tcW w:w="4840" w:type="dxa"/>
            <w:vAlign w:val="bottom"/>
            <w:tcBorders>
              <w:bottom w:val="single" w:sz="8" w:color="auto"/>
            </w:tcBorders>
          </w:tcPr>
          <w:p>
            <w:pPr>
              <w:spacing w:after="0" w:line="80" w:lineRule="exact"/>
              <w:rPr>
                <w:sz w:val="20"/>
                <w:szCs w:val="20"/>
                <w:color w:val="auto"/>
              </w:rPr>
            </w:pPr>
            <w:r>
              <w:rPr>
                <w:rFonts w:ascii="Arial" w:cs="Arial" w:eastAsia="Arial" w:hAnsi="Arial"/>
                <w:sz w:val="9"/>
                <w:szCs w:val="9"/>
                <w:b w:val="1"/>
                <w:bCs w:val="1"/>
                <w:color w:val="auto"/>
              </w:rPr>
              <w:t>Diluted earnings (loss) per share</w:t>
            </w:r>
          </w:p>
        </w:tc>
        <w:tc>
          <w:tcPr>
            <w:tcW w:w="1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jc w:val="right"/>
              <w:ind w:right="236"/>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spacing w:after="0" w:line="80" w:lineRule="exact"/>
              <w:rPr>
                <w:sz w:val="20"/>
                <w:szCs w:val="20"/>
                <w:color w:val="auto"/>
              </w:rPr>
            </w:pPr>
            <w:r>
              <w:rPr>
                <w:rFonts w:ascii="Arial" w:cs="Arial" w:eastAsia="Arial" w:hAnsi="Arial"/>
                <w:sz w:val="9"/>
                <w:szCs w:val="9"/>
                <w:color w:val="auto"/>
              </w:rPr>
              <w:t>(0.20)</w:t>
            </w:r>
          </w:p>
        </w:tc>
        <w:tc>
          <w:tcPr>
            <w:tcW w:w="16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jc w:val="right"/>
              <w:ind w:right="316"/>
              <w:spacing w:after="0"/>
              <w:rPr>
                <w:sz w:val="20"/>
                <w:szCs w:val="20"/>
                <w:color w:val="auto"/>
              </w:rPr>
            </w:pPr>
            <w:r>
              <w:rPr>
                <w:rFonts w:ascii="Arial" w:cs="Arial" w:eastAsia="Arial" w:hAnsi="Arial"/>
                <w:sz w:val="5"/>
                <w:szCs w:val="5"/>
                <w:color w:val="auto"/>
                <w:w w:val="70"/>
              </w:rPr>
              <w:t>$</w:t>
            </w:r>
          </w:p>
        </w:tc>
        <w:tc>
          <w:tcPr>
            <w:tcW w:w="900" w:type="dxa"/>
            <w:vAlign w:val="bottom"/>
            <w:tcBorders>
              <w:bottom w:val="single" w:sz="8" w:color="auto"/>
            </w:tcBorders>
          </w:tcPr>
          <w:p>
            <w:pPr>
              <w:jc w:val="right"/>
              <w:spacing w:after="0" w:line="80" w:lineRule="exact"/>
              <w:rPr>
                <w:sz w:val="20"/>
                <w:szCs w:val="20"/>
                <w:color w:val="auto"/>
              </w:rPr>
            </w:pPr>
            <w:r>
              <w:rPr>
                <w:rFonts w:ascii="Arial" w:cs="Arial" w:eastAsia="Arial" w:hAnsi="Arial"/>
                <w:sz w:val="9"/>
                <w:szCs w:val="9"/>
                <w:color w:val="auto"/>
              </w:rPr>
              <w:t>(0.23)</w:t>
            </w:r>
          </w:p>
        </w:tc>
        <w:tc>
          <w:tcPr>
            <w:tcW w:w="1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jc w:val="right"/>
              <w:ind w:right="192"/>
              <w:spacing w:after="0" w:line="80" w:lineRule="exact"/>
              <w:rPr>
                <w:sz w:val="20"/>
                <w:szCs w:val="20"/>
                <w:color w:val="auto"/>
              </w:rPr>
            </w:pPr>
            <w:r>
              <w:rPr>
                <w:rFonts w:ascii="Arial" w:cs="Arial" w:eastAsia="Arial" w:hAnsi="Arial"/>
                <w:sz w:val="9"/>
                <w:szCs w:val="9"/>
                <w:color w:val="auto"/>
                <w:w w:val="78"/>
              </w:rPr>
              <w:t>$</w:t>
            </w:r>
          </w:p>
        </w:tc>
        <w:tc>
          <w:tcPr>
            <w:tcW w:w="1000" w:type="dxa"/>
            <w:vAlign w:val="bottom"/>
            <w:tcBorders>
              <w:bottom w:val="single" w:sz="8" w:color="auto"/>
            </w:tcBorders>
          </w:tcPr>
          <w:p>
            <w:pPr>
              <w:jc w:val="right"/>
              <w:spacing w:after="0" w:line="80" w:lineRule="exact"/>
              <w:rPr>
                <w:sz w:val="20"/>
                <w:szCs w:val="20"/>
                <w:color w:val="auto"/>
              </w:rPr>
            </w:pPr>
            <w:r>
              <w:rPr>
                <w:rFonts w:ascii="Arial" w:cs="Arial" w:eastAsia="Arial" w:hAnsi="Arial"/>
                <w:sz w:val="9"/>
                <w:szCs w:val="9"/>
                <w:color w:val="auto"/>
              </w:rPr>
              <w:t>(0.82)</w:t>
            </w:r>
          </w:p>
        </w:tc>
        <w:tc>
          <w:tcPr>
            <w:tcW w:w="14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jc w:val="right"/>
              <w:ind w:right="332"/>
              <w:spacing w:after="0" w:line="80" w:lineRule="exact"/>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tcPr>
          <w:p>
            <w:pPr>
              <w:jc w:val="right"/>
              <w:spacing w:after="0" w:line="80" w:lineRule="exact"/>
              <w:rPr>
                <w:sz w:val="20"/>
                <w:szCs w:val="20"/>
                <w:color w:val="auto"/>
              </w:rPr>
            </w:pPr>
            <w:r>
              <w:rPr>
                <w:rFonts w:ascii="Arial" w:cs="Arial" w:eastAsia="Arial" w:hAnsi="Arial"/>
                <w:sz w:val="9"/>
                <w:szCs w:val="9"/>
                <w:color w:val="auto"/>
              </w:rPr>
              <w:t>(1.04)</w:t>
            </w:r>
          </w:p>
        </w:tc>
        <w:tc>
          <w:tcPr>
            <w:tcW w:w="20" w:type="dxa"/>
            <w:vAlign w:val="bottom"/>
          </w:tcPr>
          <w:p>
            <w:pPr>
              <w:spacing w:after="0"/>
              <w:rPr>
                <w:sz w:val="6"/>
                <w:szCs w:val="6"/>
                <w:color w:val="auto"/>
              </w:rPr>
            </w:pPr>
          </w:p>
        </w:tc>
      </w:tr>
      <w:tr>
        <w:trPr>
          <w:trHeight w:val="100"/>
        </w:trPr>
        <w:tc>
          <w:tcPr>
            <w:tcW w:w="4840" w:type="dxa"/>
            <w:vAlign w:val="bottom"/>
            <w:shd w:val="clear" w:color="auto" w:fill="CCEEFF"/>
          </w:tcPr>
          <w:p>
            <w:pPr>
              <w:spacing w:after="0" w:line="100" w:lineRule="exact"/>
              <w:rPr>
                <w:sz w:val="20"/>
                <w:szCs w:val="20"/>
                <w:color w:val="auto"/>
              </w:rPr>
            </w:pPr>
            <w:r>
              <w:rPr>
                <w:rFonts w:ascii="Arial" w:cs="Arial" w:eastAsia="Arial" w:hAnsi="Arial"/>
                <w:sz w:val="10"/>
                <w:szCs w:val="10"/>
                <w:color w:val="auto"/>
              </w:rPr>
              <w:t>Weighted average number of shares outstanding–basic</w:t>
            </w: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8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22,273,423</w:t>
            </w: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22,043,823</w:t>
            </w: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22,208,757</w:t>
            </w: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22,011,755</w:t>
            </w:r>
          </w:p>
        </w:tc>
        <w:tc>
          <w:tcPr>
            <w:tcW w:w="20" w:type="dxa"/>
            <w:vAlign w:val="bottom"/>
          </w:tcPr>
          <w:p>
            <w:pPr>
              <w:spacing w:after="0"/>
              <w:rPr>
                <w:sz w:val="8"/>
                <w:szCs w:val="8"/>
                <w:color w:val="auto"/>
              </w:rPr>
            </w:pPr>
          </w:p>
        </w:tc>
      </w:tr>
      <w:tr>
        <w:trPr>
          <w:trHeight w:val="105"/>
        </w:trPr>
        <w:tc>
          <w:tcPr>
            <w:tcW w:w="4840" w:type="dxa"/>
            <w:vAlign w:val="bottom"/>
            <w:tcBorders>
              <w:bottom w:val="single" w:sz="8" w:color="auto"/>
            </w:tcBorders>
          </w:tcPr>
          <w:p>
            <w:pPr>
              <w:spacing w:after="0" w:line="105" w:lineRule="exact"/>
              <w:rPr>
                <w:sz w:val="20"/>
                <w:szCs w:val="20"/>
                <w:color w:val="auto"/>
              </w:rPr>
            </w:pPr>
            <w:r>
              <w:rPr>
                <w:rFonts w:ascii="Arial" w:cs="Arial" w:eastAsia="Arial" w:hAnsi="Arial"/>
                <w:sz w:val="10"/>
                <w:szCs w:val="10"/>
                <w:color w:val="auto"/>
              </w:rPr>
              <w:t>Weighted average number of shares outstanding–diluted</w:t>
            </w:r>
          </w:p>
        </w:tc>
        <w:tc>
          <w:tcPr>
            <w:tcW w:w="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22,273,423</w:t>
            </w:r>
          </w:p>
        </w:tc>
        <w:tc>
          <w:tcPr>
            <w:tcW w:w="1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22,043,823</w:t>
            </w:r>
          </w:p>
        </w:tc>
        <w:tc>
          <w:tcPr>
            <w:tcW w:w="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22,208,757</w:t>
            </w:r>
          </w:p>
        </w:tc>
        <w:tc>
          <w:tcPr>
            <w:tcW w:w="1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22,011,755</w:t>
            </w:r>
          </w:p>
        </w:tc>
        <w:tc>
          <w:tcPr>
            <w:tcW w:w="20" w:type="dxa"/>
            <w:vAlign w:val="bottom"/>
          </w:tcPr>
          <w:p>
            <w:pPr>
              <w:spacing w:after="0"/>
              <w:rPr>
                <w:sz w:val="9"/>
                <w:szCs w:val="9"/>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See accompanying Notes to the Unaudited Consolidated Financial Statements</w:t>
      </w:r>
      <w:r>
        <w:rPr>
          <w:rFonts w:ascii="Arial" w:cs="Arial" w:eastAsia="Arial" w:hAnsi="Arial"/>
          <w:sz w:val="9"/>
          <w:szCs w:val="9"/>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4" w:right="640" w:bottom="1440" w:gutter="0" w:footer="0" w:header="0"/>
        </w:sectPr>
      </w:pPr>
    </w:p>
    <w:bookmarkStart w:id="4" w:name="page5"/>
    <w:bookmarkEnd w:id="4"/>
    <w:p>
      <w:pPr>
        <w:spacing w:after="0"/>
        <w:rPr>
          <w:sz w:val="20"/>
          <w:szCs w:val="20"/>
          <w:color w:val="auto"/>
        </w:rPr>
      </w:pPr>
      <w:r>
        <w:rPr>
          <w:rFonts w:ascii="Arial" w:cs="Arial" w:eastAsia="Arial" w:hAnsi="Arial"/>
          <w:sz w:val="10"/>
          <w:szCs w:val="10"/>
          <w:b w:val="1"/>
          <w:bCs w:val="1"/>
          <w:color w:val="auto"/>
        </w:rPr>
        <w:t>READING INTERNATIONAL, INC.</w:t>
      </w:r>
    </w:p>
    <w:p>
      <w:pPr>
        <w:spacing w:after="0" w:line="223" w:lineRule="auto"/>
        <w:rPr>
          <w:sz w:val="20"/>
          <w:szCs w:val="20"/>
          <w:color w:val="auto"/>
        </w:rPr>
      </w:pPr>
      <w:r>
        <w:rPr>
          <w:rFonts w:ascii="Arial" w:cs="Arial" w:eastAsia="Arial" w:hAnsi="Arial"/>
          <w:sz w:val="10"/>
          <w:szCs w:val="10"/>
          <w:b w:val="1"/>
          <w:bCs w:val="1"/>
          <w:color w:val="auto"/>
        </w:rPr>
        <w:t>CONSOLIDATED STATEMENTS OF COMPREHENSIVE INCOME</w:t>
      </w:r>
    </w:p>
    <w:p>
      <w:pPr>
        <w:spacing w:after="0"/>
        <w:rPr>
          <w:sz w:val="20"/>
          <w:szCs w:val="20"/>
          <w:color w:val="auto"/>
        </w:rPr>
      </w:pPr>
      <w:r>
        <w:rPr>
          <w:rFonts w:ascii="Arial" w:cs="Arial" w:eastAsia="Arial" w:hAnsi="Arial"/>
          <w:sz w:val="10"/>
          <w:szCs w:val="10"/>
          <w:i w:val="1"/>
          <w:iCs w:val="1"/>
          <w:color w:val="auto"/>
        </w:rPr>
        <w:t>(Unaudited; U.S. dollars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20" w:type="dxa"/>
            <w:vAlign w:val="bottom"/>
            <w:gridSpan w:val="3"/>
          </w:tcPr>
          <w:p>
            <w:pPr>
              <w:ind w:left="240"/>
              <w:spacing w:after="0"/>
              <w:rPr>
                <w:sz w:val="20"/>
                <w:szCs w:val="20"/>
                <w:color w:val="auto"/>
              </w:rPr>
            </w:pPr>
            <w:r>
              <w:rPr>
                <w:rFonts w:ascii="Arial" w:cs="Arial" w:eastAsia="Arial" w:hAnsi="Arial"/>
                <w:sz w:val="8"/>
                <w:szCs w:val="8"/>
                <w:b w:val="1"/>
                <w:bCs w:val="1"/>
                <w:color w:val="auto"/>
              </w:rPr>
              <w:t>Quarter Ended</w:t>
            </w: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gridSpan w:val="3"/>
          </w:tcPr>
          <w:p>
            <w:pPr>
              <w:jc w:val="right"/>
              <w:ind w:right="71"/>
              <w:spacing w:after="0"/>
              <w:rPr>
                <w:sz w:val="20"/>
                <w:szCs w:val="20"/>
                <w:color w:val="auto"/>
              </w:rPr>
            </w:pPr>
            <w:r>
              <w:rPr>
                <w:rFonts w:ascii="Arial" w:cs="Arial" w:eastAsia="Arial" w:hAnsi="Arial"/>
                <w:sz w:val="8"/>
                <w:szCs w:val="8"/>
                <w:b w:val="1"/>
                <w:bCs w:val="1"/>
                <w:color w:val="auto"/>
              </w:rPr>
              <w:t>Nine Months Ended</w:t>
            </w: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8"/>
        </w:trPr>
        <w:tc>
          <w:tcPr>
            <w:tcW w:w="4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gridSpan w:val="3"/>
          </w:tcPr>
          <w:p>
            <w:pPr>
              <w:ind w:left="240"/>
              <w:spacing w:after="0"/>
              <w:rPr>
                <w:sz w:val="20"/>
                <w:szCs w:val="20"/>
                <w:color w:val="auto"/>
              </w:rPr>
            </w:pPr>
            <w:r>
              <w:rPr>
                <w:rFonts w:ascii="Arial" w:cs="Arial" w:eastAsia="Arial" w:hAnsi="Arial"/>
                <w:sz w:val="8"/>
                <w:szCs w:val="8"/>
                <w:b w:val="1"/>
                <w:bCs w:val="1"/>
                <w:color w:val="auto"/>
              </w:rPr>
              <w:t>September 30,</w:t>
            </w: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8"/>
                <w:szCs w:val="8"/>
                <w:b w:val="1"/>
                <w:bCs w:val="1"/>
                <w:color w:val="auto"/>
              </w:rPr>
              <w:t>September 30,</w:t>
            </w: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78"/>
        </w:trPr>
        <w:tc>
          <w:tcPr>
            <w:tcW w:w="484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jc w:val="right"/>
              <w:ind w:right="90"/>
              <w:spacing w:after="0" w:line="78" w:lineRule="exact"/>
              <w:rPr>
                <w:sz w:val="20"/>
                <w:szCs w:val="20"/>
                <w:color w:val="auto"/>
              </w:rPr>
            </w:pPr>
            <w:r>
              <w:rPr>
                <w:rFonts w:ascii="Arial" w:cs="Arial" w:eastAsia="Arial" w:hAnsi="Arial"/>
                <w:sz w:val="8"/>
                <w:szCs w:val="8"/>
                <w:b w:val="1"/>
                <w:bCs w:val="1"/>
                <w:color w:val="auto"/>
              </w:rPr>
              <w:t>2023</w:t>
            </w:r>
          </w:p>
        </w:tc>
        <w:tc>
          <w:tcPr>
            <w:tcW w:w="44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jc w:val="right"/>
              <w:ind w:right="47"/>
              <w:spacing w:after="0" w:line="78" w:lineRule="exact"/>
              <w:rPr>
                <w:sz w:val="20"/>
                <w:szCs w:val="20"/>
                <w:color w:val="auto"/>
              </w:rPr>
            </w:pPr>
            <w:r>
              <w:rPr>
                <w:rFonts w:ascii="Arial" w:cs="Arial" w:eastAsia="Arial" w:hAnsi="Arial"/>
                <w:sz w:val="8"/>
                <w:szCs w:val="8"/>
                <w:b w:val="1"/>
                <w:bCs w:val="1"/>
                <w:color w:val="auto"/>
              </w:rPr>
              <w:t>2022</w:t>
            </w:r>
          </w:p>
        </w:tc>
        <w:tc>
          <w:tcPr>
            <w:tcW w:w="46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jc w:val="right"/>
              <w:ind w:right="513"/>
              <w:spacing w:after="0" w:line="78" w:lineRule="exact"/>
              <w:rPr>
                <w:sz w:val="20"/>
                <w:szCs w:val="20"/>
                <w:color w:val="auto"/>
              </w:rPr>
            </w:pPr>
            <w:r>
              <w:rPr>
                <w:rFonts w:ascii="Arial" w:cs="Arial" w:eastAsia="Arial" w:hAnsi="Arial"/>
                <w:sz w:val="8"/>
                <w:szCs w:val="8"/>
                <w:b w:val="1"/>
                <w:bCs w:val="1"/>
                <w:color w:val="auto"/>
              </w:rPr>
              <w:t>2023</w:t>
            </w:r>
          </w:p>
        </w:tc>
        <w:tc>
          <w:tcPr>
            <w:tcW w:w="14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jc w:val="right"/>
              <w:ind w:right="512"/>
              <w:spacing w:after="0" w:line="78" w:lineRule="exact"/>
              <w:rPr>
                <w:sz w:val="20"/>
                <w:szCs w:val="20"/>
                <w:color w:val="auto"/>
              </w:rPr>
            </w:pPr>
            <w:r>
              <w:rPr>
                <w:rFonts w:ascii="Arial" w:cs="Arial" w:eastAsia="Arial" w:hAnsi="Arial"/>
                <w:sz w:val="8"/>
                <w:szCs w:val="8"/>
                <w:b w:val="1"/>
                <w:bCs w:val="1"/>
                <w:color w:val="auto"/>
              </w:rPr>
              <w:t>2022</w:t>
            </w:r>
          </w:p>
        </w:tc>
        <w:tc>
          <w:tcPr>
            <w:tcW w:w="20" w:type="dxa"/>
            <w:vAlign w:val="bottom"/>
          </w:tcPr>
          <w:p>
            <w:pPr>
              <w:spacing w:after="0"/>
              <w:rPr>
                <w:sz w:val="6"/>
                <w:szCs w:val="6"/>
                <w:color w:val="auto"/>
              </w:rPr>
            </w:pPr>
          </w:p>
        </w:tc>
      </w:tr>
      <w:tr>
        <w:trPr>
          <w:trHeight w:val="100"/>
        </w:trPr>
        <w:tc>
          <w:tcPr>
            <w:tcW w:w="4840" w:type="dxa"/>
            <w:vAlign w:val="bottom"/>
            <w:shd w:val="clear" w:color="auto" w:fill="CCEEFF"/>
          </w:tcPr>
          <w:p>
            <w:pPr>
              <w:spacing w:after="0" w:line="100" w:lineRule="exact"/>
              <w:rPr>
                <w:sz w:val="20"/>
                <w:szCs w:val="20"/>
                <w:color w:val="auto"/>
              </w:rPr>
            </w:pPr>
            <w:r>
              <w:rPr>
                <w:rFonts w:ascii="Arial" w:cs="Arial" w:eastAsia="Arial" w:hAnsi="Arial"/>
                <w:sz w:val="10"/>
                <w:szCs w:val="10"/>
                <w:color w:val="auto"/>
              </w:rPr>
              <w:t>Net income (loss)</w:t>
            </w: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770"/>
              <w:spacing w:after="0"/>
              <w:rPr>
                <w:sz w:val="20"/>
                <w:szCs w:val="20"/>
                <w:color w:val="auto"/>
              </w:rPr>
            </w:pPr>
            <w:r>
              <w:rPr>
                <w:rFonts w:ascii="Arial" w:cs="Arial" w:eastAsia="Arial" w:hAnsi="Arial"/>
                <w:sz w:val="5"/>
                <w:szCs w:val="5"/>
                <w:color w:val="auto"/>
                <w:w w:val="70"/>
              </w:rPr>
              <w:t>$</w:t>
            </w:r>
          </w:p>
        </w:tc>
        <w:tc>
          <w:tcPr>
            <w:tcW w:w="44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(4,465)</w:t>
            </w:r>
          </w:p>
        </w:tc>
        <w:tc>
          <w:tcPr>
            <w:tcW w:w="16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747"/>
              <w:spacing w:after="0"/>
              <w:rPr>
                <w:sz w:val="20"/>
                <w:szCs w:val="20"/>
                <w:color w:val="auto"/>
              </w:rPr>
            </w:pPr>
            <w:r>
              <w:rPr>
                <w:rFonts w:ascii="Arial" w:cs="Arial" w:eastAsia="Arial" w:hAnsi="Arial"/>
                <w:sz w:val="5"/>
                <w:szCs w:val="5"/>
                <w:color w:val="auto"/>
                <w:w w:val="70"/>
              </w:rPr>
              <w:t>$</w:t>
            </w:r>
          </w:p>
        </w:tc>
        <w:tc>
          <w:tcPr>
            <w:tcW w:w="46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(5,299)</w:t>
            </w: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jc w:val="right"/>
              <w:ind w:right="191"/>
              <w:spacing w:after="0" w:line="100" w:lineRule="exact"/>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(18,650)</w:t>
            </w: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jc w:val="right"/>
              <w:ind w:right="331"/>
              <w:spacing w:after="0" w:line="100" w:lineRule="exact"/>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(23,195)</w:t>
            </w:r>
          </w:p>
        </w:tc>
        <w:tc>
          <w:tcPr>
            <w:tcW w:w="20" w:type="dxa"/>
            <w:vAlign w:val="bottom"/>
          </w:tcPr>
          <w:p>
            <w:pPr>
              <w:spacing w:after="0"/>
              <w:rPr>
                <w:sz w:val="8"/>
                <w:szCs w:val="8"/>
                <w:color w:val="auto"/>
              </w:rPr>
            </w:pPr>
          </w:p>
        </w:tc>
      </w:tr>
      <w:tr>
        <w:trPr>
          <w:trHeight w:val="105"/>
        </w:trPr>
        <w:tc>
          <w:tcPr>
            <w:tcW w:w="4840" w:type="dxa"/>
            <w:vAlign w:val="bottom"/>
          </w:tcPr>
          <w:p>
            <w:pPr>
              <w:spacing w:after="0" w:line="105" w:lineRule="exact"/>
              <w:rPr>
                <w:sz w:val="20"/>
                <w:szCs w:val="20"/>
                <w:color w:val="auto"/>
              </w:rPr>
            </w:pPr>
            <w:r>
              <w:rPr>
                <w:rFonts w:ascii="Arial" w:cs="Arial" w:eastAsia="Arial" w:hAnsi="Arial"/>
                <w:sz w:val="10"/>
                <w:szCs w:val="10"/>
                <w:color w:val="auto"/>
              </w:rPr>
              <w:t>Foreign currency translation gain (loss)</w:t>
            </w: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(1,686)</w:t>
            </w:r>
          </w:p>
        </w:tc>
        <w:tc>
          <w:tcPr>
            <w:tcW w:w="820" w:type="dxa"/>
            <w:vAlign w:val="bottom"/>
          </w:tcPr>
          <w:p>
            <w:pPr>
              <w:spacing w:after="0"/>
              <w:rPr>
                <w:sz w:val="9"/>
                <w:szCs w:val="9"/>
                <w:color w:val="auto"/>
              </w:rPr>
            </w:pPr>
          </w:p>
        </w:tc>
        <w:tc>
          <w:tcPr>
            <w:tcW w:w="62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(8,279)</w:t>
            </w:r>
          </w:p>
        </w:tc>
        <w:tc>
          <w:tcPr>
            <w:tcW w:w="300" w:type="dxa"/>
            <w:vAlign w:val="bottom"/>
          </w:tcPr>
          <w:p>
            <w:pPr>
              <w:spacing w:after="0"/>
              <w:rPr>
                <w:sz w:val="9"/>
                <w:szCs w:val="9"/>
                <w:color w:val="auto"/>
              </w:rPr>
            </w:pPr>
          </w:p>
        </w:tc>
        <w:tc>
          <w:tcPr>
            <w:tcW w:w="114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(3,038)</w:t>
            </w:r>
          </w:p>
        </w:tc>
        <w:tc>
          <w:tcPr>
            <w:tcW w:w="440" w:type="dxa"/>
            <w:vAlign w:val="bottom"/>
          </w:tcPr>
          <w:p>
            <w:pPr>
              <w:spacing w:after="0"/>
              <w:rPr>
                <w:sz w:val="9"/>
                <w:szCs w:val="9"/>
                <w:color w:val="auto"/>
              </w:rPr>
            </w:pPr>
          </w:p>
        </w:tc>
        <w:tc>
          <w:tcPr>
            <w:tcW w:w="860" w:type="dxa"/>
            <w:vAlign w:val="bottom"/>
          </w:tcPr>
          <w:p>
            <w:pPr>
              <w:jc w:val="right"/>
              <w:spacing w:after="0" w:line="105" w:lineRule="exact"/>
              <w:rPr>
                <w:sz w:val="20"/>
                <w:szCs w:val="20"/>
                <w:color w:val="auto"/>
              </w:rPr>
            </w:pPr>
            <w:r>
              <w:rPr>
                <w:rFonts w:ascii="Arial" w:cs="Arial" w:eastAsia="Arial" w:hAnsi="Arial"/>
                <w:sz w:val="10"/>
                <w:szCs w:val="10"/>
                <w:color w:val="auto"/>
              </w:rPr>
              <w:t>(15,268)</w:t>
            </w:r>
          </w:p>
        </w:tc>
        <w:tc>
          <w:tcPr>
            <w:tcW w:w="20" w:type="dxa"/>
            <w:vAlign w:val="bottom"/>
          </w:tcPr>
          <w:p>
            <w:pPr>
              <w:spacing w:after="0"/>
              <w:rPr>
                <w:sz w:val="9"/>
                <w:szCs w:val="9"/>
                <w:color w:val="auto"/>
              </w:rPr>
            </w:pPr>
          </w:p>
        </w:tc>
      </w:tr>
      <w:tr>
        <w:trPr>
          <w:trHeight w:val="105"/>
        </w:trPr>
        <w:tc>
          <w:tcPr>
            <w:tcW w:w="484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Gain (loss) on cash flow hedges</w:t>
            </w: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(26)</w:t>
            </w:r>
          </w:p>
        </w:tc>
        <w:tc>
          <w:tcPr>
            <w:tcW w:w="8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60</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(813)</w:t>
            </w:r>
          </w:p>
        </w:tc>
        <w:tc>
          <w:tcPr>
            <w:tcW w:w="4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1,253</w:t>
            </w:r>
          </w:p>
        </w:tc>
        <w:tc>
          <w:tcPr>
            <w:tcW w:w="20" w:type="dxa"/>
            <w:vAlign w:val="bottom"/>
          </w:tcPr>
          <w:p>
            <w:pPr>
              <w:spacing w:after="0"/>
              <w:rPr>
                <w:sz w:val="9"/>
                <w:szCs w:val="9"/>
                <w:color w:val="auto"/>
              </w:rPr>
            </w:pPr>
          </w:p>
        </w:tc>
      </w:tr>
      <w:tr>
        <w:trPr>
          <w:trHeight w:val="105"/>
        </w:trPr>
        <w:tc>
          <w:tcPr>
            <w:tcW w:w="4840" w:type="dxa"/>
            <w:vAlign w:val="bottom"/>
            <w:tcBorders>
              <w:bottom w:val="single" w:sz="8" w:color="auto"/>
            </w:tcBorders>
          </w:tcPr>
          <w:p>
            <w:pPr>
              <w:spacing w:after="0" w:line="105" w:lineRule="exact"/>
              <w:rPr>
                <w:sz w:val="20"/>
                <w:szCs w:val="20"/>
                <w:color w:val="auto"/>
              </w:rPr>
            </w:pPr>
            <w:r>
              <w:rPr>
                <w:rFonts w:ascii="Arial" w:cs="Arial" w:eastAsia="Arial" w:hAnsi="Arial"/>
                <w:sz w:val="10"/>
                <w:szCs w:val="10"/>
                <w:color w:val="auto"/>
              </w:rPr>
              <w:t>Other</w:t>
            </w:r>
          </w:p>
        </w:tc>
        <w:tc>
          <w:tcPr>
            <w:tcW w:w="16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52</w:t>
            </w:r>
          </w:p>
        </w:tc>
        <w:tc>
          <w:tcPr>
            <w:tcW w:w="16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49</w:t>
            </w: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156</w:t>
            </w:r>
          </w:p>
        </w:tc>
        <w:tc>
          <w:tcPr>
            <w:tcW w:w="14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154</w:t>
            </w:r>
          </w:p>
        </w:tc>
        <w:tc>
          <w:tcPr>
            <w:tcW w:w="20" w:type="dxa"/>
            <w:vAlign w:val="bottom"/>
          </w:tcPr>
          <w:p>
            <w:pPr>
              <w:spacing w:after="0"/>
              <w:rPr>
                <w:sz w:val="9"/>
                <w:szCs w:val="9"/>
                <w:color w:val="auto"/>
              </w:rPr>
            </w:pPr>
          </w:p>
        </w:tc>
      </w:tr>
      <w:tr>
        <w:trPr>
          <w:trHeight w:val="93"/>
        </w:trPr>
        <w:tc>
          <w:tcPr>
            <w:tcW w:w="484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Comprehensive income (loss)</w:t>
            </w: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(6,125)</w:t>
            </w:r>
          </w:p>
        </w:tc>
        <w:tc>
          <w:tcPr>
            <w:tcW w:w="1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3" w:lineRule="exact"/>
              <w:rPr>
                <w:sz w:val="20"/>
                <w:szCs w:val="20"/>
                <w:color w:val="auto"/>
              </w:rPr>
            </w:pPr>
            <w:r>
              <w:rPr>
                <w:rFonts w:ascii="Arial" w:cs="Arial" w:eastAsia="Arial" w:hAnsi="Arial"/>
                <w:sz w:val="10"/>
                <w:szCs w:val="10"/>
                <w:color w:val="auto"/>
              </w:rPr>
              <w:t>(13,469)</w:t>
            </w: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(22,345)</w:t>
            </w: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(37,056)</w:t>
            </w:r>
          </w:p>
        </w:tc>
        <w:tc>
          <w:tcPr>
            <w:tcW w:w="20" w:type="dxa"/>
            <w:vAlign w:val="bottom"/>
          </w:tcPr>
          <w:p>
            <w:pPr>
              <w:spacing w:after="0"/>
              <w:rPr>
                <w:sz w:val="8"/>
                <w:szCs w:val="8"/>
                <w:color w:val="auto"/>
              </w:rPr>
            </w:pPr>
          </w:p>
        </w:tc>
      </w:tr>
      <w:tr>
        <w:trPr>
          <w:trHeight w:val="105"/>
        </w:trPr>
        <w:tc>
          <w:tcPr>
            <w:tcW w:w="4840" w:type="dxa"/>
            <w:vAlign w:val="bottom"/>
          </w:tcPr>
          <w:p>
            <w:pPr>
              <w:spacing w:after="0" w:line="105" w:lineRule="exact"/>
              <w:rPr>
                <w:sz w:val="20"/>
                <w:szCs w:val="20"/>
                <w:color w:val="auto"/>
              </w:rPr>
            </w:pPr>
            <w:r>
              <w:rPr>
                <w:rFonts w:ascii="Arial" w:cs="Arial" w:eastAsia="Arial" w:hAnsi="Arial"/>
                <w:sz w:val="10"/>
                <w:szCs w:val="10"/>
                <w:color w:val="auto"/>
              </w:rPr>
              <w:t>Less: net income (loss) attributable to noncontrolling interests</w:t>
            </w: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(65)</w:t>
            </w:r>
          </w:p>
        </w:tc>
        <w:tc>
          <w:tcPr>
            <w:tcW w:w="820" w:type="dxa"/>
            <w:vAlign w:val="bottom"/>
          </w:tcPr>
          <w:p>
            <w:pPr>
              <w:spacing w:after="0"/>
              <w:rPr>
                <w:sz w:val="9"/>
                <w:szCs w:val="9"/>
                <w:color w:val="auto"/>
              </w:rPr>
            </w:pPr>
          </w:p>
        </w:tc>
        <w:tc>
          <w:tcPr>
            <w:tcW w:w="62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(122)</w:t>
            </w:r>
          </w:p>
        </w:tc>
        <w:tc>
          <w:tcPr>
            <w:tcW w:w="300" w:type="dxa"/>
            <w:vAlign w:val="bottom"/>
          </w:tcPr>
          <w:p>
            <w:pPr>
              <w:spacing w:after="0"/>
              <w:rPr>
                <w:sz w:val="9"/>
                <w:szCs w:val="9"/>
                <w:color w:val="auto"/>
              </w:rPr>
            </w:pPr>
          </w:p>
        </w:tc>
        <w:tc>
          <w:tcPr>
            <w:tcW w:w="114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(361)</w:t>
            </w:r>
          </w:p>
        </w:tc>
        <w:tc>
          <w:tcPr>
            <w:tcW w:w="440" w:type="dxa"/>
            <w:vAlign w:val="bottom"/>
          </w:tcPr>
          <w:p>
            <w:pPr>
              <w:spacing w:after="0"/>
              <w:rPr>
                <w:sz w:val="9"/>
                <w:szCs w:val="9"/>
                <w:color w:val="auto"/>
              </w:rPr>
            </w:pPr>
          </w:p>
        </w:tc>
        <w:tc>
          <w:tcPr>
            <w:tcW w:w="860" w:type="dxa"/>
            <w:vAlign w:val="bottom"/>
          </w:tcPr>
          <w:p>
            <w:pPr>
              <w:jc w:val="right"/>
              <w:spacing w:after="0" w:line="105" w:lineRule="exact"/>
              <w:rPr>
                <w:sz w:val="20"/>
                <w:szCs w:val="20"/>
                <w:color w:val="auto"/>
              </w:rPr>
            </w:pPr>
            <w:r>
              <w:rPr>
                <w:rFonts w:ascii="Arial" w:cs="Arial" w:eastAsia="Arial" w:hAnsi="Arial"/>
                <w:sz w:val="10"/>
                <w:szCs w:val="10"/>
                <w:color w:val="auto"/>
              </w:rPr>
              <w:t>(228)</w:t>
            </w:r>
          </w:p>
        </w:tc>
        <w:tc>
          <w:tcPr>
            <w:tcW w:w="20" w:type="dxa"/>
            <w:vAlign w:val="bottom"/>
          </w:tcPr>
          <w:p>
            <w:pPr>
              <w:spacing w:after="0"/>
              <w:rPr>
                <w:sz w:val="9"/>
                <w:szCs w:val="9"/>
                <w:color w:val="auto"/>
              </w:rPr>
            </w:pPr>
          </w:p>
        </w:tc>
      </w:tr>
      <w:tr>
        <w:trPr>
          <w:trHeight w:val="105"/>
        </w:trPr>
        <w:tc>
          <w:tcPr>
            <w:tcW w:w="484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Less: comprehensive income (loss) attributable to noncontrolling interests</w:t>
            </w: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(3)</w:t>
            </w:r>
          </w:p>
        </w:tc>
        <w:tc>
          <w:tcPr>
            <w:tcW w:w="8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(3)</w:t>
            </w: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(5)</w:t>
            </w:r>
          </w:p>
        </w:tc>
        <w:tc>
          <w:tcPr>
            <w:tcW w:w="4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9"/>
                <w:szCs w:val="9"/>
                <w:color w:val="auto"/>
              </w:rPr>
            </w:pPr>
          </w:p>
        </w:tc>
      </w:tr>
      <w:tr>
        <w:trPr>
          <w:trHeight w:val="93"/>
        </w:trPr>
        <w:tc>
          <w:tcPr>
            <w:tcW w:w="4840" w:type="dxa"/>
            <w:vAlign w:val="bottom"/>
            <w:tcBorders>
              <w:top w:val="single" w:sz="8" w:color="auto"/>
              <w:bottom w:val="single" w:sz="8" w:color="auto"/>
            </w:tcBorders>
          </w:tcPr>
          <w:p>
            <w:pPr>
              <w:spacing w:after="0" w:line="93" w:lineRule="exact"/>
              <w:rPr>
                <w:sz w:val="20"/>
                <w:szCs w:val="20"/>
                <w:color w:val="auto"/>
              </w:rPr>
            </w:pPr>
            <w:r>
              <w:rPr>
                <w:rFonts w:ascii="Arial" w:cs="Arial" w:eastAsia="Arial" w:hAnsi="Arial"/>
                <w:sz w:val="10"/>
                <w:szCs w:val="10"/>
                <w:color w:val="auto"/>
              </w:rPr>
              <w:t>Comprehensive income (loss)</w:t>
            </w:r>
          </w:p>
        </w:tc>
        <w:tc>
          <w:tcPr>
            <w:tcW w:w="16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(6,057)</w:t>
            </w:r>
          </w:p>
        </w:tc>
        <w:tc>
          <w:tcPr>
            <w:tcW w:w="160" w:type="dxa"/>
            <w:vAlign w:val="bottom"/>
          </w:tcPr>
          <w:p>
            <w:pPr>
              <w:spacing w:after="0"/>
              <w:rPr>
                <w:sz w:val="8"/>
                <w:szCs w:val="8"/>
                <w:color w:val="auto"/>
              </w:rPr>
            </w:pPr>
          </w:p>
        </w:tc>
        <w:tc>
          <w:tcPr>
            <w:tcW w:w="8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(13,344)</w:t>
            </w:r>
          </w:p>
        </w:tc>
        <w:tc>
          <w:tcPr>
            <w:tcW w:w="16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ind w:right="191"/>
              <w:spacing w:after="0" w:line="93" w:lineRule="exact"/>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(21,979)</w:t>
            </w:r>
          </w:p>
        </w:tc>
        <w:tc>
          <w:tcPr>
            <w:tcW w:w="140" w:type="dxa"/>
            <w:vAlign w:val="bottom"/>
          </w:tcPr>
          <w:p>
            <w:pPr>
              <w:spacing w:after="0"/>
              <w:rPr>
                <w:sz w:val="8"/>
                <w:szCs w:val="8"/>
                <w:color w:val="auto"/>
              </w:rPr>
            </w:pPr>
          </w:p>
        </w:tc>
        <w:tc>
          <w:tcPr>
            <w:tcW w:w="440" w:type="dxa"/>
            <w:vAlign w:val="bottom"/>
            <w:tcBorders>
              <w:top w:val="single" w:sz="8" w:color="auto"/>
              <w:bottom w:val="single" w:sz="8" w:color="auto"/>
            </w:tcBorders>
          </w:tcPr>
          <w:p>
            <w:pPr>
              <w:jc w:val="right"/>
              <w:ind w:right="331"/>
              <w:spacing w:after="0" w:line="93" w:lineRule="exact"/>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(36,827)</w:t>
            </w:r>
          </w:p>
        </w:tc>
        <w:tc>
          <w:tcPr>
            <w:tcW w:w="20" w:type="dxa"/>
            <w:vAlign w:val="bottom"/>
          </w:tcPr>
          <w:p>
            <w:pPr>
              <w:spacing w:after="0"/>
              <w:rPr>
                <w:sz w:val="8"/>
                <w:szCs w:val="8"/>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See accompanying Notes to the Unaudited Consolidated Financial Statements</w:t>
      </w:r>
      <w:r>
        <w:rPr>
          <w:rFonts w:ascii="Arial" w:cs="Arial" w:eastAsia="Arial" w:hAnsi="Arial"/>
          <w:sz w:val="9"/>
          <w:szCs w:val="9"/>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4" w:right="640" w:bottom="1440" w:gutter="0" w:footer="0" w:header="0"/>
        </w:sectPr>
      </w:pPr>
    </w:p>
    <w:bookmarkStart w:id="5" w:name="page6"/>
    <w:bookmarkEnd w:id="5"/>
    <w:p>
      <w:pPr>
        <w:spacing w:after="0"/>
        <w:rPr>
          <w:sz w:val="20"/>
          <w:szCs w:val="20"/>
          <w:color w:val="auto"/>
        </w:rPr>
      </w:pPr>
      <w:r>
        <w:rPr>
          <w:rFonts w:ascii="Arial" w:cs="Arial" w:eastAsia="Arial" w:hAnsi="Arial"/>
          <w:sz w:val="10"/>
          <w:szCs w:val="10"/>
          <w:b w:val="1"/>
          <w:bCs w:val="1"/>
          <w:color w:val="auto"/>
        </w:rPr>
        <w:t>READING INTERNATIONAL, INC.</w:t>
      </w:r>
    </w:p>
    <w:p>
      <w:pPr>
        <w:spacing w:after="0" w:line="223" w:lineRule="auto"/>
        <w:rPr>
          <w:sz w:val="20"/>
          <w:szCs w:val="20"/>
          <w:color w:val="auto"/>
        </w:rPr>
      </w:pPr>
      <w:r>
        <w:rPr>
          <w:rFonts w:ascii="Arial" w:cs="Arial" w:eastAsia="Arial" w:hAnsi="Arial"/>
          <w:sz w:val="10"/>
          <w:szCs w:val="10"/>
          <w:b w:val="1"/>
          <w:bCs w:val="1"/>
          <w:color w:val="auto"/>
        </w:rPr>
        <w:t>CONSOLIDATED STATEMENTS OF CASH FLOWS</w:t>
      </w:r>
    </w:p>
    <w:p>
      <w:pPr>
        <w:spacing w:after="0"/>
        <w:rPr>
          <w:sz w:val="20"/>
          <w:szCs w:val="20"/>
          <w:color w:val="auto"/>
        </w:rPr>
      </w:pPr>
      <w:r>
        <w:rPr>
          <w:rFonts w:ascii="Arial" w:cs="Arial" w:eastAsia="Arial" w:hAnsi="Arial"/>
          <w:sz w:val="10"/>
          <w:szCs w:val="10"/>
          <w:i w:val="1"/>
          <w:iCs w:val="1"/>
          <w:color w:val="auto"/>
        </w:rPr>
        <w:t>(Unaudited; U.S. dollars in thousands)</w:t>
      </w:r>
    </w:p>
    <w:p>
      <w:pPr>
        <w:spacing w:after="0" w:line="1" w:lineRule="exact"/>
        <w:rPr>
          <w:sz w:val="20"/>
          <w:szCs w:val="20"/>
          <w:color w:val="auto"/>
        </w:rPr>
      </w:pPr>
    </w:p>
    <w:p>
      <w:pPr>
        <w:jc w:val="center"/>
        <w:ind w:left="7880"/>
        <w:spacing w:after="0"/>
        <w:rPr>
          <w:sz w:val="20"/>
          <w:szCs w:val="20"/>
          <w:color w:val="auto"/>
        </w:rPr>
      </w:pPr>
      <w:r>
        <w:rPr>
          <w:rFonts w:ascii="Arial" w:cs="Arial" w:eastAsia="Arial" w:hAnsi="Arial"/>
          <w:sz w:val="8"/>
          <w:szCs w:val="8"/>
          <w:b w:val="1"/>
          <w:bCs w:val="1"/>
          <w:color w:val="auto"/>
        </w:rPr>
        <w:t>Nine Months Ended</w:t>
      </w:r>
    </w:p>
    <w:p>
      <w:pPr>
        <w:jc w:val="center"/>
        <w:ind w:left="7880"/>
        <w:spacing w:after="0" w:line="234" w:lineRule="auto"/>
        <w:rPr>
          <w:sz w:val="20"/>
          <w:szCs w:val="20"/>
          <w:color w:val="auto"/>
        </w:rPr>
      </w:pPr>
      <w:r>
        <w:rPr>
          <w:rFonts w:ascii="Arial" w:cs="Arial" w:eastAsia="Arial" w:hAnsi="Arial"/>
          <w:sz w:val="8"/>
          <w:szCs w:val="8"/>
          <w:b w:val="1"/>
          <w:bCs w:val="1"/>
          <w:color w:val="auto"/>
        </w:rPr>
        <w:t>September 30,</w:t>
      </w:r>
    </w:p>
    <w:tbl>
      <w:tblPr>
        <w:tblLayout w:type="fixed"/>
        <w:tblInd w:w="0" w:type="dxa"/>
        <w:tblCellMar>
          <w:top w:w="0" w:type="dxa"/>
          <w:left w:w="0" w:type="dxa"/>
          <w:bottom w:w="0" w:type="dxa"/>
          <w:right w:w="0" w:type="dxa"/>
        </w:tblCellMar>
      </w:tblPr>
      <w:tr>
        <w:trPr>
          <w:trHeight w:val="78"/>
        </w:trPr>
        <w:tc>
          <w:tcPr>
            <w:tcW w:w="770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840" w:type="dxa"/>
            <w:vAlign w:val="bottom"/>
            <w:tcBorders>
              <w:top w:val="single" w:sz="8" w:color="auto"/>
              <w:bottom w:val="single" w:sz="8" w:color="auto"/>
            </w:tcBorders>
          </w:tcPr>
          <w:p>
            <w:pPr>
              <w:jc w:val="right"/>
              <w:ind w:right="54"/>
              <w:spacing w:after="0" w:line="78" w:lineRule="exact"/>
              <w:rPr>
                <w:sz w:val="20"/>
                <w:szCs w:val="20"/>
                <w:color w:val="auto"/>
              </w:rPr>
            </w:pPr>
            <w:r>
              <w:rPr>
                <w:rFonts w:ascii="Arial" w:cs="Arial" w:eastAsia="Arial" w:hAnsi="Arial"/>
                <w:sz w:val="8"/>
                <w:szCs w:val="8"/>
                <w:b w:val="1"/>
                <w:bCs w:val="1"/>
                <w:color w:val="auto"/>
              </w:rPr>
              <w:t>2023</w:t>
            </w:r>
          </w:p>
        </w:tc>
        <w:tc>
          <w:tcPr>
            <w:tcW w:w="46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CCEEFF"/>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jc w:val="right"/>
              <w:ind w:right="511"/>
              <w:spacing w:after="0" w:line="78" w:lineRule="exact"/>
              <w:rPr>
                <w:sz w:val="20"/>
                <w:szCs w:val="20"/>
                <w:color w:val="auto"/>
              </w:rPr>
            </w:pPr>
            <w:r>
              <w:rPr>
                <w:rFonts w:ascii="Arial" w:cs="Arial" w:eastAsia="Arial" w:hAnsi="Arial"/>
                <w:sz w:val="8"/>
                <w:szCs w:val="8"/>
                <w:b w:val="1"/>
                <w:bCs w:val="1"/>
                <w:color w:val="auto"/>
              </w:rPr>
              <w:t>2022</w:t>
            </w:r>
          </w:p>
        </w:tc>
        <w:tc>
          <w:tcPr>
            <w:tcW w:w="20" w:type="dxa"/>
            <w:vAlign w:val="bottom"/>
          </w:tcPr>
          <w:p>
            <w:pPr>
              <w:spacing w:after="0"/>
              <w:rPr>
                <w:sz w:val="6"/>
                <w:szCs w:val="6"/>
                <w:color w:val="auto"/>
              </w:rPr>
            </w:pPr>
          </w:p>
        </w:tc>
      </w:tr>
      <w:tr>
        <w:trPr>
          <w:trHeight w:val="100"/>
        </w:trPr>
        <w:tc>
          <w:tcPr>
            <w:tcW w:w="7700" w:type="dxa"/>
            <w:vAlign w:val="bottom"/>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Operating Activities</w:t>
            </w: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5"/>
        </w:trPr>
        <w:tc>
          <w:tcPr>
            <w:tcW w:w="7700" w:type="dxa"/>
            <w:vAlign w:val="bottom"/>
          </w:tcPr>
          <w:p>
            <w:pPr>
              <w:spacing w:after="0" w:line="105" w:lineRule="exact"/>
              <w:rPr>
                <w:sz w:val="20"/>
                <w:szCs w:val="20"/>
                <w:color w:val="auto"/>
              </w:rPr>
            </w:pPr>
            <w:r>
              <w:rPr>
                <w:rFonts w:ascii="Arial" w:cs="Arial" w:eastAsia="Arial" w:hAnsi="Arial"/>
                <w:sz w:val="10"/>
                <w:szCs w:val="10"/>
                <w:color w:val="auto"/>
              </w:rPr>
              <w:t>Net income (loss)</w:t>
            </w:r>
          </w:p>
        </w:tc>
        <w:tc>
          <w:tcPr>
            <w:tcW w:w="1020" w:type="dxa"/>
            <w:vAlign w:val="bottom"/>
            <w:gridSpan w:val="2"/>
          </w:tcPr>
          <w:p>
            <w:pPr>
              <w:jc w:val="right"/>
              <w:ind w:right="734"/>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(18,650)</w:t>
            </w:r>
          </w:p>
        </w:tc>
        <w:tc>
          <w:tcPr>
            <w:tcW w:w="320" w:type="dxa"/>
            <w:vAlign w:val="bottom"/>
          </w:tcPr>
          <w:p>
            <w:pPr>
              <w:jc w:val="right"/>
              <w:ind w:right="211"/>
              <w:spacing w:after="0" w:line="105" w:lineRule="exact"/>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(23,195)</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40"/>
              <w:spacing w:after="0" w:line="105" w:lineRule="exact"/>
              <w:rPr>
                <w:sz w:val="20"/>
                <w:szCs w:val="20"/>
                <w:color w:val="auto"/>
              </w:rPr>
            </w:pPr>
            <w:r>
              <w:rPr>
                <w:rFonts w:ascii="Arial" w:cs="Arial" w:eastAsia="Arial" w:hAnsi="Arial"/>
                <w:sz w:val="10"/>
                <w:szCs w:val="10"/>
                <w:i w:val="1"/>
                <w:iCs w:val="1"/>
                <w:color w:val="auto"/>
              </w:rPr>
              <w:t>Adjustments to reconcile net income (loss) to net cash provided by operating activities: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7700" w:type="dxa"/>
            <w:vAlign w:val="bottom"/>
          </w:tcPr>
          <w:p>
            <w:pPr>
              <w:ind w:left="120"/>
              <w:spacing w:after="0" w:line="105" w:lineRule="exact"/>
              <w:rPr>
                <w:sz w:val="20"/>
                <w:szCs w:val="20"/>
                <w:color w:val="auto"/>
              </w:rPr>
            </w:pPr>
            <w:r>
              <w:rPr>
                <w:rFonts w:ascii="Arial" w:cs="Arial" w:eastAsia="Arial" w:hAnsi="Arial"/>
                <w:sz w:val="10"/>
                <w:szCs w:val="10"/>
                <w:color w:val="auto"/>
              </w:rPr>
              <w:t>Equity earnings of unconsolidated joint ventures</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(443)</w:t>
            </w: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(233)</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Distributions of earnings from unconsolidated joint ventures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468</w:t>
            </w: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283</w:t>
            </w:r>
          </w:p>
        </w:tc>
        <w:tc>
          <w:tcPr>
            <w:tcW w:w="20" w:type="dxa"/>
            <w:vAlign w:val="bottom"/>
          </w:tcPr>
          <w:p>
            <w:pPr>
              <w:spacing w:after="0"/>
              <w:rPr>
                <w:sz w:val="9"/>
                <w:szCs w:val="9"/>
                <w:color w:val="auto"/>
              </w:rPr>
            </w:pPr>
          </w:p>
        </w:tc>
      </w:tr>
      <w:tr>
        <w:trPr>
          <w:trHeight w:val="105"/>
        </w:trPr>
        <w:tc>
          <w:tcPr>
            <w:tcW w:w="7700" w:type="dxa"/>
            <w:vAlign w:val="bottom"/>
          </w:tcPr>
          <w:p>
            <w:pPr>
              <w:ind w:left="120"/>
              <w:spacing w:after="0" w:line="105" w:lineRule="exact"/>
              <w:rPr>
                <w:sz w:val="20"/>
                <w:szCs w:val="20"/>
                <w:color w:val="auto"/>
              </w:rPr>
            </w:pPr>
            <w:r>
              <w:rPr>
                <w:rFonts w:ascii="Arial" w:cs="Arial" w:eastAsia="Arial" w:hAnsi="Arial"/>
                <w:sz w:val="10"/>
                <w:szCs w:val="10"/>
                <w:color w:val="auto"/>
              </w:rPr>
              <w:t>(Gain) loss recognized on foreign currency transactions</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(5,952)</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Loss provision on impairment of asset</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1,549</w:t>
            </w:r>
          </w:p>
        </w:tc>
        <w:tc>
          <w:tcPr>
            <w:tcW w:w="20" w:type="dxa"/>
            <w:vAlign w:val="bottom"/>
          </w:tcPr>
          <w:p>
            <w:pPr>
              <w:spacing w:after="0"/>
              <w:rPr>
                <w:sz w:val="9"/>
                <w:szCs w:val="9"/>
                <w:color w:val="auto"/>
              </w:rPr>
            </w:pPr>
          </w:p>
        </w:tc>
      </w:tr>
      <w:tr>
        <w:trPr>
          <w:trHeight w:val="105"/>
        </w:trPr>
        <w:tc>
          <w:tcPr>
            <w:tcW w:w="7700" w:type="dxa"/>
            <w:vAlign w:val="bottom"/>
          </w:tcPr>
          <w:p>
            <w:pPr>
              <w:ind w:left="120"/>
              <w:spacing w:after="0" w:line="105" w:lineRule="exact"/>
              <w:rPr>
                <w:sz w:val="20"/>
                <w:szCs w:val="20"/>
                <w:color w:val="auto"/>
              </w:rPr>
            </w:pPr>
            <w:r>
              <w:rPr>
                <w:rFonts w:ascii="Arial" w:cs="Arial" w:eastAsia="Arial" w:hAnsi="Arial"/>
                <w:sz w:val="10"/>
                <w:szCs w:val="10"/>
                <w:color w:val="auto"/>
              </w:rPr>
              <w:t>(Gain) Loss on sale of assets</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59</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Amortization of operating leases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14,871</w:t>
            </w: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17,342</w:t>
            </w:r>
          </w:p>
        </w:tc>
        <w:tc>
          <w:tcPr>
            <w:tcW w:w="20" w:type="dxa"/>
            <w:vAlign w:val="bottom"/>
          </w:tcPr>
          <w:p>
            <w:pPr>
              <w:spacing w:after="0"/>
              <w:rPr>
                <w:sz w:val="9"/>
                <w:szCs w:val="9"/>
                <w:color w:val="auto"/>
              </w:rPr>
            </w:pPr>
          </w:p>
        </w:tc>
      </w:tr>
      <w:tr>
        <w:trPr>
          <w:trHeight w:val="105"/>
        </w:trPr>
        <w:tc>
          <w:tcPr>
            <w:tcW w:w="7700" w:type="dxa"/>
            <w:vAlign w:val="bottom"/>
          </w:tcPr>
          <w:p>
            <w:pPr>
              <w:ind w:left="120"/>
              <w:spacing w:after="0" w:line="105" w:lineRule="exact"/>
              <w:rPr>
                <w:sz w:val="20"/>
                <w:szCs w:val="20"/>
                <w:color w:val="auto"/>
              </w:rPr>
            </w:pPr>
            <w:r>
              <w:rPr>
                <w:rFonts w:ascii="Arial" w:cs="Arial" w:eastAsia="Arial" w:hAnsi="Arial"/>
                <w:sz w:val="10"/>
                <w:szCs w:val="10"/>
                <w:color w:val="auto"/>
              </w:rPr>
              <w:t>Amortization of finance leases</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23</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30</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Change in operating lease liabilities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(15,998)</w:t>
            </w: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(17,560)</w:t>
            </w:r>
          </w:p>
        </w:tc>
        <w:tc>
          <w:tcPr>
            <w:tcW w:w="20" w:type="dxa"/>
            <w:vAlign w:val="bottom"/>
          </w:tcPr>
          <w:p>
            <w:pPr>
              <w:spacing w:after="0"/>
              <w:rPr>
                <w:sz w:val="9"/>
                <w:szCs w:val="9"/>
                <w:color w:val="auto"/>
              </w:rPr>
            </w:pPr>
          </w:p>
        </w:tc>
      </w:tr>
      <w:tr>
        <w:trPr>
          <w:trHeight w:val="105"/>
        </w:trPr>
        <w:tc>
          <w:tcPr>
            <w:tcW w:w="7700" w:type="dxa"/>
            <w:vAlign w:val="bottom"/>
          </w:tcPr>
          <w:p>
            <w:pPr>
              <w:ind w:left="120"/>
              <w:spacing w:after="0" w:line="105" w:lineRule="exact"/>
              <w:rPr>
                <w:sz w:val="20"/>
                <w:szCs w:val="20"/>
                <w:color w:val="auto"/>
              </w:rPr>
            </w:pPr>
            <w:r>
              <w:rPr>
                <w:rFonts w:ascii="Arial" w:cs="Arial" w:eastAsia="Arial" w:hAnsi="Arial"/>
                <w:sz w:val="10"/>
                <w:szCs w:val="10"/>
                <w:color w:val="auto"/>
              </w:rPr>
              <w:t>Purchase of derivative instruments</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(86)</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Change in net deferred tax assets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(98)</w:t>
            </w: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(370)</w:t>
            </w:r>
          </w:p>
        </w:tc>
        <w:tc>
          <w:tcPr>
            <w:tcW w:w="20" w:type="dxa"/>
            <w:vAlign w:val="bottom"/>
          </w:tcPr>
          <w:p>
            <w:pPr>
              <w:spacing w:after="0"/>
              <w:rPr>
                <w:sz w:val="9"/>
                <w:szCs w:val="9"/>
                <w:color w:val="auto"/>
              </w:rPr>
            </w:pPr>
          </w:p>
        </w:tc>
      </w:tr>
      <w:tr>
        <w:trPr>
          <w:trHeight w:val="105"/>
        </w:trPr>
        <w:tc>
          <w:tcPr>
            <w:tcW w:w="7700" w:type="dxa"/>
            <w:vAlign w:val="bottom"/>
          </w:tcPr>
          <w:p>
            <w:pPr>
              <w:ind w:left="120"/>
              <w:spacing w:after="0" w:line="105" w:lineRule="exact"/>
              <w:rPr>
                <w:sz w:val="20"/>
                <w:szCs w:val="20"/>
                <w:color w:val="auto"/>
              </w:rPr>
            </w:pPr>
            <w:r>
              <w:rPr>
                <w:rFonts w:ascii="Arial" w:cs="Arial" w:eastAsia="Arial" w:hAnsi="Arial"/>
                <w:sz w:val="10"/>
                <w:szCs w:val="10"/>
                <w:color w:val="auto"/>
              </w:rPr>
              <w:t>Depreciation and amortization</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13,908</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15,781</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Other amortization</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1,157</w:t>
            </w: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1,225</w:t>
            </w:r>
          </w:p>
        </w:tc>
        <w:tc>
          <w:tcPr>
            <w:tcW w:w="20" w:type="dxa"/>
            <w:vAlign w:val="bottom"/>
          </w:tcPr>
          <w:p>
            <w:pPr>
              <w:spacing w:after="0"/>
              <w:rPr>
                <w:sz w:val="9"/>
                <w:szCs w:val="9"/>
                <w:color w:val="auto"/>
              </w:rPr>
            </w:pPr>
          </w:p>
        </w:tc>
      </w:tr>
      <w:tr>
        <w:trPr>
          <w:trHeight w:val="105"/>
        </w:trPr>
        <w:tc>
          <w:tcPr>
            <w:tcW w:w="7700" w:type="dxa"/>
            <w:vAlign w:val="bottom"/>
          </w:tcPr>
          <w:p>
            <w:pPr>
              <w:ind w:left="120"/>
              <w:spacing w:after="0" w:line="105" w:lineRule="exact"/>
              <w:rPr>
                <w:sz w:val="20"/>
                <w:szCs w:val="20"/>
                <w:color w:val="auto"/>
              </w:rPr>
            </w:pPr>
            <w:r>
              <w:rPr>
                <w:rFonts w:ascii="Arial" w:cs="Arial" w:eastAsia="Arial" w:hAnsi="Arial"/>
                <w:sz w:val="10"/>
                <w:szCs w:val="10"/>
                <w:color w:val="auto"/>
              </w:rPr>
              <w:t>Stock based compensation expense</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1,364</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1,379</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i w:val="1"/>
                <w:iCs w:val="1"/>
                <w:color w:val="auto"/>
              </w:rPr>
              <w:t>Net changes in operating assets and liabilities: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7700" w:type="dxa"/>
            <w:vAlign w:val="bottom"/>
          </w:tcPr>
          <w:p>
            <w:pPr>
              <w:ind w:left="180"/>
              <w:spacing w:after="0" w:line="105" w:lineRule="exact"/>
              <w:rPr>
                <w:sz w:val="20"/>
                <w:szCs w:val="20"/>
                <w:color w:val="auto"/>
              </w:rPr>
            </w:pPr>
            <w:r>
              <w:rPr>
                <w:rFonts w:ascii="Arial" w:cs="Arial" w:eastAsia="Arial" w:hAnsi="Arial"/>
                <w:sz w:val="10"/>
                <w:szCs w:val="10"/>
                <w:color w:val="auto"/>
              </w:rPr>
              <w:t>Receivables</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325</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2,536</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Prepaid and other assets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(483)</w:t>
            </w: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(1,768)</w:t>
            </w:r>
          </w:p>
        </w:tc>
        <w:tc>
          <w:tcPr>
            <w:tcW w:w="20" w:type="dxa"/>
            <w:vAlign w:val="bottom"/>
          </w:tcPr>
          <w:p>
            <w:pPr>
              <w:spacing w:after="0"/>
              <w:rPr>
                <w:sz w:val="9"/>
                <w:szCs w:val="9"/>
                <w:color w:val="auto"/>
              </w:rPr>
            </w:pPr>
          </w:p>
        </w:tc>
      </w:tr>
      <w:tr>
        <w:trPr>
          <w:trHeight w:val="105"/>
        </w:trPr>
        <w:tc>
          <w:tcPr>
            <w:tcW w:w="7700" w:type="dxa"/>
            <w:vAlign w:val="bottom"/>
          </w:tcPr>
          <w:p>
            <w:pPr>
              <w:ind w:left="180"/>
              <w:spacing w:after="0" w:line="105" w:lineRule="exact"/>
              <w:rPr>
                <w:sz w:val="20"/>
                <w:szCs w:val="20"/>
                <w:color w:val="auto"/>
              </w:rPr>
            </w:pPr>
            <w:r>
              <w:rPr>
                <w:rFonts w:ascii="Arial" w:cs="Arial" w:eastAsia="Arial" w:hAnsi="Arial"/>
                <w:sz w:val="10"/>
                <w:szCs w:val="10"/>
                <w:color w:val="auto"/>
              </w:rPr>
              <w:t>Payments for accrued pension</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(513)</w:t>
            </w: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(513)</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Accounts payable and accrued expenses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932</w:t>
            </w: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(2,333)</w:t>
            </w:r>
          </w:p>
        </w:tc>
        <w:tc>
          <w:tcPr>
            <w:tcW w:w="20" w:type="dxa"/>
            <w:vAlign w:val="bottom"/>
          </w:tcPr>
          <w:p>
            <w:pPr>
              <w:spacing w:after="0"/>
              <w:rPr>
                <w:sz w:val="9"/>
                <w:szCs w:val="9"/>
                <w:color w:val="auto"/>
              </w:rPr>
            </w:pPr>
          </w:p>
        </w:tc>
      </w:tr>
      <w:tr>
        <w:trPr>
          <w:trHeight w:val="105"/>
        </w:trPr>
        <w:tc>
          <w:tcPr>
            <w:tcW w:w="7700" w:type="dxa"/>
            <w:vAlign w:val="bottom"/>
          </w:tcPr>
          <w:p>
            <w:pPr>
              <w:ind w:left="180"/>
              <w:spacing w:after="0" w:line="105" w:lineRule="exact"/>
              <w:rPr>
                <w:sz w:val="20"/>
                <w:szCs w:val="20"/>
                <w:color w:val="auto"/>
              </w:rPr>
            </w:pPr>
            <w:r>
              <w:rPr>
                <w:rFonts w:ascii="Arial" w:cs="Arial" w:eastAsia="Arial" w:hAnsi="Arial"/>
                <w:sz w:val="10"/>
                <w:szCs w:val="10"/>
                <w:color w:val="auto"/>
              </w:rPr>
              <w:t>Film rent payable</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(2,127)</w:t>
            </w: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(4,014)</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Taxes payable</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2,155</w:t>
            </w: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(8,131)</w:t>
            </w:r>
          </w:p>
        </w:tc>
        <w:tc>
          <w:tcPr>
            <w:tcW w:w="20" w:type="dxa"/>
            <w:vAlign w:val="bottom"/>
          </w:tcPr>
          <w:p>
            <w:pPr>
              <w:spacing w:after="0"/>
              <w:rPr>
                <w:sz w:val="9"/>
                <w:szCs w:val="9"/>
                <w:color w:val="auto"/>
              </w:rPr>
            </w:pPr>
          </w:p>
        </w:tc>
      </w:tr>
      <w:tr>
        <w:trPr>
          <w:trHeight w:val="105"/>
        </w:trPr>
        <w:tc>
          <w:tcPr>
            <w:tcW w:w="7700" w:type="dxa"/>
            <w:vAlign w:val="bottom"/>
          </w:tcPr>
          <w:p>
            <w:pPr>
              <w:ind w:left="180"/>
              <w:spacing w:after="0" w:line="105" w:lineRule="exact"/>
              <w:rPr>
                <w:sz w:val="20"/>
                <w:szCs w:val="20"/>
                <w:color w:val="auto"/>
              </w:rPr>
            </w:pPr>
            <w:r>
              <w:rPr>
                <w:rFonts w:ascii="Arial" w:cs="Arial" w:eastAsia="Arial" w:hAnsi="Arial"/>
                <w:sz w:val="10"/>
                <w:szCs w:val="10"/>
                <w:color w:val="auto"/>
              </w:rPr>
              <w:t>Deferred revenue and other liabilities</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(3,257)</w:t>
            </w: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(2,143)</w:t>
            </w:r>
          </w:p>
        </w:tc>
        <w:tc>
          <w:tcPr>
            <w:tcW w:w="20" w:type="dxa"/>
            <w:vAlign w:val="bottom"/>
          </w:tcPr>
          <w:p>
            <w:pPr>
              <w:spacing w:after="0"/>
              <w:rPr>
                <w:sz w:val="9"/>
                <w:szCs w:val="9"/>
                <w:color w:val="auto"/>
              </w:rPr>
            </w:pPr>
          </w:p>
        </w:tc>
      </w:tr>
      <w:tr>
        <w:trPr>
          <w:trHeight w:val="93"/>
        </w:trPr>
        <w:tc>
          <w:tcPr>
            <w:tcW w:w="7700" w:type="dxa"/>
            <w:vAlign w:val="bottom"/>
            <w:tcBorders>
              <w:top w:val="single" w:sz="8" w:color="auto"/>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Net cash provided by (used in) operating activities</w:t>
            </w:r>
          </w:p>
        </w:tc>
        <w:tc>
          <w:tcPr>
            <w:tcW w:w="18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bottom w:val="single" w:sz="8" w:color="auto"/>
            </w:tcBorders>
            <w:shd w:val="clear" w:color="auto" w:fill="CCEEFF"/>
          </w:tcPr>
          <w:p>
            <w:pPr>
              <w:spacing w:after="0"/>
              <w:rPr>
                <w:sz w:val="8"/>
                <w:szCs w:val="8"/>
                <w:color w:val="auto"/>
              </w:rPr>
            </w:pPr>
          </w:p>
        </w:tc>
        <w:tc>
          <w:tcPr>
            <w:tcW w:w="46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(6,366)</w:t>
            </w:r>
          </w:p>
        </w:tc>
        <w:tc>
          <w:tcPr>
            <w:tcW w:w="1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bottom w:val="single" w:sz="8" w:color="auto"/>
            </w:tcBorders>
            <w:shd w:val="clear" w:color="auto" w:fill="CCEEFF"/>
          </w:tcPr>
          <w:p>
            <w:pPr>
              <w:spacing w:after="0"/>
              <w:rPr>
                <w:sz w:val="8"/>
                <w:szCs w:val="8"/>
                <w:color w:val="auto"/>
              </w:rPr>
            </w:pPr>
          </w:p>
        </w:tc>
        <w:tc>
          <w:tcPr>
            <w:tcW w:w="98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(26,114)</w:t>
            </w:r>
          </w:p>
        </w:tc>
        <w:tc>
          <w:tcPr>
            <w:tcW w:w="20" w:type="dxa"/>
            <w:vAlign w:val="bottom"/>
          </w:tcPr>
          <w:p>
            <w:pPr>
              <w:spacing w:after="0"/>
              <w:rPr>
                <w:sz w:val="8"/>
                <w:szCs w:val="8"/>
                <w:color w:val="auto"/>
              </w:rPr>
            </w:pPr>
          </w:p>
        </w:tc>
      </w:tr>
      <w:tr>
        <w:trPr>
          <w:trHeight w:val="93"/>
        </w:trPr>
        <w:tc>
          <w:tcPr>
            <w:tcW w:w="7700" w:type="dxa"/>
            <w:vAlign w:val="bottom"/>
          </w:tcPr>
          <w:p>
            <w:pPr>
              <w:spacing w:after="0" w:line="93" w:lineRule="exact"/>
              <w:rPr>
                <w:sz w:val="20"/>
                <w:szCs w:val="20"/>
                <w:color w:val="auto"/>
              </w:rPr>
            </w:pPr>
            <w:r>
              <w:rPr>
                <w:rFonts w:ascii="Arial" w:cs="Arial" w:eastAsia="Arial" w:hAnsi="Arial"/>
                <w:sz w:val="10"/>
                <w:szCs w:val="10"/>
                <w:b w:val="1"/>
                <w:bCs w:val="1"/>
                <w:color w:val="auto"/>
              </w:rPr>
              <w:t>Investing Activities</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Purchases of and additions to operating and investment properties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(6,191)</w:t>
            </w: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(6,387)</w:t>
            </w:r>
          </w:p>
        </w:tc>
        <w:tc>
          <w:tcPr>
            <w:tcW w:w="20" w:type="dxa"/>
            <w:vAlign w:val="bottom"/>
          </w:tcPr>
          <w:p>
            <w:pPr>
              <w:spacing w:after="0"/>
              <w:rPr>
                <w:sz w:val="9"/>
                <w:szCs w:val="9"/>
                <w:color w:val="auto"/>
              </w:rPr>
            </w:pPr>
          </w:p>
        </w:tc>
      </w:tr>
      <w:tr>
        <w:trPr>
          <w:trHeight w:val="105"/>
        </w:trPr>
        <w:tc>
          <w:tcPr>
            <w:tcW w:w="7700" w:type="dxa"/>
            <w:vAlign w:val="bottom"/>
          </w:tcPr>
          <w:p>
            <w:pPr>
              <w:ind w:left="120"/>
              <w:spacing w:after="0" w:line="105" w:lineRule="exact"/>
              <w:rPr>
                <w:sz w:val="20"/>
                <w:szCs w:val="20"/>
                <w:color w:val="auto"/>
              </w:rPr>
            </w:pPr>
            <w:r>
              <w:rPr>
                <w:rFonts w:ascii="Arial" w:cs="Arial" w:eastAsia="Arial" w:hAnsi="Arial"/>
                <w:sz w:val="10"/>
                <w:szCs w:val="10"/>
                <w:color w:val="auto"/>
              </w:rPr>
              <w:t>Contributions to unconsolidated joint ventures</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(32)</w:t>
            </w:r>
          </w:p>
        </w:tc>
        <w:tc>
          <w:tcPr>
            <w:tcW w:w="20" w:type="dxa"/>
            <w:vAlign w:val="bottom"/>
          </w:tcPr>
          <w:p>
            <w:pPr>
              <w:spacing w:after="0"/>
              <w:rPr>
                <w:sz w:val="9"/>
                <w:szCs w:val="9"/>
                <w:color w:val="auto"/>
              </w:rPr>
            </w:pPr>
          </w:p>
        </w:tc>
      </w:tr>
      <w:tr>
        <w:trPr>
          <w:trHeight w:val="93"/>
        </w:trPr>
        <w:tc>
          <w:tcPr>
            <w:tcW w:w="7700" w:type="dxa"/>
            <w:vAlign w:val="bottom"/>
            <w:tcBorders>
              <w:top w:val="single" w:sz="8" w:color="auto"/>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color w:val="auto"/>
              </w:rPr>
              <w:t>Net cash provided by (used in) investing activities</w:t>
            </w:r>
          </w:p>
        </w:tc>
        <w:tc>
          <w:tcPr>
            <w:tcW w:w="18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bottom w:val="single" w:sz="8" w:color="auto"/>
            </w:tcBorders>
            <w:shd w:val="clear" w:color="auto" w:fill="CCEEFF"/>
          </w:tcPr>
          <w:p>
            <w:pPr>
              <w:spacing w:after="0"/>
              <w:rPr>
                <w:sz w:val="8"/>
                <w:szCs w:val="8"/>
                <w:color w:val="auto"/>
              </w:rPr>
            </w:pPr>
          </w:p>
        </w:tc>
        <w:tc>
          <w:tcPr>
            <w:tcW w:w="46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(6,191)</w:t>
            </w:r>
          </w:p>
        </w:tc>
        <w:tc>
          <w:tcPr>
            <w:tcW w:w="1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bottom w:val="single" w:sz="8" w:color="auto"/>
            </w:tcBorders>
            <w:shd w:val="clear" w:color="auto" w:fill="CCEEFF"/>
          </w:tcPr>
          <w:p>
            <w:pPr>
              <w:spacing w:after="0"/>
              <w:rPr>
                <w:sz w:val="8"/>
                <w:szCs w:val="8"/>
                <w:color w:val="auto"/>
              </w:rPr>
            </w:pPr>
          </w:p>
        </w:tc>
        <w:tc>
          <w:tcPr>
            <w:tcW w:w="98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(6,419)</w:t>
            </w:r>
          </w:p>
        </w:tc>
        <w:tc>
          <w:tcPr>
            <w:tcW w:w="20" w:type="dxa"/>
            <w:vAlign w:val="bottom"/>
          </w:tcPr>
          <w:p>
            <w:pPr>
              <w:spacing w:after="0"/>
              <w:rPr>
                <w:sz w:val="8"/>
                <w:szCs w:val="8"/>
                <w:color w:val="auto"/>
              </w:rPr>
            </w:pPr>
          </w:p>
        </w:tc>
      </w:tr>
      <w:tr>
        <w:trPr>
          <w:trHeight w:val="93"/>
        </w:trPr>
        <w:tc>
          <w:tcPr>
            <w:tcW w:w="7700" w:type="dxa"/>
            <w:vAlign w:val="bottom"/>
          </w:tcPr>
          <w:p>
            <w:pPr>
              <w:spacing w:after="0" w:line="93" w:lineRule="exact"/>
              <w:rPr>
                <w:sz w:val="20"/>
                <w:szCs w:val="20"/>
                <w:color w:val="auto"/>
              </w:rPr>
            </w:pPr>
            <w:r>
              <w:rPr>
                <w:rFonts w:ascii="Arial" w:cs="Arial" w:eastAsia="Arial" w:hAnsi="Arial"/>
                <w:sz w:val="10"/>
                <w:szCs w:val="10"/>
                <w:b w:val="1"/>
                <w:bCs w:val="1"/>
                <w:color w:val="auto"/>
              </w:rPr>
              <w:t>Financing Activities</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Repayment of borrowings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(6,862)</w:t>
            </w: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(7,535)</w:t>
            </w:r>
          </w:p>
        </w:tc>
        <w:tc>
          <w:tcPr>
            <w:tcW w:w="20" w:type="dxa"/>
            <w:vAlign w:val="bottom"/>
          </w:tcPr>
          <w:p>
            <w:pPr>
              <w:spacing w:after="0"/>
              <w:rPr>
                <w:sz w:val="9"/>
                <w:szCs w:val="9"/>
                <w:color w:val="auto"/>
              </w:rPr>
            </w:pPr>
          </w:p>
        </w:tc>
      </w:tr>
      <w:tr>
        <w:trPr>
          <w:trHeight w:val="105"/>
        </w:trPr>
        <w:tc>
          <w:tcPr>
            <w:tcW w:w="7700" w:type="dxa"/>
            <w:vAlign w:val="bottom"/>
          </w:tcPr>
          <w:p>
            <w:pPr>
              <w:ind w:left="120"/>
              <w:spacing w:after="0" w:line="105" w:lineRule="exact"/>
              <w:rPr>
                <w:sz w:val="20"/>
                <w:szCs w:val="20"/>
                <w:color w:val="auto"/>
              </w:rPr>
            </w:pPr>
            <w:r>
              <w:rPr>
                <w:rFonts w:ascii="Arial" w:cs="Arial" w:eastAsia="Arial" w:hAnsi="Arial"/>
                <w:sz w:val="10"/>
                <w:szCs w:val="10"/>
                <w:color w:val="auto"/>
              </w:rPr>
              <w:t>Repayment of finance lease principal</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(25)</w:t>
            </w: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(32)</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Proceeds from borrowings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3,839</w:t>
            </w: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05"/>
        </w:trPr>
        <w:tc>
          <w:tcPr>
            <w:tcW w:w="7700" w:type="dxa"/>
            <w:vAlign w:val="bottom"/>
          </w:tcPr>
          <w:p>
            <w:pPr>
              <w:ind w:left="120"/>
              <w:spacing w:after="0" w:line="105" w:lineRule="exact"/>
              <w:rPr>
                <w:sz w:val="20"/>
                <w:szCs w:val="20"/>
                <w:color w:val="auto"/>
              </w:rPr>
            </w:pPr>
            <w:r>
              <w:rPr>
                <w:rFonts w:ascii="Arial" w:cs="Arial" w:eastAsia="Arial" w:hAnsi="Arial"/>
                <w:sz w:val="10"/>
                <w:szCs w:val="10"/>
                <w:color w:val="auto"/>
              </w:rPr>
              <w:t>Capitalized borrowing costs</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(594)</w:t>
            </w: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(236)</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(Cash paid) proceeds from the settlement of employee share transactions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(244)</w:t>
            </w: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(83)</w:t>
            </w:r>
          </w:p>
        </w:tc>
        <w:tc>
          <w:tcPr>
            <w:tcW w:w="20" w:type="dxa"/>
            <w:vAlign w:val="bottom"/>
          </w:tcPr>
          <w:p>
            <w:pPr>
              <w:spacing w:after="0"/>
              <w:rPr>
                <w:sz w:val="9"/>
                <w:szCs w:val="9"/>
                <w:color w:val="auto"/>
              </w:rPr>
            </w:pPr>
          </w:p>
        </w:tc>
      </w:tr>
      <w:tr>
        <w:trPr>
          <w:trHeight w:val="105"/>
        </w:trPr>
        <w:tc>
          <w:tcPr>
            <w:tcW w:w="7700" w:type="dxa"/>
            <w:vAlign w:val="bottom"/>
          </w:tcPr>
          <w:p>
            <w:pPr>
              <w:ind w:left="120"/>
              <w:spacing w:after="0" w:line="105" w:lineRule="exact"/>
              <w:rPr>
                <w:sz w:val="20"/>
                <w:szCs w:val="20"/>
                <w:color w:val="auto"/>
              </w:rPr>
            </w:pPr>
            <w:r>
              <w:rPr>
                <w:rFonts w:ascii="Arial" w:cs="Arial" w:eastAsia="Arial" w:hAnsi="Arial"/>
                <w:sz w:val="10"/>
                <w:szCs w:val="10"/>
                <w:color w:val="auto"/>
              </w:rPr>
              <w:t>Noncontrolling interest contributions</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4</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Noncontrolling interest distributions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(64)</w:t>
            </w:r>
          </w:p>
        </w:tc>
        <w:tc>
          <w:tcPr>
            <w:tcW w:w="20" w:type="dxa"/>
            <w:vAlign w:val="bottom"/>
          </w:tcPr>
          <w:p>
            <w:pPr>
              <w:spacing w:after="0"/>
              <w:rPr>
                <w:sz w:val="9"/>
                <w:szCs w:val="9"/>
                <w:color w:val="auto"/>
              </w:rPr>
            </w:pPr>
          </w:p>
        </w:tc>
      </w:tr>
      <w:tr>
        <w:trPr>
          <w:trHeight w:val="93"/>
        </w:trPr>
        <w:tc>
          <w:tcPr>
            <w:tcW w:w="7700" w:type="dxa"/>
            <w:vAlign w:val="bottom"/>
            <w:tcBorders>
              <w:top w:val="single" w:sz="8" w:color="auto"/>
              <w:bottom w:val="single" w:sz="8" w:color="auto"/>
            </w:tcBorders>
          </w:tcPr>
          <w:p>
            <w:pPr>
              <w:spacing w:after="0" w:line="93" w:lineRule="exact"/>
              <w:rPr>
                <w:sz w:val="20"/>
                <w:szCs w:val="20"/>
                <w:color w:val="auto"/>
              </w:rPr>
            </w:pPr>
            <w:r>
              <w:rPr>
                <w:rFonts w:ascii="Arial" w:cs="Arial" w:eastAsia="Arial" w:hAnsi="Arial"/>
                <w:sz w:val="10"/>
                <w:szCs w:val="10"/>
                <w:color w:val="auto"/>
              </w:rPr>
              <w:t>Net cash provided by (used in) financing activities</w:t>
            </w:r>
          </w:p>
        </w:tc>
        <w:tc>
          <w:tcPr>
            <w:tcW w:w="180" w:type="dxa"/>
            <w:vAlign w:val="bottom"/>
            <w:tcBorders>
              <w:bottom w:val="single" w:sz="8" w:color="CCEEFF"/>
            </w:tcBorders>
          </w:tcPr>
          <w:p>
            <w:pPr>
              <w:spacing w:after="0"/>
              <w:rPr>
                <w:sz w:val="8"/>
                <w:szCs w:val="8"/>
                <w:color w:val="auto"/>
              </w:rPr>
            </w:pPr>
          </w:p>
        </w:tc>
        <w:tc>
          <w:tcPr>
            <w:tcW w:w="8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(3,886)</w:t>
            </w:r>
          </w:p>
        </w:tc>
        <w:tc>
          <w:tcPr>
            <w:tcW w:w="140" w:type="dxa"/>
            <w:vAlign w:val="bottom"/>
            <w:tcBorders>
              <w:bottom w:val="single" w:sz="8" w:color="CCEEFF"/>
            </w:tcBorders>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98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(7,946)</w:t>
            </w:r>
          </w:p>
        </w:tc>
        <w:tc>
          <w:tcPr>
            <w:tcW w:w="20" w:type="dxa"/>
            <w:vAlign w:val="bottom"/>
          </w:tcPr>
          <w:p>
            <w:pPr>
              <w:spacing w:after="0"/>
              <w:rPr>
                <w:sz w:val="8"/>
                <w:szCs w:val="8"/>
                <w:color w:val="auto"/>
              </w:rPr>
            </w:pPr>
          </w:p>
        </w:tc>
      </w:tr>
      <w:tr>
        <w:trPr>
          <w:trHeight w:val="93"/>
        </w:trPr>
        <w:tc>
          <w:tcPr>
            <w:tcW w:w="7700" w:type="dxa"/>
            <w:vAlign w:val="bottom"/>
            <w:shd w:val="clear" w:color="auto" w:fill="CCEEFF"/>
          </w:tcPr>
          <w:p>
            <w:pPr>
              <w:spacing w:after="0" w:line="93" w:lineRule="exact"/>
              <w:rPr>
                <w:sz w:val="20"/>
                <w:szCs w:val="20"/>
                <w:color w:val="auto"/>
              </w:rPr>
            </w:pPr>
            <w:r>
              <w:rPr>
                <w:rFonts w:ascii="Arial" w:cs="Arial" w:eastAsia="Arial" w:hAnsi="Arial"/>
                <w:sz w:val="10"/>
                <w:szCs w:val="10"/>
                <w:b w:val="1"/>
                <w:bCs w:val="1"/>
                <w:color w:val="auto"/>
              </w:rPr>
              <w:t>Effect of exchange rate on cash and restricted cash</w:t>
            </w: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(897)</w:t>
            </w:r>
          </w:p>
        </w:tc>
        <w:tc>
          <w:tcPr>
            <w:tcW w:w="1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(2,242)</w:t>
            </w:r>
          </w:p>
        </w:tc>
        <w:tc>
          <w:tcPr>
            <w:tcW w:w="20" w:type="dxa"/>
            <w:vAlign w:val="bottom"/>
          </w:tcPr>
          <w:p>
            <w:pPr>
              <w:spacing w:after="0"/>
              <w:rPr>
                <w:sz w:val="8"/>
                <w:szCs w:val="8"/>
                <w:color w:val="auto"/>
              </w:rPr>
            </w:pPr>
          </w:p>
        </w:tc>
      </w:tr>
      <w:tr>
        <w:trPr>
          <w:trHeight w:val="105"/>
        </w:trPr>
        <w:tc>
          <w:tcPr>
            <w:tcW w:w="7700" w:type="dxa"/>
            <w:vAlign w:val="bottom"/>
          </w:tcPr>
          <w:p>
            <w:pPr>
              <w:spacing w:after="0" w:line="105" w:lineRule="exact"/>
              <w:rPr>
                <w:sz w:val="20"/>
                <w:szCs w:val="20"/>
                <w:color w:val="auto"/>
              </w:rPr>
            </w:pPr>
            <w:r>
              <w:rPr>
                <w:rFonts w:ascii="Arial" w:cs="Arial" w:eastAsia="Arial" w:hAnsi="Arial"/>
                <w:sz w:val="10"/>
                <w:szCs w:val="10"/>
                <w:b w:val="1"/>
                <w:bCs w:val="1"/>
                <w:color w:val="auto"/>
              </w:rPr>
              <w:t>Net increase (decrease) in cash and cash equivalents and restricted cash</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(17,340)</w:t>
            </w: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(42,721)</w:t>
            </w:r>
          </w:p>
        </w:tc>
        <w:tc>
          <w:tcPr>
            <w:tcW w:w="20" w:type="dxa"/>
            <w:vAlign w:val="bottom"/>
          </w:tcPr>
          <w:p>
            <w:pPr>
              <w:spacing w:after="0"/>
              <w:rPr>
                <w:sz w:val="9"/>
                <w:szCs w:val="9"/>
                <w:color w:val="auto"/>
              </w:rPr>
            </w:pPr>
          </w:p>
        </w:tc>
      </w:tr>
      <w:tr>
        <w:trPr>
          <w:trHeight w:val="105"/>
        </w:trPr>
        <w:tc>
          <w:tcPr>
            <w:tcW w:w="7700" w:type="dxa"/>
            <w:vAlign w:val="bottom"/>
            <w:tcBorders>
              <w:bottom w:val="single" w:sz="8" w:color="auto"/>
            </w:tcBorders>
            <w:shd w:val="clear" w:color="auto" w:fill="CCEEFF"/>
          </w:tcPr>
          <w:p>
            <w:pPr>
              <w:spacing w:after="0" w:line="105" w:lineRule="exact"/>
              <w:rPr>
                <w:sz w:val="20"/>
                <w:szCs w:val="20"/>
                <w:color w:val="auto"/>
              </w:rPr>
            </w:pPr>
            <w:r>
              <w:rPr>
                <w:rFonts w:ascii="Arial" w:cs="Arial" w:eastAsia="Arial" w:hAnsi="Arial"/>
                <w:sz w:val="10"/>
                <w:szCs w:val="10"/>
                <w:b w:val="1"/>
                <w:bCs w:val="1"/>
                <w:color w:val="auto"/>
              </w:rPr>
              <w:t>Cash and cash equivalents and restricted cash at the beginning of the period</w:t>
            </w:r>
          </w:p>
        </w:tc>
        <w:tc>
          <w:tcPr>
            <w:tcW w:w="180" w:type="dxa"/>
            <w:vAlign w:val="bottom"/>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34,979</w:t>
            </w:r>
          </w:p>
        </w:tc>
        <w:tc>
          <w:tcPr>
            <w:tcW w:w="140" w:type="dxa"/>
            <w:vAlign w:val="bottom"/>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88,571</w:t>
            </w:r>
          </w:p>
        </w:tc>
        <w:tc>
          <w:tcPr>
            <w:tcW w:w="20" w:type="dxa"/>
            <w:vAlign w:val="bottom"/>
          </w:tcPr>
          <w:p>
            <w:pPr>
              <w:spacing w:after="0"/>
              <w:rPr>
                <w:sz w:val="9"/>
                <w:szCs w:val="9"/>
                <w:color w:val="auto"/>
              </w:rPr>
            </w:pPr>
          </w:p>
        </w:tc>
      </w:tr>
      <w:tr>
        <w:trPr>
          <w:trHeight w:val="93"/>
        </w:trPr>
        <w:tc>
          <w:tcPr>
            <w:tcW w:w="7700" w:type="dxa"/>
            <w:vAlign w:val="bottom"/>
            <w:tcBorders>
              <w:bottom w:val="single" w:sz="8" w:color="auto"/>
            </w:tcBorders>
          </w:tcPr>
          <w:p>
            <w:pPr>
              <w:spacing w:after="0" w:line="93" w:lineRule="exact"/>
              <w:rPr>
                <w:sz w:val="20"/>
                <w:szCs w:val="20"/>
                <w:color w:val="auto"/>
              </w:rPr>
            </w:pPr>
            <w:r>
              <w:rPr>
                <w:rFonts w:ascii="Arial" w:cs="Arial" w:eastAsia="Arial" w:hAnsi="Arial"/>
                <w:sz w:val="10"/>
                <w:szCs w:val="10"/>
                <w:b w:val="1"/>
                <w:bCs w:val="1"/>
                <w:color w:val="auto"/>
              </w:rPr>
              <w:t>Cash and cash equivalents and restricted cash at the end of the period</w:t>
            </w:r>
          </w:p>
        </w:tc>
        <w:tc>
          <w:tcPr>
            <w:tcW w:w="180" w:type="dxa"/>
            <w:vAlign w:val="bottom"/>
            <w:tcBorders>
              <w:bottom w:val="single" w:sz="8" w:color="CCEEFF"/>
            </w:tcBorders>
          </w:tcPr>
          <w:p>
            <w:pPr>
              <w:spacing w:after="0"/>
              <w:rPr>
                <w:sz w:val="8"/>
                <w:szCs w:val="8"/>
                <w:color w:val="auto"/>
              </w:rPr>
            </w:pPr>
          </w:p>
        </w:tc>
        <w:tc>
          <w:tcPr>
            <w:tcW w:w="840" w:type="dxa"/>
            <w:vAlign w:val="bottom"/>
            <w:tcBorders>
              <w:bottom w:val="single" w:sz="8" w:color="auto"/>
            </w:tcBorders>
          </w:tcPr>
          <w:p>
            <w:pPr>
              <w:jc w:val="right"/>
              <w:ind w:right="734"/>
              <w:spacing w:after="0" w:line="93" w:lineRule="exact"/>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17,639</w:t>
            </w:r>
          </w:p>
        </w:tc>
        <w:tc>
          <w:tcPr>
            <w:tcW w:w="14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jc w:val="right"/>
              <w:ind w:right="211"/>
              <w:spacing w:after="0" w:line="93" w:lineRule="exact"/>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45,850</w:t>
            </w:r>
          </w:p>
        </w:tc>
        <w:tc>
          <w:tcPr>
            <w:tcW w:w="20" w:type="dxa"/>
            <w:vAlign w:val="bottom"/>
          </w:tcPr>
          <w:p>
            <w:pPr>
              <w:spacing w:after="0"/>
              <w:rPr>
                <w:sz w:val="8"/>
                <w:szCs w:val="8"/>
                <w:color w:val="auto"/>
              </w:rPr>
            </w:pPr>
          </w:p>
        </w:tc>
      </w:tr>
      <w:tr>
        <w:trPr>
          <w:trHeight w:val="100"/>
        </w:trPr>
        <w:tc>
          <w:tcPr>
            <w:tcW w:w="7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5"/>
        </w:trPr>
        <w:tc>
          <w:tcPr>
            <w:tcW w:w="7700" w:type="dxa"/>
            <w:vAlign w:val="bottom"/>
          </w:tcPr>
          <w:p>
            <w:pPr>
              <w:spacing w:after="0" w:line="105" w:lineRule="exact"/>
              <w:rPr>
                <w:sz w:val="20"/>
                <w:szCs w:val="20"/>
                <w:color w:val="auto"/>
              </w:rPr>
            </w:pPr>
            <w:r>
              <w:rPr>
                <w:rFonts w:ascii="Arial" w:cs="Arial" w:eastAsia="Arial" w:hAnsi="Arial"/>
                <w:sz w:val="10"/>
                <w:szCs w:val="10"/>
                <w:b w:val="1"/>
                <w:bCs w:val="1"/>
                <w:color w:val="auto"/>
              </w:rPr>
              <w:t>Cash and cash equivalents and restricted cash consists of:</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Cash and cash equivalents</w:t>
            </w:r>
          </w:p>
        </w:tc>
        <w:tc>
          <w:tcPr>
            <w:tcW w:w="1020" w:type="dxa"/>
            <w:vAlign w:val="bottom"/>
            <w:gridSpan w:val="2"/>
            <w:shd w:val="clear" w:color="auto" w:fill="CCEEFF"/>
          </w:tcPr>
          <w:p>
            <w:pPr>
              <w:jc w:val="right"/>
              <w:ind w:right="734"/>
              <w:spacing w:after="0" w:line="105"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11,925</w:t>
            </w: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jc w:val="right"/>
              <w:ind w:right="211"/>
              <w:spacing w:after="0" w:line="105" w:lineRule="exact"/>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39,628</w:t>
            </w:r>
          </w:p>
        </w:tc>
        <w:tc>
          <w:tcPr>
            <w:tcW w:w="20" w:type="dxa"/>
            <w:vAlign w:val="bottom"/>
          </w:tcPr>
          <w:p>
            <w:pPr>
              <w:spacing w:after="0"/>
              <w:rPr>
                <w:sz w:val="9"/>
                <w:szCs w:val="9"/>
                <w:color w:val="auto"/>
              </w:rPr>
            </w:pPr>
          </w:p>
        </w:tc>
      </w:tr>
      <w:tr>
        <w:trPr>
          <w:trHeight w:val="105"/>
        </w:trPr>
        <w:tc>
          <w:tcPr>
            <w:tcW w:w="7700" w:type="dxa"/>
            <w:vAlign w:val="bottom"/>
            <w:tcBorders>
              <w:bottom w:val="single" w:sz="8" w:color="CCEEFF"/>
            </w:tcBorders>
          </w:tcPr>
          <w:p>
            <w:pPr>
              <w:ind w:left="120"/>
              <w:spacing w:after="0" w:line="105" w:lineRule="exact"/>
              <w:rPr>
                <w:sz w:val="20"/>
                <w:szCs w:val="20"/>
                <w:color w:val="auto"/>
              </w:rPr>
            </w:pPr>
            <w:r>
              <w:rPr>
                <w:rFonts w:ascii="Arial" w:cs="Arial" w:eastAsia="Arial" w:hAnsi="Arial"/>
                <w:sz w:val="10"/>
                <w:szCs w:val="10"/>
                <w:color w:val="auto"/>
              </w:rPr>
              <w:t>Restricted cash</w:t>
            </w:r>
          </w:p>
        </w:tc>
        <w:tc>
          <w:tcPr>
            <w:tcW w:w="18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5,714</w:t>
            </w:r>
          </w:p>
        </w:tc>
        <w:tc>
          <w:tcPr>
            <w:tcW w:w="14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6,222</w:t>
            </w:r>
          </w:p>
        </w:tc>
        <w:tc>
          <w:tcPr>
            <w:tcW w:w="20" w:type="dxa"/>
            <w:vAlign w:val="bottom"/>
          </w:tcPr>
          <w:p>
            <w:pPr>
              <w:spacing w:after="0"/>
              <w:rPr>
                <w:sz w:val="9"/>
                <w:szCs w:val="9"/>
                <w:color w:val="auto"/>
              </w:rPr>
            </w:pPr>
          </w:p>
        </w:tc>
      </w:tr>
      <w:tr>
        <w:trPr>
          <w:trHeight w:val="93"/>
        </w:trPr>
        <w:tc>
          <w:tcPr>
            <w:tcW w:w="77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jc w:val="right"/>
              <w:ind w:right="734"/>
              <w:spacing w:after="0" w:line="93" w:lineRule="exact"/>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17,639</w:t>
            </w:r>
          </w:p>
        </w:tc>
        <w:tc>
          <w:tcPr>
            <w:tcW w:w="1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ind w:right="211"/>
              <w:spacing w:after="0" w:line="93" w:lineRule="exact"/>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45,850</w:t>
            </w:r>
          </w:p>
        </w:tc>
        <w:tc>
          <w:tcPr>
            <w:tcW w:w="20" w:type="dxa"/>
            <w:vAlign w:val="bottom"/>
          </w:tcPr>
          <w:p>
            <w:pPr>
              <w:spacing w:after="0"/>
              <w:rPr>
                <w:sz w:val="8"/>
                <w:szCs w:val="8"/>
                <w:color w:val="auto"/>
              </w:rPr>
            </w:pPr>
          </w:p>
        </w:tc>
      </w:tr>
      <w:tr>
        <w:trPr>
          <w:trHeight w:val="115"/>
        </w:trPr>
        <w:tc>
          <w:tcPr>
            <w:tcW w:w="770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4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spacing w:after="0"/>
              <w:rPr>
                <w:sz w:val="10"/>
                <w:szCs w:val="10"/>
                <w:color w:val="auto"/>
              </w:rPr>
            </w:pPr>
          </w:p>
        </w:tc>
        <w:tc>
          <w:tcPr>
            <w:tcW w:w="20" w:type="dxa"/>
            <w:vAlign w:val="bottom"/>
          </w:tcPr>
          <w:p>
            <w:pPr>
              <w:spacing w:after="0"/>
              <w:rPr>
                <w:sz w:val="10"/>
                <w:szCs w:val="10"/>
                <w:color w:val="auto"/>
              </w:rPr>
            </w:pPr>
          </w:p>
        </w:tc>
      </w:tr>
      <w:tr>
        <w:trPr>
          <w:trHeight w:val="100"/>
        </w:trPr>
        <w:tc>
          <w:tcPr>
            <w:tcW w:w="7700" w:type="dxa"/>
            <w:vAlign w:val="bottom"/>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Supplemental Disclosures</w:t>
            </w: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5"/>
        </w:trPr>
        <w:tc>
          <w:tcPr>
            <w:tcW w:w="7700" w:type="dxa"/>
            <w:vAlign w:val="bottom"/>
          </w:tcPr>
          <w:p>
            <w:pPr>
              <w:ind w:left="120"/>
              <w:spacing w:after="0" w:line="105" w:lineRule="exact"/>
              <w:rPr>
                <w:sz w:val="20"/>
                <w:szCs w:val="20"/>
                <w:color w:val="auto"/>
              </w:rPr>
            </w:pPr>
            <w:r>
              <w:rPr>
                <w:rFonts w:ascii="Arial" w:cs="Arial" w:eastAsia="Arial" w:hAnsi="Arial"/>
                <w:sz w:val="10"/>
                <w:szCs w:val="10"/>
                <w:color w:val="auto"/>
              </w:rPr>
              <w:t>Interest paid</w:t>
            </w:r>
          </w:p>
        </w:tc>
        <w:tc>
          <w:tcPr>
            <w:tcW w:w="1020" w:type="dxa"/>
            <w:vAlign w:val="bottom"/>
            <w:gridSpan w:val="2"/>
          </w:tcPr>
          <w:p>
            <w:pPr>
              <w:jc w:val="right"/>
              <w:ind w:right="734"/>
              <w:spacing w:after="0" w:line="105"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13,826</w:t>
            </w:r>
          </w:p>
        </w:tc>
        <w:tc>
          <w:tcPr>
            <w:tcW w:w="140" w:type="dxa"/>
            <w:vAlign w:val="bottom"/>
          </w:tcPr>
          <w:p>
            <w:pPr>
              <w:spacing w:after="0"/>
              <w:rPr>
                <w:sz w:val="9"/>
                <w:szCs w:val="9"/>
                <w:color w:val="auto"/>
              </w:rPr>
            </w:pPr>
          </w:p>
        </w:tc>
        <w:tc>
          <w:tcPr>
            <w:tcW w:w="320" w:type="dxa"/>
            <w:vAlign w:val="bottom"/>
          </w:tcPr>
          <w:p>
            <w:pPr>
              <w:jc w:val="right"/>
              <w:ind w:right="211"/>
              <w:spacing w:after="0" w:line="105" w:lineRule="exact"/>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9,082</w:t>
            </w: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Income taxes (refunded) paid</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(697)</w:t>
            </w: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9,636</w:t>
            </w:r>
          </w:p>
        </w:tc>
        <w:tc>
          <w:tcPr>
            <w:tcW w:w="20" w:type="dxa"/>
            <w:vAlign w:val="bottom"/>
          </w:tcPr>
          <w:p>
            <w:pPr>
              <w:spacing w:after="0"/>
              <w:rPr>
                <w:sz w:val="9"/>
                <w:szCs w:val="9"/>
                <w:color w:val="auto"/>
              </w:rPr>
            </w:pPr>
          </w:p>
        </w:tc>
      </w:tr>
      <w:tr>
        <w:trPr>
          <w:trHeight w:val="105"/>
        </w:trPr>
        <w:tc>
          <w:tcPr>
            <w:tcW w:w="7700" w:type="dxa"/>
            <w:vAlign w:val="bottom"/>
          </w:tcPr>
          <w:p>
            <w:pPr>
              <w:spacing w:after="0" w:line="105" w:lineRule="exact"/>
              <w:rPr>
                <w:sz w:val="20"/>
                <w:szCs w:val="20"/>
                <w:color w:val="auto"/>
              </w:rPr>
            </w:pPr>
            <w:r>
              <w:rPr>
                <w:rFonts w:ascii="Arial" w:cs="Arial" w:eastAsia="Arial" w:hAnsi="Arial"/>
                <w:sz w:val="10"/>
                <w:szCs w:val="10"/>
                <w:b w:val="1"/>
                <w:bCs w:val="1"/>
                <w:color w:val="auto"/>
              </w:rPr>
              <w:t>Non-Cash Transactions</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770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Additions to operating and investing properties through accrued expenses</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2,557</w:t>
            </w: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2,961</w:t>
            </w:r>
          </w:p>
        </w:tc>
        <w:tc>
          <w:tcPr>
            <w:tcW w:w="20" w:type="dxa"/>
            <w:vAlign w:val="bottom"/>
          </w:tcPr>
          <w:p>
            <w:pPr>
              <w:spacing w:after="0"/>
              <w:rPr>
                <w:sz w:val="9"/>
                <w:szCs w:val="9"/>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See accompanying Notes to the Unaudited Consolidated Financial Statements</w:t>
      </w:r>
      <w:r>
        <w:rPr>
          <w:rFonts w:ascii="Arial" w:cs="Arial" w:eastAsia="Arial" w:hAnsi="Arial"/>
          <w:sz w:val="8"/>
          <w:szCs w:val="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4" w:right="640" w:bottom="1440" w:gutter="0" w:footer="0" w:header="0"/>
        </w:sectPr>
      </w:pPr>
    </w:p>
    <w:bookmarkStart w:id="6" w:name="page7"/>
    <w:bookmarkEnd w:id="6"/>
    <w:p>
      <w:pPr>
        <w:spacing w:after="0"/>
        <w:rPr>
          <w:sz w:val="20"/>
          <w:szCs w:val="20"/>
          <w:color w:val="auto"/>
        </w:rPr>
      </w:pPr>
      <w:r>
        <w:rPr>
          <w:rFonts w:ascii="Arial" w:cs="Arial" w:eastAsia="Arial" w:hAnsi="Arial"/>
          <w:sz w:val="10"/>
          <w:szCs w:val="10"/>
          <w:b w:val="1"/>
          <w:bCs w:val="1"/>
          <w:color w:val="auto"/>
        </w:rPr>
        <w:t>READING INTERNATIONAL, INC.</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NOTES TO CONSOLIDATED FINANCIAL STATEMENTS </w:t>
      </w:r>
      <w:r>
        <w:rPr>
          <w:rFonts w:ascii="Arial" w:cs="Arial" w:eastAsia="Arial" w:hAnsi="Arial"/>
          <w:sz w:val="10"/>
          <w:szCs w:val="10"/>
          <w:color w:val="auto"/>
        </w:rPr>
        <w:t>(Unaudited)</w:t>
      </w:r>
    </w:p>
    <w:p>
      <w:pPr>
        <w:spacing w:after="0" w:line="8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1 – Description of Business and Segment Reporting</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u w:val="single" w:color="auto"/>
          <w:color w:val="auto"/>
        </w:rPr>
        <w:t>Our Company</w:t>
      </w:r>
    </w:p>
    <w:p>
      <w:pPr>
        <w:spacing w:after="0" w:line="2" w:lineRule="exact"/>
        <w:rPr>
          <w:sz w:val="20"/>
          <w:szCs w:val="20"/>
          <w:color w:val="auto"/>
        </w:rPr>
      </w:pPr>
    </w:p>
    <w:p>
      <w:pPr>
        <w:ind w:right="160"/>
        <w:spacing w:after="0" w:line="230" w:lineRule="auto"/>
        <w:rPr>
          <w:sz w:val="20"/>
          <w:szCs w:val="20"/>
          <w:color w:val="auto"/>
        </w:rPr>
      </w:pPr>
      <w:r>
        <w:rPr>
          <w:rFonts w:ascii="Arial" w:cs="Arial" w:eastAsia="Arial" w:hAnsi="Arial"/>
          <w:sz w:val="10"/>
          <w:szCs w:val="10"/>
          <w:color w:val="auto"/>
        </w:rPr>
        <w:t>Reading International, Inc., a Nevada corporation (“RDI” and collectively with our consolidated subsidiaries and corporate predecessors, the “Company,” “Reading,” and “we,” “us,” or “our”) was incorporated in 1999. Our businesses, owned and operated through our various subsidiaries, consist primarily of:</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0"/>
          <w:szCs w:val="10"/>
          <w:color w:val="auto"/>
        </w:rPr>
        <w:t>the development, ownership, and operation of cinemas in the United States, Australia, and New Zealand; and</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0"/>
          <w:szCs w:val="10"/>
          <w:color w:val="auto"/>
        </w:rPr>
        <w:t>the development, ownership, operation and/or rental of retail, commercial and live venue real estate assets in Australia, New Zealand, and the United States.</w:t>
      </w:r>
    </w:p>
    <w:p>
      <w:pPr>
        <w:spacing w:after="0" w:line="8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u w:val="single" w:color="auto"/>
          <w:color w:val="auto"/>
        </w:rPr>
        <w:t>Business Segments</w:t>
      </w:r>
    </w:p>
    <w:p>
      <w:pPr>
        <w:spacing w:after="0" w:line="2" w:lineRule="exact"/>
        <w:rPr>
          <w:sz w:val="20"/>
          <w:szCs w:val="20"/>
          <w:color w:val="auto"/>
        </w:rPr>
      </w:pPr>
    </w:p>
    <w:p>
      <w:pPr>
        <w:ind w:right="40"/>
        <w:spacing w:after="0" w:line="230" w:lineRule="auto"/>
        <w:rPr>
          <w:sz w:val="20"/>
          <w:szCs w:val="20"/>
          <w:color w:val="auto"/>
        </w:rPr>
      </w:pPr>
      <w:r>
        <w:rPr>
          <w:rFonts w:ascii="Arial" w:cs="Arial" w:eastAsia="Arial" w:hAnsi="Arial"/>
          <w:sz w:val="10"/>
          <w:szCs w:val="10"/>
          <w:color w:val="auto"/>
        </w:rPr>
        <w:t>Reported below are the operating segments of our Company for which separate financial information is available and evaluated regularly by the Chief Executive Officer, the chief operating decision-maker of our Company. As part of our real estate activities, we hold undeveloped land in urban and suburban centers in the United States and New Zealand.</w:t>
      </w:r>
    </w:p>
    <w:p>
      <w:pPr>
        <w:spacing w:after="0" w:line="89" w:lineRule="exact"/>
        <w:rPr>
          <w:sz w:val="20"/>
          <w:szCs w:val="20"/>
          <w:color w:val="auto"/>
        </w:rPr>
      </w:pPr>
    </w:p>
    <w:p>
      <w:pPr>
        <w:ind w:right="300"/>
        <w:spacing w:after="0" w:line="237" w:lineRule="auto"/>
        <w:rPr>
          <w:sz w:val="20"/>
          <w:szCs w:val="20"/>
          <w:color w:val="auto"/>
        </w:rPr>
      </w:pPr>
      <w:r>
        <w:rPr>
          <w:rFonts w:ascii="Arial" w:cs="Arial" w:eastAsia="Arial" w:hAnsi="Arial"/>
          <w:sz w:val="10"/>
          <w:szCs w:val="10"/>
          <w:color w:val="auto"/>
        </w:rPr>
        <w:t>The table below summarizes the results of operations for each of our business segments for the quarter and nine months ended September 30, 2023, and 2022, respectively. Operating expense includes costs associated with the day-to-day operations of the cinemas and the management of rental properties, including our live theatre assets.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gridSpan w:val="3"/>
          </w:tcPr>
          <w:p>
            <w:pPr>
              <w:jc w:val="right"/>
              <w:ind w:right="156"/>
              <w:spacing w:after="0"/>
              <w:rPr>
                <w:sz w:val="20"/>
                <w:szCs w:val="20"/>
                <w:color w:val="auto"/>
              </w:rPr>
            </w:pPr>
            <w:r>
              <w:rPr>
                <w:rFonts w:ascii="Arial" w:cs="Arial" w:eastAsia="Arial" w:hAnsi="Arial"/>
                <w:sz w:val="8"/>
                <w:szCs w:val="8"/>
                <w:b w:val="1"/>
                <w:bCs w:val="1"/>
                <w:color w:val="auto"/>
              </w:rPr>
              <w:t>Quarter Ended</w:t>
            </w: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gridSpan w:val="3"/>
          </w:tcPr>
          <w:p>
            <w:pPr>
              <w:jc w:val="center"/>
              <w:ind w:left="513"/>
              <w:spacing w:after="0"/>
              <w:rPr>
                <w:sz w:val="20"/>
                <w:szCs w:val="20"/>
                <w:color w:val="auto"/>
              </w:rPr>
            </w:pPr>
            <w:r>
              <w:rPr>
                <w:rFonts w:ascii="Arial" w:cs="Arial" w:eastAsia="Arial" w:hAnsi="Arial"/>
                <w:sz w:val="8"/>
                <w:szCs w:val="8"/>
                <w:b w:val="1"/>
                <w:bCs w:val="1"/>
                <w:color w:val="auto"/>
              </w:rPr>
              <w:t>Nine Months Ended</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00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3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8"/>
                <w:szCs w:val="8"/>
                <w:b w:val="1"/>
                <w:bCs w:val="1"/>
                <w:color w:val="auto"/>
              </w:rPr>
              <w:t>September 30,</w:t>
            </w: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3"/>
          </w:tcPr>
          <w:p>
            <w:pPr>
              <w:jc w:val="center"/>
              <w:ind w:left="533"/>
              <w:spacing w:after="0"/>
              <w:rPr>
                <w:sz w:val="20"/>
                <w:szCs w:val="20"/>
                <w:color w:val="auto"/>
              </w:rPr>
            </w:pPr>
            <w:r>
              <w:rPr>
                <w:rFonts w:ascii="Arial" w:cs="Arial" w:eastAsia="Arial" w:hAnsi="Arial"/>
                <w:sz w:val="8"/>
                <w:szCs w:val="8"/>
                <w:b w:val="1"/>
                <w:bCs w:val="1"/>
                <w:color w:val="auto"/>
              </w:rPr>
              <w:t>September 30,</w:t>
            </w: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0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jc w:val="right"/>
              <w:ind w:right="513"/>
              <w:spacing w:after="0" w:line="78" w:lineRule="exact"/>
              <w:rPr>
                <w:sz w:val="20"/>
                <w:szCs w:val="20"/>
                <w:color w:val="auto"/>
              </w:rPr>
            </w:pPr>
            <w:r>
              <w:rPr>
                <w:rFonts w:ascii="Arial" w:cs="Arial" w:eastAsia="Arial" w:hAnsi="Arial"/>
                <w:sz w:val="8"/>
                <w:szCs w:val="8"/>
                <w:b w:val="1"/>
                <w:bCs w:val="1"/>
                <w:color w:val="auto"/>
              </w:rPr>
              <w:t>2023</w:t>
            </w: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00" w:type="dxa"/>
            <w:vAlign w:val="bottom"/>
          </w:tcPr>
          <w:p>
            <w:pPr>
              <w:jc w:val="right"/>
              <w:ind w:right="492"/>
              <w:spacing w:after="0" w:line="78" w:lineRule="exact"/>
              <w:rPr>
                <w:sz w:val="20"/>
                <w:szCs w:val="20"/>
                <w:color w:val="auto"/>
              </w:rPr>
            </w:pPr>
            <w:r>
              <w:rPr>
                <w:rFonts w:ascii="Arial" w:cs="Arial" w:eastAsia="Arial" w:hAnsi="Arial"/>
                <w:sz w:val="8"/>
                <w:szCs w:val="8"/>
                <w:b w:val="1"/>
                <w:bCs w:val="1"/>
                <w:color w:val="auto"/>
              </w:rPr>
              <w:t>2022</w:t>
            </w: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jc w:val="right"/>
              <w:ind w:right="513"/>
              <w:spacing w:after="0" w:line="78" w:lineRule="exact"/>
              <w:rPr>
                <w:sz w:val="20"/>
                <w:szCs w:val="20"/>
                <w:color w:val="auto"/>
              </w:rPr>
            </w:pPr>
            <w:r>
              <w:rPr>
                <w:rFonts w:ascii="Arial" w:cs="Arial" w:eastAsia="Arial" w:hAnsi="Arial"/>
                <w:sz w:val="8"/>
                <w:szCs w:val="8"/>
                <w:b w:val="1"/>
                <w:bCs w:val="1"/>
                <w:color w:val="auto"/>
              </w:rPr>
              <w:t>2023</w:t>
            </w: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jc w:val="right"/>
              <w:ind w:right="512"/>
              <w:spacing w:after="0" w:line="78" w:lineRule="exact"/>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100"/>
        </w:trPr>
        <w:tc>
          <w:tcPr>
            <w:tcW w:w="484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Revenue:</w:t>
            </w: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000" w:type="dxa"/>
            <w:vAlign w:val="bottom"/>
            <w:gridSpan w:val="2"/>
          </w:tcPr>
          <w:p>
            <w:pPr>
              <w:ind w:left="80"/>
              <w:spacing w:after="0" w:line="105" w:lineRule="exact"/>
              <w:rPr>
                <w:sz w:val="20"/>
                <w:szCs w:val="20"/>
                <w:color w:val="auto"/>
              </w:rPr>
            </w:pPr>
            <w:r>
              <w:rPr>
                <w:rFonts w:ascii="Arial" w:cs="Arial" w:eastAsia="Arial" w:hAnsi="Arial"/>
                <w:sz w:val="10"/>
                <w:szCs w:val="10"/>
                <w:color w:val="auto"/>
              </w:rPr>
              <w:t>Cinema exhibition</w:t>
            </w: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62,688</w:t>
            </w:r>
          </w:p>
        </w:tc>
        <w:tc>
          <w:tcPr>
            <w:tcW w:w="160" w:type="dxa"/>
            <w:vAlign w:val="bottom"/>
          </w:tcPr>
          <w:p>
            <w:pPr>
              <w:spacing w:after="0"/>
              <w:rPr>
                <w:sz w:val="9"/>
                <w:szCs w:val="9"/>
                <w:color w:val="auto"/>
              </w:rPr>
            </w:pPr>
          </w:p>
        </w:tc>
        <w:tc>
          <w:tcPr>
            <w:tcW w:w="380" w:type="dxa"/>
            <w:vAlign w:val="bottom"/>
          </w:tcPr>
          <w:p>
            <w:pPr>
              <w:jc w:val="right"/>
              <w:ind w:right="316"/>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line="105" w:lineRule="exact"/>
              <w:rPr>
                <w:sz w:val="20"/>
                <w:szCs w:val="20"/>
                <w:color w:val="auto"/>
              </w:rPr>
            </w:pPr>
            <w:r>
              <w:rPr>
                <w:rFonts w:ascii="Arial" w:cs="Arial" w:eastAsia="Arial" w:hAnsi="Arial"/>
                <w:sz w:val="10"/>
                <w:szCs w:val="10"/>
                <w:color w:val="auto"/>
              </w:rPr>
              <w:t>48,358</w:t>
            </w:r>
          </w:p>
        </w:tc>
        <w:tc>
          <w:tcPr>
            <w:tcW w:w="160" w:type="dxa"/>
            <w:vAlign w:val="bottom"/>
          </w:tcPr>
          <w:p>
            <w:pPr>
              <w:spacing w:after="0"/>
              <w:rPr>
                <w:sz w:val="9"/>
                <w:szCs w:val="9"/>
                <w:color w:val="auto"/>
              </w:rPr>
            </w:pPr>
          </w:p>
        </w:tc>
        <w:tc>
          <w:tcPr>
            <w:tcW w:w="300" w:type="dxa"/>
            <w:vAlign w:val="bottom"/>
          </w:tcPr>
          <w:p>
            <w:pPr>
              <w:jc w:val="right"/>
              <w:ind w:right="191"/>
              <w:spacing w:after="0" w:line="105" w:lineRule="exact"/>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05" w:lineRule="exact"/>
              <w:rPr>
                <w:sz w:val="20"/>
                <w:szCs w:val="20"/>
                <w:color w:val="auto"/>
              </w:rPr>
            </w:pPr>
            <w:r>
              <w:rPr>
                <w:rFonts w:ascii="Arial" w:cs="Arial" w:eastAsia="Arial" w:hAnsi="Arial"/>
                <w:sz w:val="10"/>
                <w:szCs w:val="10"/>
                <w:color w:val="auto"/>
              </w:rPr>
              <w:t>165,731</w:t>
            </w:r>
          </w:p>
        </w:tc>
        <w:tc>
          <w:tcPr>
            <w:tcW w:w="140" w:type="dxa"/>
            <w:vAlign w:val="bottom"/>
          </w:tcPr>
          <w:p>
            <w:pPr>
              <w:spacing w:after="0"/>
              <w:rPr>
                <w:sz w:val="9"/>
                <w:szCs w:val="9"/>
                <w:color w:val="auto"/>
              </w:rPr>
            </w:pPr>
          </w:p>
        </w:tc>
        <w:tc>
          <w:tcPr>
            <w:tcW w:w="440" w:type="dxa"/>
            <w:vAlign w:val="bottom"/>
          </w:tcPr>
          <w:p>
            <w:pPr>
              <w:jc w:val="right"/>
              <w:ind w:right="331"/>
              <w:spacing w:after="0" w:line="105" w:lineRule="exact"/>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05" w:lineRule="exact"/>
              <w:rPr>
                <w:sz w:val="20"/>
                <w:szCs w:val="20"/>
                <w:color w:val="auto"/>
              </w:rPr>
            </w:pPr>
            <w:r>
              <w:rPr>
                <w:rFonts w:ascii="Arial" w:cs="Arial" w:eastAsia="Arial" w:hAnsi="Arial"/>
                <w:sz w:val="10"/>
                <w:szCs w:val="10"/>
                <w:color w:val="auto"/>
              </w:rPr>
              <w:t>147,476</w:t>
            </w:r>
          </w:p>
        </w:tc>
        <w:tc>
          <w:tcPr>
            <w:tcW w:w="0" w:type="dxa"/>
            <w:vAlign w:val="bottom"/>
          </w:tcPr>
          <w:p>
            <w:pPr>
              <w:spacing w:after="0"/>
              <w:rPr>
                <w:sz w:val="1"/>
                <w:szCs w:val="1"/>
                <w:color w:val="auto"/>
              </w:rPr>
            </w:pPr>
          </w:p>
        </w:tc>
      </w:tr>
      <w:tr>
        <w:trPr>
          <w:trHeight w:val="105"/>
        </w:trPr>
        <w:tc>
          <w:tcPr>
            <w:tcW w:w="5000" w:type="dxa"/>
            <w:vAlign w:val="bottom"/>
            <w:gridSpan w:val="2"/>
            <w:shd w:val="clear" w:color="auto" w:fill="CCEEFF"/>
          </w:tcPr>
          <w:p>
            <w:pPr>
              <w:ind w:left="80"/>
              <w:spacing w:after="0" w:line="105" w:lineRule="exact"/>
              <w:rPr>
                <w:sz w:val="20"/>
                <w:szCs w:val="20"/>
                <w:color w:val="auto"/>
              </w:rPr>
            </w:pPr>
            <w:r>
              <w:rPr>
                <w:rFonts w:ascii="Arial" w:cs="Arial" w:eastAsia="Arial" w:hAnsi="Arial"/>
                <w:sz w:val="10"/>
                <w:szCs w:val="10"/>
                <w:color w:val="auto"/>
              </w:rPr>
              <w:t>Real estate</w:t>
            </w: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5,056</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4,070</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15,338</w:t>
            </w: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12,265</w:t>
            </w:r>
          </w:p>
        </w:tc>
        <w:tc>
          <w:tcPr>
            <w:tcW w:w="0" w:type="dxa"/>
            <w:vAlign w:val="bottom"/>
          </w:tcPr>
          <w:p>
            <w:pPr>
              <w:spacing w:after="0"/>
              <w:rPr>
                <w:sz w:val="1"/>
                <w:szCs w:val="1"/>
                <w:color w:val="auto"/>
              </w:rPr>
            </w:pPr>
          </w:p>
        </w:tc>
      </w:tr>
      <w:tr>
        <w:trPr>
          <w:trHeight w:val="105"/>
        </w:trPr>
        <w:tc>
          <w:tcPr>
            <w:tcW w:w="5000" w:type="dxa"/>
            <w:vAlign w:val="bottom"/>
            <w:gridSpan w:val="2"/>
          </w:tcPr>
          <w:p>
            <w:pPr>
              <w:ind w:left="80"/>
              <w:spacing w:after="0" w:line="105" w:lineRule="exact"/>
              <w:rPr>
                <w:sz w:val="20"/>
                <w:szCs w:val="20"/>
                <w:color w:val="auto"/>
              </w:rPr>
            </w:pPr>
            <w:r>
              <w:rPr>
                <w:rFonts w:ascii="Arial" w:cs="Arial" w:eastAsia="Arial" w:hAnsi="Arial"/>
                <w:sz w:val="10"/>
                <w:szCs w:val="10"/>
                <w:color w:val="auto"/>
              </w:rPr>
              <w:t>Inter-segment elimination</w:t>
            </w:r>
          </w:p>
        </w:tc>
        <w:tc>
          <w:tcPr>
            <w:tcW w:w="300" w:type="dxa"/>
            <w:vAlign w:val="bottom"/>
          </w:tcPr>
          <w:p>
            <w:pPr>
              <w:spacing w:after="0"/>
              <w:rPr>
                <w:sz w:val="9"/>
                <w:szCs w:val="9"/>
                <w:color w:val="auto"/>
              </w:rPr>
            </w:pPr>
          </w:p>
        </w:tc>
        <w:tc>
          <w:tcPr>
            <w:tcW w:w="114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(1,181)</w:t>
            </w:r>
          </w:p>
        </w:tc>
        <w:tc>
          <w:tcPr>
            <w:tcW w:w="380" w:type="dxa"/>
            <w:vAlign w:val="bottom"/>
          </w:tcPr>
          <w:p>
            <w:pPr>
              <w:spacing w:after="0"/>
              <w:rPr>
                <w:sz w:val="9"/>
                <w:szCs w:val="9"/>
                <w:color w:val="auto"/>
              </w:rPr>
            </w:pPr>
          </w:p>
        </w:tc>
        <w:tc>
          <w:tcPr>
            <w:tcW w:w="106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(1,232)</w:t>
            </w:r>
          </w:p>
        </w:tc>
        <w:tc>
          <w:tcPr>
            <w:tcW w:w="300" w:type="dxa"/>
            <w:vAlign w:val="bottom"/>
          </w:tcPr>
          <w:p>
            <w:pPr>
              <w:spacing w:after="0"/>
              <w:rPr>
                <w:sz w:val="9"/>
                <w:szCs w:val="9"/>
                <w:color w:val="auto"/>
              </w:rPr>
            </w:pPr>
          </w:p>
        </w:tc>
        <w:tc>
          <w:tcPr>
            <w:tcW w:w="114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(3,644)</w:t>
            </w:r>
          </w:p>
        </w:tc>
        <w:tc>
          <w:tcPr>
            <w:tcW w:w="440" w:type="dxa"/>
            <w:vAlign w:val="bottom"/>
          </w:tcPr>
          <w:p>
            <w:pPr>
              <w:spacing w:after="0"/>
              <w:rPr>
                <w:sz w:val="9"/>
                <w:szCs w:val="9"/>
                <w:color w:val="auto"/>
              </w:rPr>
            </w:pPr>
          </w:p>
        </w:tc>
        <w:tc>
          <w:tcPr>
            <w:tcW w:w="860" w:type="dxa"/>
            <w:vAlign w:val="bottom"/>
          </w:tcPr>
          <w:p>
            <w:pPr>
              <w:jc w:val="right"/>
              <w:spacing w:after="0" w:line="105" w:lineRule="exact"/>
              <w:rPr>
                <w:sz w:val="20"/>
                <w:szCs w:val="20"/>
                <w:color w:val="auto"/>
              </w:rPr>
            </w:pPr>
            <w:r>
              <w:rPr>
                <w:rFonts w:ascii="Arial" w:cs="Arial" w:eastAsia="Arial" w:hAnsi="Arial"/>
                <w:sz w:val="10"/>
                <w:szCs w:val="10"/>
                <w:color w:val="auto"/>
              </w:rPr>
              <w:t>(3,833)</w:t>
            </w:r>
          </w:p>
        </w:tc>
        <w:tc>
          <w:tcPr>
            <w:tcW w:w="0" w:type="dxa"/>
            <w:vAlign w:val="bottom"/>
          </w:tcPr>
          <w:p>
            <w:pPr>
              <w:spacing w:after="0"/>
              <w:rPr>
                <w:sz w:val="1"/>
                <w:szCs w:val="1"/>
                <w:color w:val="auto"/>
              </w:rPr>
            </w:pPr>
          </w:p>
        </w:tc>
      </w:tr>
      <w:tr>
        <w:trPr>
          <w:trHeight w:val="113"/>
        </w:trPr>
        <w:tc>
          <w:tcPr>
            <w:tcW w:w="484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3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66,563</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3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51,196</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300" w:type="dxa"/>
            <w:vAlign w:val="bottom"/>
            <w:tcBorders>
              <w:top w:val="single" w:sz="8" w:color="auto"/>
              <w:bottom w:val="single" w:sz="8" w:color="auto"/>
            </w:tcBorders>
            <w:shd w:val="clear" w:color="auto" w:fill="CCEEFF"/>
          </w:tcPr>
          <w:p>
            <w:pPr>
              <w:jc w:val="right"/>
              <w:ind w:right="191"/>
              <w:spacing w:after="0" w:line="93" w:lineRule="exact"/>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177,425</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440" w:type="dxa"/>
            <w:vAlign w:val="bottom"/>
            <w:tcBorders>
              <w:top w:val="single" w:sz="8" w:color="auto"/>
              <w:bottom w:val="single" w:sz="8" w:color="auto"/>
            </w:tcBorders>
            <w:shd w:val="clear" w:color="auto" w:fill="CCEEFF"/>
          </w:tcPr>
          <w:p>
            <w:pPr>
              <w:jc w:val="right"/>
              <w:ind w:right="331"/>
              <w:spacing w:after="0" w:line="93" w:lineRule="exact"/>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155,908</w:t>
            </w:r>
          </w:p>
        </w:tc>
        <w:tc>
          <w:tcPr>
            <w:tcW w:w="0" w:type="dxa"/>
            <w:vAlign w:val="bottom"/>
          </w:tcPr>
          <w:p>
            <w:pPr>
              <w:spacing w:after="0"/>
              <w:rPr>
                <w:sz w:val="1"/>
                <w:szCs w:val="1"/>
                <w:color w:val="auto"/>
              </w:rPr>
            </w:pPr>
          </w:p>
        </w:tc>
      </w:tr>
      <w:tr>
        <w:trPr>
          <w:trHeight w:val="80"/>
        </w:trPr>
        <w:tc>
          <w:tcPr>
            <w:tcW w:w="5000" w:type="dxa"/>
            <w:vAlign w:val="bottom"/>
            <w:gridSpan w:val="2"/>
          </w:tcPr>
          <w:p>
            <w:pPr>
              <w:spacing w:after="0" w:line="80" w:lineRule="exact"/>
              <w:rPr>
                <w:sz w:val="20"/>
                <w:szCs w:val="20"/>
                <w:color w:val="auto"/>
              </w:rPr>
            </w:pPr>
            <w:r>
              <w:rPr>
                <w:rFonts w:ascii="Arial" w:cs="Arial" w:eastAsia="Arial" w:hAnsi="Arial"/>
                <w:sz w:val="9"/>
                <w:szCs w:val="9"/>
                <w:b w:val="1"/>
                <w:bCs w:val="1"/>
                <w:color w:val="auto"/>
              </w:rPr>
              <w:t>Segment operating income (loss):</w:t>
            </w: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5000" w:type="dxa"/>
            <w:vAlign w:val="bottom"/>
            <w:gridSpan w:val="2"/>
            <w:shd w:val="clear" w:color="auto" w:fill="CCEEFF"/>
          </w:tcPr>
          <w:p>
            <w:pPr>
              <w:ind w:left="80"/>
              <w:spacing w:after="0" w:line="105" w:lineRule="exact"/>
              <w:rPr>
                <w:sz w:val="20"/>
                <w:szCs w:val="20"/>
                <w:color w:val="auto"/>
              </w:rPr>
            </w:pPr>
            <w:r>
              <w:rPr>
                <w:rFonts w:ascii="Arial" w:cs="Arial" w:eastAsia="Arial" w:hAnsi="Arial"/>
                <w:sz w:val="10"/>
                <w:szCs w:val="10"/>
                <w:color w:val="auto"/>
              </w:rPr>
              <w:t>Cinema exhibition</w:t>
            </w:r>
          </w:p>
        </w:tc>
        <w:tc>
          <w:tcPr>
            <w:tcW w:w="300" w:type="dxa"/>
            <w:vAlign w:val="bottom"/>
            <w:shd w:val="clear" w:color="auto" w:fill="CCEEFF"/>
          </w:tcPr>
          <w:p>
            <w:pPr>
              <w:jc w:val="right"/>
              <w:ind w:right="236"/>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4,395</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316"/>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(2,137)</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191"/>
              <w:spacing w:after="0" w:line="105" w:lineRule="exact"/>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4,256</w:t>
            </w:r>
          </w:p>
        </w:tc>
        <w:tc>
          <w:tcPr>
            <w:tcW w:w="440" w:type="dxa"/>
            <w:vAlign w:val="bottom"/>
            <w:shd w:val="clear" w:color="auto" w:fill="CCEEFF"/>
          </w:tcPr>
          <w:p>
            <w:pPr>
              <w:jc w:val="right"/>
              <w:ind w:right="331"/>
              <w:spacing w:after="0" w:line="105" w:lineRule="exact"/>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(5,902)</w:t>
            </w:r>
          </w:p>
        </w:tc>
        <w:tc>
          <w:tcPr>
            <w:tcW w:w="0" w:type="dxa"/>
            <w:vAlign w:val="bottom"/>
          </w:tcPr>
          <w:p>
            <w:pPr>
              <w:spacing w:after="0"/>
              <w:rPr>
                <w:sz w:val="1"/>
                <w:szCs w:val="1"/>
                <w:color w:val="auto"/>
              </w:rPr>
            </w:pPr>
          </w:p>
        </w:tc>
      </w:tr>
      <w:tr>
        <w:trPr>
          <w:trHeight w:val="105"/>
        </w:trPr>
        <w:tc>
          <w:tcPr>
            <w:tcW w:w="5000" w:type="dxa"/>
            <w:vAlign w:val="bottom"/>
            <w:gridSpan w:val="2"/>
          </w:tcPr>
          <w:p>
            <w:pPr>
              <w:ind w:left="80"/>
              <w:spacing w:after="0" w:line="105" w:lineRule="exact"/>
              <w:rPr>
                <w:sz w:val="20"/>
                <w:szCs w:val="20"/>
                <w:color w:val="auto"/>
              </w:rPr>
            </w:pPr>
            <w:r>
              <w:rPr>
                <w:rFonts w:ascii="Arial" w:cs="Arial" w:eastAsia="Arial" w:hAnsi="Arial"/>
                <w:sz w:val="10"/>
                <w:szCs w:val="10"/>
                <w:color w:val="auto"/>
              </w:rPr>
              <w:t>Real estate</w:t>
            </w:r>
          </w:p>
        </w:tc>
        <w:tc>
          <w:tcPr>
            <w:tcW w:w="30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920</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(145)</w:t>
            </w:r>
          </w:p>
        </w:tc>
        <w:tc>
          <w:tcPr>
            <w:tcW w:w="300" w:type="dxa"/>
            <w:vAlign w:val="bottom"/>
          </w:tcPr>
          <w:p>
            <w:pPr>
              <w:spacing w:after="0"/>
              <w:rPr>
                <w:sz w:val="9"/>
                <w:szCs w:val="9"/>
                <w:color w:val="auto"/>
              </w:rPr>
            </w:pPr>
          </w:p>
        </w:tc>
        <w:tc>
          <w:tcPr>
            <w:tcW w:w="1000" w:type="dxa"/>
            <w:vAlign w:val="bottom"/>
          </w:tcPr>
          <w:p>
            <w:pPr>
              <w:jc w:val="right"/>
              <w:spacing w:after="0" w:line="105" w:lineRule="exact"/>
              <w:rPr>
                <w:sz w:val="20"/>
                <w:szCs w:val="20"/>
                <w:color w:val="auto"/>
              </w:rPr>
            </w:pPr>
            <w:r>
              <w:rPr>
                <w:rFonts w:ascii="Arial" w:cs="Arial" w:eastAsia="Arial" w:hAnsi="Arial"/>
                <w:sz w:val="10"/>
                <w:szCs w:val="10"/>
                <w:color w:val="auto"/>
              </w:rPr>
              <w:t>3,212</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jc w:val="right"/>
              <w:spacing w:after="0" w:line="105" w:lineRule="exact"/>
              <w:rPr>
                <w:sz w:val="20"/>
                <w:szCs w:val="20"/>
                <w:color w:val="auto"/>
              </w:rPr>
            </w:pPr>
            <w:r>
              <w:rPr>
                <w:rFonts w:ascii="Arial" w:cs="Arial" w:eastAsia="Arial" w:hAnsi="Arial"/>
                <w:sz w:val="10"/>
                <w:szCs w:val="10"/>
                <w:color w:val="auto"/>
              </w:rPr>
              <w:t>(125)</w:t>
            </w:r>
          </w:p>
        </w:tc>
        <w:tc>
          <w:tcPr>
            <w:tcW w:w="0" w:type="dxa"/>
            <w:vAlign w:val="bottom"/>
          </w:tcPr>
          <w:p>
            <w:pPr>
              <w:spacing w:after="0"/>
              <w:rPr>
                <w:sz w:val="1"/>
                <w:szCs w:val="1"/>
                <w:color w:val="auto"/>
              </w:rPr>
            </w:pPr>
          </w:p>
        </w:tc>
      </w:tr>
      <w:tr>
        <w:trPr>
          <w:trHeight w:val="113"/>
        </w:trPr>
        <w:tc>
          <w:tcPr>
            <w:tcW w:w="484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3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5,315</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3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(2,282)</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300" w:type="dxa"/>
            <w:vAlign w:val="bottom"/>
            <w:tcBorders>
              <w:top w:val="single" w:sz="8" w:color="auto"/>
              <w:bottom w:val="single" w:sz="8" w:color="auto"/>
            </w:tcBorders>
            <w:shd w:val="clear" w:color="auto" w:fill="CCEEFF"/>
          </w:tcPr>
          <w:p>
            <w:pPr>
              <w:jc w:val="right"/>
              <w:ind w:right="191"/>
              <w:spacing w:after="0" w:line="93" w:lineRule="exact"/>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7,468</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440" w:type="dxa"/>
            <w:vAlign w:val="bottom"/>
            <w:tcBorders>
              <w:top w:val="single" w:sz="8" w:color="auto"/>
              <w:bottom w:val="single" w:sz="8" w:color="auto"/>
            </w:tcBorders>
            <w:shd w:val="clear" w:color="auto" w:fill="CCEEFF"/>
          </w:tcPr>
          <w:p>
            <w:pPr>
              <w:jc w:val="right"/>
              <w:ind w:right="331"/>
              <w:spacing w:after="0" w:line="93" w:lineRule="exact"/>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(6,027)</w:t>
            </w:r>
          </w:p>
        </w:tc>
        <w:tc>
          <w:tcPr>
            <w:tcW w:w="0" w:type="dxa"/>
            <w:vAlign w:val="bottom"/>
          </w:tcPr>
          <w:p>
            <w:pPr>
              <w:spacing w:after="0"/>
              <w:rPr>
                <w:sz w:val="1"/>
                <w:szCs w:val="1"/>
                <w:color w:val="auto"/>
              </w:rPr>
            </w:pPr>
          </w:p>
        </w:tc>
      </w:tr>
      <w:tr>
        <w:trPr>
          <w:trHeight w:val="198"/>
        </w:trPr>
        <w:tc>
          <w:tcPr>
            <w:tcW w:w="5000" w:type="dxa"/>
            <w:vAlign w:val="bottom"/>
            <w:gridSpan w:val="2"/>
          </w:tcPr>
          <w:p>
            <w:pPr>
              <w:spacing w:after="0"/>
              <w:rPr>
                <w:sz w:val="20"/>
                <w:szCs w:val="20"/>
                <w:color w:val="auto"/>
              </w:rPr>
            </w:pPr>
            <w:r>
              <w:rPr>
                <w:rFonts w:ascii="Arial" w:cs="Arial" w:eastAsia="Arial" w:hAnsi="Arial"/>
                <w:sz w:val="10"/>
                <w:szCs w:val="10"/>
                <w:color w:val="auto"/>
              </w:rPr>
              <w:t>A reconciliation of segment operating income to income before income taxes is as follows: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right"/>
              <w:ind w:right="156"/>
              <w:spacing w:after="0"/>
              <w:rPr>
                <w:sz w:val="20"/>
                <w:szCs w:val="20"/>
                <w:color w:val="auto"/>
              </w:rPr>
            </w:pPr>
            <w:r>
              <w:rPr>
                <w:rFonts w:ascii="Arial" w:cs="Arial" w:eastAsia="Arial" w:hAnsi="Arial"/>
                <w:sz w:val="8"/>
                <w:szCs w:val="8"/>
                <w:b w:val="1"/>
                <w:bCs w:val="1"/>
                <w:color w:val="auto"/>
              </w:rPr>
              <w:t>Quarter Ended</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center"/>
              <w:ind w:left="513"/>
              <w:spacing w:after="0"/>
              <w:rPr>
                <w:sz w:val="20"/>
                <w:szCs w:val="20"/>
                <w:color w:val="auto"/>
              </w:rPr>
            </w:pPr>
            <w:r>
              <w:rPr>
                <w:rFonts w:ascii="Arial" w:cs="Arial" w:eastAsia="Arial" w:hAnsi="Arial"/>
                <w:sz w:val="8"/>
                <w:szCs w:val="8"/>
                <w:b w:val="1"/>
                <w:bCs w:val="1"/>
                <w:color w:val="auto"/>
              </w:rPr>
              <w:t>Nine Months Ended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500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3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8"/>
                <w:szCs w:val="8"/>
                <w:b w:val="1"/>
                <w:bCs w:val="1"/>
                <w:color w:val="auto"/>
              </w:rPr>
              <w:t>September 30,</w:t>
            </w: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3"/>
          </w:tcPr>
          <w:p>
            <w:pPr>
              <w:jc w:val="center"/>
              <w:ind w:left="533"/>
              <w:spacing w:after="0"/>
              <w:rPr>
                <w:sz w:val="20"/>
                <w:szCs w:val="20"/>
                <w:color w:val="auto"/>
              </w:rPr>
            </w:pPr>
            <w:r>
              <w:rPr>
                <w:rFonts w:ascii="Arial" w:cs="Arial" w:eastAsia="Arial" w:hAnsi="Arial"/>
                <w:sz w:val="8"/>
                <w:szCs w:val="8"/>
                <w:b w:val="1"/>
                <w:bCs w:val="1"/>
                <w:color w:val="auto"/>
              </w:rPr>
              <w:t>September 30,</w:t>
            </w: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0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jc w:val="right"/>
              <w:ind w:right="513"/>
              <w:spacing w:after="0" w:line="78" w:lineRule="exact"/>
              <w:rPr>
                <w:sz w:val="20"/>
                <w:szCs w:val="20"/>
                <w:color w:val="auto"/>
              </w:rPr>
            </w:pPr>
            <w:r>
              <w:rPr>
                <w:rFonts w:ascii="Arial" w:cs="Arial" w:eastAsia="Arial" w:hAnsi="Arial"/>
                <w:sz w:val="8"/>
                <w:szCs w:val="8"/>
                <w:b w:val="1"/>
                <w:bCs w:val="1"/>
                <w:color w:val="auto"/>
              </w:rPr>
              <w:t>2023</w:t>
            </w: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00" w:type="dxa"/>
            <w:vAlign w:val="bottom"/>
          </w:tcPr>
          <w:p>
            <w:pPr>
              <w:jc w:val="right"/>
              <w:ind w:right="492"/>
              <w:spacing w:after="0" w:line="78" w:lineRule="exact"/>
              <w:rPr>
                <w:sz w:val="20"/>
                <w:szCs w:val="20"/>
                <w:color w:val="auto"/>
              </w:rPr>
            </w:pPr>
            <w:r>
              <w:rPr>
                <w:rFonts w:ascii="Arial" w:cs="Arial" w:eastAsia="Arial" w:hAnsi="Arial"/>
                <w:sz w:val="8"/>
                <w:szCs w:val="8"/>
                <w:b w:val="1"/>
                <w:bCs w:val="1"/>
                <w:color w:val="auto"/>
              </w:rPr>
              <w:t>2022</w:t>
            </w: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jc w:val="right"/>
              <w:ind w:right="513"/>
              <w:spacing w:after="0" w:line="78" w:lineRule="exact"/>
              <w:rPr>
                <w:sz w:val="20"/>
                <w:szCs w:val="20"/>
                <w:color w:val="auto"/>
              </w:rPr>
            </w:pPr>
            <w:r>
              <w:rPr>
                <w:rFonts w:ascii="Arial" w:cs="Arial" w:eastAsia="Arial" w:hAnsi="Arial"/>
                <w:sz w:val="8"/>
                <w:szCs w:val="8"/>
                <w:b w:val="1"/>
                <w:bCs w:val="1"/>
                <w:color w:val="auto"/>
              </w:rPr>
              <w:t>2023</w:t>
            </w: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jc w:val="right"/>
              <w:ind w:right="512"/>
              <w:spacing w:after="0" w:line="78" w:lineRule="exact"/>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100"/>
        </w:trPr>
        <w:tc>
          <w:tcPr>
            <w:tcW w:w="484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Segment operating income (loss)</w:t>
            </w: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5,315</w:t>
            </w:r>
          </w:p>
        </w:tc>
        <w:tc>
          <w:tcPr>
            <w:tcW w:w="1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(2,282)</w:t>
            </w: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91"/>
              <w:spacing w:after="0" w:line="100" w:lineRule="exact"/>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7,468</w:t>
            </w:r>
          </w:p>
        </w:tc>
        <w:tc>
          <w:tcPr>
            <w:tcW w:w="1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right"/>
              <w:ind w:right="331"/>
              <w:spacing w:after="0" w:line="100" w:lineRule="exact"/>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(6,027)</w:t>
            </w:r>
          </w:p>
        </w:tc>
        <w:tc>
          <w:tcPr>
            <w:tcW w:w="0" w:type="dxa"/>
            <w:vAlign w:val="bottom"/>
          </w:tcPr>
          <w:p>
            <w:pPr>
              <w:spacing w:after="0"/>
              <w:rPr>
                <w:sz w:val="1"/>
                <w:szCs w:val="1"/>
                <w:color w:val="auto"/>
              </w:rPr>
            </w:pPr>
          </w:p>
        </w:tc>
      </w:tr>
      <w:tr>
        <w:trPr>
          <w:trHeight w:val="105"/>
        </w:trPr>
        <w:tc>
          <w:tcPr>
            <w:tcW w:w="5000" w:type="dxa"/>
            <w:vAlign w:val="bottom"/>
            <w:gridSpan w:val="2"/>
          </w:tcPr>
          <w:p>
            <w:pPr>
              <w:spacing w:after="0" w:line="105" w:lineRule="exact"/>
              <w:rPr>
                <w:sz w:val="20"/>
                <w:szCs w:val="20"/>
                <w:color w:val="auto"/>
              </w:rPr>
            </w:pPr>
            <w:r>
              <w:rPr>
                <w:rFonts w:ascii="Arial" w:cs="Arial" w:eastAsia="Arial" w:hAnsi="Arial"/>
                <w:sz w:val="10"/>
                <w:szCs w:val="10"/>
                <w:color w:val="auto"/>
              </w:rPr>
              <w:t>Unallocated corporate expense</w:t>
            </w: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00" w:type="dxa"/>
            <w:vAlign w:val="bottom"/>
            <w:gridSpan w:val="2"/>
            <w:shd w:val="clear" w:color="auto" w:fill="CCEEFF"/>
          </w:tcPr>
          <w:p>
            <w:pPr>
              <w:ind w:left="120"/>
              <w:spacing w:after="0" w:line="105" w:lineRule="exact"/>
              <w:rPr>
                <w:sz w:val="20"/>
                <w:szCs w:val="20"/>
                <w:color w:val="auto"/>
              </w:rPr>
            </w:pPr>
            <w:r>
              <w:rPr>
                <w:rFonts w:ascii="Arial" w:cs="Arial" w:eastAsia="Arial" w:hAnsi="Arial"/>
                <w:sz w:val="10"/>
                <w:szCs w:val="10"/>
                <w:color w:val="auto"/>
              </w:rPr>
              <w:t>Depreciation and amortization expense</w:t>
            </w: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(172)</w:t>
            </w:r>
          </w:p>
        </w:tc>
        <w:tc>
          <w:tcPr>
            <w:tcW w:w="38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(258)</w:t>
            </w: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(527)</w:t>
            </w:r>
          </w:p>
        </w:tc>
        <w:tc>
          <w:tcPr>
            <w:tcW w:w="4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(804)</w:t>
            </w:r>
          </w:p>
        </w:tc>
        <w:tc>
          <w:tcPr>
            <w:tcW w:w="0" w:type="dxa"/>
            <w:vAlign w:val="bottom"/>
          </w:tcPr>
          <w:p>
            <w:pPr>
              <w:spacing w:after="0"/>
              <w:rPr>
                <w:sz w:val="1"/>
                <w:szCs w:val="1"/>
                <w:color w:val="auto"/>
              </w:rPr>
            </w:pPr>
          </w:p>
        </w:tc>
      </w:tr>
      <w:tr>
        <w:trPr>
          <w:trHeight w:val="105"/>
        </w:trPr>
        <w:tc>
          <w:tcPr>
            <w:tcW w:w="5000" w:type="dxa"/>
            <w:vAlign w:val="bottom"/>
            <w:gridSpan w:val="2"/>
          </w:tcPr>
          <w:p>
            <w:pPr>
              <w:ind w:left="120"/>
              <w:spacing w:after="0" w:line="105" w:lineRule="exact"/>
              <w:rPr>
                <w:sz w:val="20"/>
                <w:szCs w:val="20"/>
                <w:color w:val="auto"/>
              </w:rPr>
            </w:pPr>
            <w:r>
              <w:rPr>
                <w:rFonts w:ascii="Arial" w:cs="Arial" w:eastAsia="Arial" w:hAnsi="Arial"/>
                <w:sz w:val="10"/>
                <w:szCs w:val="10"/>
                <w:color w:val="auto"/>
              </w:rPr>
              <w:t>General and administrative expense</w:t>
            </w:r>
          </w:p>
        </w:tc>
        <w:tc>
          <w:tcPr>
            <w:tcW w:w="300" w:type="dxa"/>
            <w:vAlign w:val="bottom"/>
          </w:tcPr>
          <w:p>
            <w:pPr>
              <w:spacing w:after="0"/>
              <w:rPr>
                <w:sz w:val="9"/>
                <w:szCs w:val="9"/>
                <w:color w:val="auto"/>
              </w:rPr>
            </w:pPr>
          </w:p>
        </w:tc>
        <w:tc>
          <w:tcPr>
            <w:tcW w:w="114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(4,124)</w:t>
            </w:r>
          </w:p>
        </w:tc>
        <w:tc>
          <w:tcPr>
            <w:tcW w:w="380" w:type="dxa"/>
            <w:vAlign w:val="bottom"/>
          </w:tcPr>
          <w:p>
            <w:pPr>
              <w:spacing w:after="0"/>
              <w:rPr>
                <w:sz w:val="9"/>
                <w:szCs w:val="9"/>
                <w:color w:val="auto"/>
              </w:rPr>
            </w:pPr>
          </w:p>
        </w:tc>
        <w:tc>
          <w:tcPr>
            <w:tcW w:w="106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(4,190)</w:t>
            </w:r>
          </w:p>
        </w:tc>
        <w:tc>
          <w:tcPr>
            <w:tcW w:w="300" w:type="dxa"/>
            <w:vAlign w:val="bottom"/>
          </w:tcPr>
          <w:p>
            <w:pPr>
              <w:spacing w:after="0"/>
              <w:rPr>
                <w:sz w:val="9"/>
                <w:szCs w:val="9"/>
                <w:color w:val="auto"/>
              </w:rPr>
            </w:pPr>
          </w:p>
        </w:tc>
        <w:tc>
          <w:tcPr>
            <w:tcW w:w="114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(12,014)</w:t>
            </w:r>
          </w:p>
        </w:tc>
        <w:tc>
          <w:tcPr>
            <w:tcW w:w="440" w:type="dxa"/>
            <w:vAlign w:val="bottom"/>
          </w:tcPr>
          <w:p>
            <w:pPr>
              <w:spacing w:after="0"/>
              <w:rPr>
                <w:sz w:val="9"/>
                <w:szCs w:val="9"/>
                <w:color w:val="auto"/>
              </w:rPr>
            </w:pPr>
          </w:p>
        </w:tc>
        <w:tc>
          <w:tcPr>
            <w:tcW w:w="860" w:type="dxa"/>
            <w:vAlign w:val="bottom"/>
          </w:tcPr>
          <w:p>
            <w:pPr>
              <w:jc w:val="right"/>
              <w:spacing w:after="0" w:line="105" w:lineRule="exact"/>
              <w:rPr>
                <w:sz w:val="20"/>
                <w:szCs w:val="20"/>
                <w:color w:val="auto"/>
              </w:rPr>
            </w:pPr>
            <w:r>
              <w:rPr>
                <w:rFonts w:ascii="Arial" w:cs="Arial" w:eastAsia="Arial" w:hAnsi="Arial"/>
                <w:sz w:val="10"/>
                <w:szCs w:val="10"/>
                <w:color w:val="auto"/>
              </w:rPr>
              <w:t>(13,249)</w:t>
            </w:r>
          </w:p>
        </w:tc>
        <w:tc>
          <w:tcPr>
            <w:tcW w:w="0" w:type="dxa"/>
            <w:vAlign w:val="bottom"/>
          </w:tcPr>
          <w:p>
            <w:pPr>
              <w:spacing w:after="0"/>
              <w:rPr>
                <w:sz w:val="1"/>
                <w:szCs w:val="1"/>
                <w:color w:val="auto"/>
              </w:rPr>
            </w:pPr>
          </w:p>
        </w:tc>
      </w:tr>
      <w:tr>
        <w:trPr>
          <w:trHeight w:val="105"/>
        </w:trPr>
        <w:tc>
          <w:tcPr>
            <w:tcW w:w="5000" w:type="dxa"/>
            <w:vAlign w:val="bottom"/>
            <w:gridSpan w:val="2"/>
            <w:shd w:val="clear" w:color="auto" w:fill="CCEEFF"/>
          </w:tcPr>
          <w:p>
            <w:pPr>
              <w:ind w:left="120"/>
              <w:spacing w:after="0" w:line="105" w:lineRule="exact"/>
              <w:rPr>
                <w:sz w:val="20"/>
                <w:szCs w:val="20"/>
                <w:color w:val="auto"/>
              </w:rPr>
            </w:pPr>
            <w:r>
              <w:rPr>
                <w:rFonts w:ascii="Arial" w:cs="Arial" w:eastAsia="Arial" w:hAnsi="Arial"/>
                <w:sz w:val="10"/>
                <w:szCs w:val="10"/>
                <w:color w:val="auto"/>
              </w:rPr>
              <w:t>Interest expense, net</w:t>
            </w: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(5,072)</w:t>
            </w:r>
          </w:p>
        </w:tc>
        <w:tc>
          <w:tcPr>
            <w:tcW w:w="38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(3,694)</w:t>
            </w: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(14,063)</w:t>
            </w:r>
          </w:p>
        </w:tc>
        <w:tc>
          <w:tcPr>
            <w:tcW w:w="4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(10,242)</w:t>
            </w:r>
          </w:p>
        </w:tc>
        <w:tc>
          <w:tcPr>
            <w:tcW w:w="0" w:type="dxa"/>
            <w:vAlign w:val="bottom"/>
          </w:tcPr>
          <w:p>
            <w:pPr>
              <w:spacing w:after="0"/>
              <w:rPr>
                <w:sz w:val="1"/>
                <w:szCs w:val="1"/>
                <w:color w:val="auto"/>
              </w:rPr>
            </w:pPr>
          </w:p>
        </w:tc>
      </w:tr>
      <w:tr>
        <w:trPr>
          <w:trHeight w:val="105"/>
        </w:trPr>
        <w:tc>
          <w:tcPr>
            <w:tcW w:w="5000" w:type="dxa"/>
            <w:vAlign w:val="bottom"/>
            <w:gridSpan w:val="2"/>
          </w:tcPr>
          <w:p>
            <w:pPr>
              <w:spacing w:after="0" w:line="105" w:lineRule="exact"/>
              <w:rPr>
                <w:sz w:val="20"/>
                <w:szCs w:val="20"/>
                <w:color w:val="auto"/>
              </w:rPr>
            </w:pPr>
            <w:r>
              <w:rPr>
                <w:rFonts w:ascii="Arial" w:cs="Arial" w:eastAsia="Arial" w:hAnsi="Arial"/>
                <w:sz w:val="10"/>
                <w:szCs w:val="10"/>
                <w:color w:val="auto"/>
              </w:rPr>
              <w:t>Equity earnings of unconsolidated joint ventures</w:t>
            </w:r>
          </w:p>
        </w:tc>
        <w:tc>
          <w:tcPr>
            <w:tcW w:w="30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217</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jc w:val="right"/>
              <w:spacing w:after="0" w:line="105" w:lineRule="exact"/>
              <w:rPr>
                <w:sz w:val="20"/>
                <w:szCs w:val="20"/>
                <w:color w:val="auto"/>
              </w:rPr>
            </w:pPr>
            <w:r>
              <w:rPr>
                <w:rFonts w:ascii="Arial" w:cs="Arial" w:eastAsia="Arial" w:hAnsi="Arial"/>
                <w:sz w:val="10"/>
                <w:szCs w:val="10"/>
                <w:color w:val="auto"/>
              </w:rPr>
              <w:t>61</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jc w:val="right"/>
              <w:spacing w:after="0" w:line="105" w:lineRule="exact"/>
              <w:rPr>
                <w:sz w:val="20"/>
                <w:szCs w:val="20"/>
                <w:color w:val="auto"/>
              </w:rPr>
            </w:pPr>
            <w:r>
              <w:rPr>
                <w:rFonts w:ascii="Arial" w:cs="Arial" w:eastAsia="Arial" w:hAnsi="Arial"/>
                <w:sz w:val="10"/>
                <w:szCs w:val="10"/>
                <w:color w:val="auto"/>
              </w:rPr>
              <w:t>443</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jc w:val="right"/>
              <w:spacing w:after="0" w:line="105" w:lineRule="exact"/>
              <w:rPr>
                <w:sz w:val="20"/>
                <w:szCs w:val="20"/>
                <w:color w:val="auto"/>
              </w:rPr>
            </w:pPr>
            <w:r>
              <w:rPr>
                <w:rFonts w:ascii="Arial" w:cs="Arial" w:eastAsia="Arial" w:hAnsi="Arial"/>
                <w:sz w:val="10"/>
                <w:szCs w:val="10"/>
                <w:color w:val="auto"/>
              </w:rPr>
              <w:t>233</w:t>
            </w:r>
          </w:p>
        </w:tc>
        <w:tc>
          <w:tcPr>
            <w:tcW w:w="0" w:type="dxa"/>
            <w:vAlign w:val="bottom"/>
          </w:tcPr>
          <w:p>
            <w:pPr>
              <w:spacing w:after="0"/>
              <w:rPr>
                <w:sz w:val="1"/>
                <w:szCs w:val="1"/>
                <w:color w:val="auto"/>
              </w:rPr>
            </w:pPr>
          </w:p>
        </w:tc>
      </w:tr>
      <w:tr>
        <w:trPr>
          <w:trHeight w:val="105"/>
        </w:trPr>
        <w:tc>
          <w:tcPr>
            <w:tcW w:w="500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Gain (loss) on sale of assets</w:t>
            </w: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00"/>
              <w:spacing w:after="0" w:line="105"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(59)</w:t>
            </w:r>
          </w:p>
        </w:tc>
        <w:tc>
          <w:tcPr>
            <w:tcW w:w="3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r>
        <w:trPr>
          <w:trHeight w:val="105"/>
        </w:trPr>
        <w:tc>
          <w:tcPr>
            <w:tcW w:w="5000" w:type="dxa"/>
            <w:vAlign w:val="bottom"/>
            <w:tcBorders>
              <w:bottom w:val="single" w:sz="8" w:color="CCEEFF"/>
            </w:tcBorders>
            <w:gridSpan w:val="2"/>
          </w:tcPr>
          <w:p>
            <w:pPr>
              <w:spacing w:after="0" w:line="105" w:lineRule="exact"/>
              <w:rPr>
                <w:sz w:val="20"/>
                <w:szCs w:val="20"/>
                <w:color w:val="auto"/>
              </w:rPr>
            </w:pPr>
            <w:r>
              <w:rPr>
                <w:rFonts w:ascii="Arial" w:cs="Arial" w:eastAsia="Arial" w:hAnsi="Arial"/>
                <w:sz w:val="10"/>
                <w:szCs w:val="10"/>
                <w:color w:val="auto"/>
              </w:rPr>
              <w:t>Other income (expense)</w:t>
            </w: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267</w:t>
            </w:r>
          </w:p>
        </w:tc>
        <w:tc>
          <w:tcPr>
            <w:tcW w:w="16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5,455</w:t>
            </w:r>
          </w:p>
        </w:tc>
        <w:tc>
          <w:tcPr>
            <w:tcW w:w="16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356</w:t>
            </w:r>
          </w:p>
        </w:tc>
        <w:tc>
          <w:tcPr>
            <w:tcW w:w="14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8,445</w:t>
            </w:r>
          </w:p>
        </w:tc>
        <w:tc>
          <w:tcPr>
            <w:tcW w:w="0" w:type="dxa"/>
            <w:vAlign w:val="bottom"/>
          </w:tcPr>
          <w:p>
            <w:pPr>
              <w:spacing w:after="0"/>
              <w:rPr>
                <w:sz w:val="1"/>
                <w:szCs w:val="1"/>
                <w:color w:val="auto"/>
              </w:rPr>
            </w:pPr>
          </w:p>
        </w:tc>
      </w:tr>
      <w:tr>
        <w:trPr>
          <w:trHeight w:val="93"/>
        </w:trPr>
        <w:tc>
          <w:tcPr>
            <w:tcW w:w="5000" w:type="dxa"/>
            <w:vAlign w:val="bottom"/>
            <w:tcBorders>
              <w:bottom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Income (loss) before income tax expense</w:t>
            </w:r>
          </w:p>
        </w:tc>
        <w:tc>
          <w:tcPr>
            <w:tcW w:w="3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(3,569)</w:t>
            </w: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(4,967)</w:t>
            </w:r>
          </w:p>
        </w:tc>
        <w:tc>
          <w:tcPr>
            <w:tcW w:w="16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ind w:right="191"/>
              <w:spacing w:after="0" w:line="93" w:lineRule="exact"/>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(18,337)</w:t>
            </w:r>
          </w:p>
        </w:tc>
        <w:tc>
          <w:tcPr>
            <w:tcW w:w="14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ind w:right="331"/>
              <w:spacing w:after="0" w:line="93" w:lineRule="exact"/>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(21,703)</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4" w:right="640" w:bottom="1440" w:gutter="0" w:footer="0" w:header="0"/>
        </w:sectPr>
      </w:pPr>
    </w:p>
    <w:bookmarkStart w:id="7" w:name="page8"/>
    <w:bookmarkEnd w:id="7"/>
    <w:p>
      <w:pPr>
        <w:spacing w:after="0"/>
        <w:rPr>
          <w:sz w:val="20"/>
          <w:szCs w:val="20"/>
          <w:color w:val="auto"/>
        </w:rPr>
      </w:pPr>
      <w:r>
        <w:rPr>
          <w:rFonts w:ascii="Arial" w:cs="Arial" w:eastAsia="Arial" w:hAnsi="Arial"/>
          <w:sz w:val="10"/>
          <w:szCs w:val="10"/>
          <w:b w:val="1"/>
          <w:bCs w:val="1"/>
          <w:color w:val="auto"/>
        </w:rPr>
        <w:t>Note 2 – Summary of Significant Accounting Policies</w:t>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u w:val="single" w:color="auto"/>
          <w:color w:val="auto"/>
        </w:rPr>
        <w:t>Basis of Consolidation</w:t>
      </w:r>
    </w:p>
    <w:p>
      <w:pPr>
        <w:spacing w:after="0" w:line="2" w:lineRule="exact"/>
        <w:rPr>
          <w:sz w:val="20"/>
          <w:szCs w:val="20"/>
          <w:color w:val="auto"/>
        </w:rPr>
      </w:pPr>
    </w:p>
    <w:p>
      <w:pPr>
        <w:ind w:right="80"/>
        <w:spacing w:after="0" w:line="223" w:lineRule="auto"/>
        <w:rPr>
          <w:sz w:val="20"/>
          <w:szCs w:val="20"/>
          <w:color w:val="auto"/>
        </w:rPr>
      </w:pPr>
      <w:r>
        <w:rPr>
          <w:rFonts w:ascii="Arial" w:cs="Arial" w:eastAsia="Arial" w:hAnsi="Arial"/>
          <w:sz w:val="10"/>
          <w:szCs w:val="10"/>
          <w:color w:val="auto"/>
        </w:rPr>
        <w:t>The accompanying consolidated financial statements include the accounts of our Company’s wholly-owned subsidiaries as well as majority-owned subsidiaries that our Company controls, and should be read in conjunction with our Company’s Annual Report on Form 10-K as of and for the year ended December 31, 2022 (“2022 Form 10-K”). All significant intercompany balances and transactions have been eliminated on consolidation. These consolidated financial statements were prepared in accordance with accounting principles generally accepted in the United States of America (“U.S. GAAP”) for interim reporting with the instructions for Form 10-Q and Rule 10-01 of Regulation S-X of the Securities and Exchange Commission (“SEC”). As such, they do not include all information and footnotes required by U.S. GAAP for complete financial statements. We believe that we have included all normal and recurring adjustments necessary for a fair presentation of the results for the interim period.</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Operating results for the quarter and nine months ended September 30, 2023, are not necessarily indicative of the results that may be expected for the year ending December 31, 2023.</w:t>
      </w:r>
    </w:p>
    <w:p>
      <w:pPr>
        <w:spacing w:after="0" w:line="6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u w:val="single" w:color="auto"/>
          <w:color w:val="auto"/>
        </w:rPr>
        <w:t>Use of Estimates</w:t>
      </w:r>
    </w:p>
    <w:p>
      <w:pPr>
        <w:spacing w:after="0" w:line="2" w:lineRule="exact"/>
        <w:rPr>
          <w:sz w:val="20"/>
          <w:szCs w:val="20"/>
          <w:color w:val="auto"/>
        </w:rPr>
      </w:pPr>
    </w:p>
    <w:p>
      <w:pPr>
        <w:spacing w:after="0" w:line="225" w:lineRule="auto"/>
        <w:rPr>
          <w:sz w:val="20"/>
          <w:szCs w:val="20"/>
          <w:color w:val="auto"/>
        </w:rPr>
      </w:pPr>
      <w:r>
        <w:rPr>
          <w:rFonts w:ascii="Arial" w:cs="Arial" w:eastAsia="Arial" w:hAnsi="Arial"/>
          <w:sz w:val="10"/>
          <w:szCs w:val="10"/>
          <w:color w:val="auto"/>
        </w:rPr>
        <w:t>The preparation of consolidated financial statements in conformity with U.S. GAAP requires management to make estimates and assumptions that affect the amounts reported in the consolidated financial statements and footnotes thereto. Significant estimates include (i) projections we make regarding the recoverability and impairment of our assets (including goodwill and intangibles), (ii) valuations of our derivative instruments, (iii) recoverability of our deferred tax assets, (iv) estimation of breakage and redemption experience rates, which drive how we recognize breakage on our gift card and gift certificates, and revenue from our customer loyalty program, and (v) estimation of our Incremental Borrowing Rate (“IBR”) as relates to the valuation of our right-of-use assets and lease liabilities. Actual results may differ from those estimates</w:t>
      </w:r>
      <w:r>
        <w:rPr>
          <w:rFonts w:ascii="Arial" w:cs="Arial" w:eastAsia="Arial" w:hAnsi="Arial"/>
          <w:sz w:val="10"/>
          <w:szCs w:val="10"/>
          <w:i w:val="1"/>
          <w:iCs w:val="1"/>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3 – Impact of COVID-19 Pandemic and the Writers and Actors Strikes on Operations and Liquidity</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Cinema Segment Ongoing Impacts</w:t>
      </w:r>
    </w:p>
    <w:p>
      <w:pPr>
        <w:spacing w:after="0" w:line="91" w:lineRule="exact"/>
        <w:rPr>
          <w:sz w:val="20"/>
          <w:szCs w:val="20"/>
          <w:color w:val="auto"/>
        </w:rPr>
      </w:pPr>
    </w:p>
    <w:p>
      <w:pPr>
        <w:spacing w:after="0"/>
        <w:tabs>
          <w:tab w:leader="none" w:pos="5620" w:val="left"/>
        </w:tabs>
        <w:rPr>
          <w:sz w:val="20"/>
          <w:szCs w:val="20"/>
          <w:color w:val="auto"/>
        </w:rPr>
      </w:pPr>
      <w:r>
        <w:rPr>
          <w:rFonts w:ascii="Arial" w:cs="Arial" w:eastAsia="Arial" w:hAnsi="Arial"/>
          <w:sz w:val="10"/>
          <w:szCs w:val="10"/>
          <w:color w:val="auto"/>
        </w:rPr>
        <w:t>With respect to the COVID-19 pandemic, the World Health Organization has declared that the COVID-19 emergency has passed.</w:t>
      </w:r>
      <w:r>
        <w:rPr>
          <w:sz w:val="20"/>
          <w:szCs w:val="20"/>
          <w:color w:val="auto"/>
        </w:rPr>
        <w:tab/>
      </w:r>
      <w:r>
        <w:rPr>
          <w:rFonts w:ascii="Arial" w:cs="Arial" w:eastAsia="Arial" w:hAnsi="Arial"/>
          <w:sz w:val="9"/>
          <w:szCs w:val="9"/>
          <w:color w:val="auto"/>
        </w:rPr>
        <w:t>However, the legacy of COVID-19 continues to negatively impact the profitability of our cinema operating segment.</w:t>
      </w:r>
    </w:p>
    <w:p>
      <w:pPr>
        <w:spacing w:after="0"/>
        <w:rPr>
          <w:sz w:val="20"/>
          <w:szCs w:val="20"/>
          <w:color w:val="auto"/>
        </w:rPr>
      </w:pPr>
      <w:r>
        <w:rPr>
          <w:rFonts w:ascii="Arial" w:cs="Arial" w:eastAsia="Arial" w:hAnsi="Arial"/>
          <w:sz w:val="10"/>
          <w:szCs w:val="10"/>
          <w:color w:val="auto"/>
        </w:rPr>
        <w:t>The following factors, which are largely beyond our control, continue to impact the profitability of our global cinema segment compared to pre-pandemic levels:</w:t>
      </w:r>
    </w:p>
    <w:p>
      <w:pPr>
        <w:spacing w:after="0" w:line="85" w:lineRule="exact"/>
        <w:rPr>
          <w:sz w:val="20"/>
          <w:szCs w:val="20"/>
          <w:color w:val="auto"/>
        </w:rPr>
      </w:pPr>
    </w:p>
    <w:p>
      <w:pPr>
        <w:ind w:left="540" w:hanging="370"/>
        <w:spacing w:after="0"/>
        <w:tabs>
          <w:tab w:leader="none" w:pos="540" w:val="left"/>
        </w:tabs>
        <w:numPr>
          <w:ilvl w:val="0"/>
          <w:numId w:val="3"/>
        </w:numPr>
        <w:rPr>
          <w:rFonts w:ascii="Arial" w:cs="Arial" w:eastAsia="Arial" w:hAnsi="Arial"/>
          <w:sz w:val="10"/>
          <w:szCs w:val="10"/>
          <w:color w:val="auto"/>
        </w:rPr>
      </w:pPr>
      <w:r>
        <w:rPr>
          <w:rFonts w:ascii="Arial" w:cs="Arial" w:eastAsia="Arial" w:hAnsi="Arial"/>
          <w:sz w:val="10"/>
          <w:szCs w:val="10"/>
          <w:color w:val="auto"/>
        </w:rPr>
        <w:t>The number of movies released by the major Hollywood studios and other distributors, while increasing from pandemic levels, has not yet returned to pre-pandemic levels;</w:t>
      </w:r>
    </w:p>
    <w:p>
      <w:pPr>
        <w:ind w:left="540" w:hanging="370"/>
        <w:spacing w:after="0" w:line="219" w:lineRule="auto"/>
        <w:tabs>
          <w:tab w:leader="none" w:pos="540" w:val="left"/>
        </w:tabs>
        <w:numPr>
          <w:ilvl w:val="0"/>
          <w:numId w:val="3"/>
        </w:numPr>
        <w:rPr>
          <w:rFonts w:ascii="Arial" w:cs="Arial" w:eastAsia="Arial" w:hAnsi="Arial"/>
          <w:sz w:val="10"/>
          <w:szCs w:val="10"/>
          <w:color w:val="auto"/>
        </w:rPr>
      </w:pPr>
      <w:r>
        <w:rPr>
          <w:rFonts w:ascii="Arial" w:cs="Arial" w:eastAsia="Arial" w:hAnsi="Arial"/>
          <w:sz w:val="10"/>
          <w:szCs w:val="10"/>
          <w:color w:val="auto"/>
        </w:rPr>
        <w:t>The timing of certain anticipated cinema releases and the effectiveness of cinema marketing related to cinema releases have been adversely affected by the now settled writers’ and actors’ strikes (the “Hollywood Strikes”);</w:t>
      </w:r>
    </w:p>
    <w:p>
      <w:pPr>
        <w:ind w:left="540" w:hanging="370"/>
        <w:spacing w:after="0" w:line="219" w:lineRule="auto"/>
        <w:tabs>
          <w:tab w:leader="none" w:pos="540" w:val="left"/>
        </w:tabs>
        <w:numPr>
          <w:ilvl w:val="0"/>
          <w:numId w:val="3"/>
        </w:numPr>
        <w:rPr>
          <w:rFonts w:ascii="Arial" w:cs="Arial" w:eastAsia="Arial" w:hAnsi="Arial"/>
          <w:sz w:val="10"/>
          <w:szCs w:val="10"/>
          <w:color w:val="auto"/>
        </w:rPr>
      </w:pPr>
      <w:r>
        <w:rPr>
          <w:rFonts w:ascii="Arial" w:cs="Arial" w:eastAsia="Arial" w:hAnsi="Arial"/>
          <w:sz w:val="10"/>
          <w:szCs w:val="10"/>
          <w:color w:val="auto"/>
        </w:rPr>
        <w:t>Inflationary pressures, ongoing supply chain issues and increased variable operating expenses continue to compress margins as we encounter consumer resistance to price increases;</w:t>
      </w:r>
    </w:p>
    <w:p>
      <w:pPr>
        <w:ind w:left="540" w:hanging="370"/>
        <w:spacing w:after="0" w:line="219" w:lineRule="auto"/>
        <w:tabs>
          <w:tab w:leader="none" w:pos="540" w:val="left"/>
        </w:tabs>
        <w:numPr>
          <w:ilvl w:val="0"/>
          <w:numId w:val="3"/>
        </w:numPr>
        <w:rPr>
          <w:rFonts w:ascii="Arial" w:cs="Arial" w:eastAsia="Arial" w:hAnsi="Arial"/>
          <w:sz w:val="10"/>
          <w:szCs w:val="10"/>
          <w:color w:val="auto"/>
        </w:rPr>
      </w:pPr>
      <w:r>
        <w:rPr>
          <w:rFonts w:ascii="Arial" w:cs="Arial" w:eastAsia="Arial" w:hAnsi="Arial"/>
          <w:sz w:val="10"/>
          <w:szCs w:val="10"/>
          <w:color w:val="auto"/>
        </w:rPr>
        <w:t>Labor costs continue to increase (due both to government mandates and labor shortages);</w:t>
      </w:r>
    </w:p>
    <w:p>
      <w:pPr>
        <w:ind w:left="540" w:hanging="370"/>
        <w:spacing w:after="0" w:line="219" w:lineRule="auto"/>
        <w:tabs>
          <w:tab w:leader="none" w:pos="540" w:val="left"/>
        </w:tabs>
        <w:numPr>
          <w:ilvl w:val="0"/>
          <w:numId w:val="3"/>
        </w:numPr>
        <w:rPr>
          <w:rFonts w:ascii="Arial" w:cs="Arial" w:eastAsia="Arial" w:hAnsi="Arial"/>
          <w:sz w:val="10"/>
          <w:szCs w:val="10"/>
          <w:color w:val="auto"/>
        </w:rPr>
      </w:pPr>
      <w:r>
        <w:rPr>
          <w:rFonts w:ascii="Arial" w:cs="Arial" w:eastAsia="Arial" w:hAnsi="Arial"/>
          <w:sz w:val="10"/>
          <w:szCs w:val="10"/>
          <w:color w:val="auto"/>
        </w:rPr>
        <w:t>The Reserve banks in the U.S., Australia and New Zealand have increased interest rates causing our cost of borrowing to increase materially; and</w:t>
      </w:r>
    </w:p>
    <w:p>
      <w:pPr>
        <w:ind w:left="540" w:right="260" w:hanging="370"/>
        <w:spacing w:after="0" w:line="230" w:lineRule="auto"/>
        <w:tabs>
          <w:tab w:leader="none" w:pos="540" w:val="left"/>
        </w:tabs>
        <w:numPr>
          <w:ilvl w:val="0"/>
          <w:numId w:val="3"/>
        </w:numPr>
        <w:rPr>
          <w:rFonts w:ascii="Arial" w:cs="Arial" w:eastAsia="Arial" w:hAnsi="Arial"/>
          <w:sz w:val="10"/>
          <w:szCs w:val="10"/>
          <w:color w:val="auto"/>
        </w:rPr>
      </w:pPr>
      <w:r>
        <w:rPr>
          <w:rFonts w:ascii="Arial" w:cs="Arial" w:eastAsia="Arial" w:hAnsi="Arial"/>
          <w:sz w:val="10"/>
          <w:szCs w:val="10"/>
          <w:color w:val="auto"/>
        </w:rPr>
        <w:t>Increased fixed costs, such as third-party cinema rents, some of which are increasing due to long ago negotiated fixed rent increases, which are exacerbated on a cash flow basis now by our need to also pay certain rent deferrals accrued during the periods when our operations were closed or restricted due to the COVID-19 pandemic.</w:t>
      </w:r>
    </w:p>
    <w:p>
      <w:pPr>
        <w:spacing w:after="0" w:line="85" w:lineRule="exact"/>
        <w:rPr>
          <w:sz w:val="20"/>
          <w:szCs w:val="20"/>
          <w:color w:val="auto"/>
        </w:rPr>
      </w:pPr>
    </w:p>
    <w:p>
      <w:pPr>
        <w:ind w:right="340"/>
        <w:spacing w:after="0" w:line="233" w:lineRule="auto"/>
        <w:rPr>
          <w:sz w:val="20"/>
          <w:szCs w:val="20"/>
          <w:color w:val="auto"/>
        </w:rPr>
      </w:pPr>
      <w:r>
        <w:rPr>
          <w:rFonts w:ascii="Arial" w:cs="Arial" w:eastAsia="Arial" w:hAnsi="Arial"/>
          <w:sz w:val="10"/>
          <w:szCs w:val="10"/>
          <w:color w:val="auto"/>
        </w:rPr>
        <w:t xml:space="preserve">Notwithstanding the above, our global cinema segment operating income continues to grow when compared to pandemic periods. Movies leading the box office during this period included </w:t>
      </w:r>
      <w:r>
        <w:rPr>
          <w:rFonts w:ascii="Arial" w:cs="Arial" w:eastAsia="Arial" w:hAnsi="Arial"/>
          <w:sz w:val="10"/>
          <w:szCs w:val="10"/>
          <w:i w:val="1"/>
          <w:iCs w:val="1"/>
          <w:color w:val="auto"/>
        </w:rPr>
        <w:t>Barbie, Oppenheimer, Mission: Impossible – Dead</w:t>
      </w:r>
      <w:r>
        <w:rPr>
          <w:rFonts w:ascii="Arial" w:cs="Arial" w:eastAsia="Arial" w:hAnsi="Arial"/>
          <w:sz w:val="10"/>
          <w:szCs w:val="10"/>
          <w:color w:val="auto"/>
        </w:rPr>
        <w:t xml:space="preserve"> </w:t>
      </w:r>
      <w:r>
        <w:rPr>
          <w:rFonts w:ascii="Arial" w:cs="Arial" w:eastAsia="Arial" w:hAnsi="Arial"/>
          <w:sz w:val="10"/>
          <w:szCs w:val="10"/>
          <w:i w:val="1"/>
          <w:iCs w:val="1"/>
          <w:color w:val="auto"/>
        </w:rPr>
        <w:t>Reckoning Part One, Indiana Jones and the Dial of Destiny</w:t>
      </w:r>
      <w:r>
        <w:rPr>
          <w:rFonts w:ascii="Arial" w:cs="Arial" w:eastAsia="Arial" w:hAnsi="Arial"/>
          <w:sz w:val="10"/>
          <w:szCs w:val="10"/>
          <w:color w:val="auto"/>
        </w:rPr>
        <w:t>,</w:t>
      </w:r>
      <w:r>
        <w:rPr>
          <w:rFonts w:ascii="Arial" w:cs="Arial" w:eastAsia="Arial" w:hAnsi="Arial"/>
          <w:sz w:val="10"/>
          <w:szCs w:val="10"/>
          <w:i w:val="1"/>
          <w:iCs w:val="1"/>
          <w:color w:val="auto"/>
        </w:rPr>
        <w:t xml:space="preserve"> Teenage Mutant Ninja Turtles: Mutant Mayhem </w:t>
      </w:r>
      <w:r>
        <w:rPr>
          <w:rFonts w:ascii="Arial" w:cs="Arial" w:eastAsia="Arial" w:hAnsi="Arial"/>
          <w:sz w:val="10"/>
          <w:szCs w:val="10"/>
          <w:color w:val="auto"/>
        </w:rPr>
        <w:t>and</w:t>
      </w:r>
      <w:r>
        <w:rPr>
          <w:rFonts w:ascii="Arial" w:cs="Arial" w:eastAsia="Arial" w:hAnsi="Arial"/>
          <w:sz w:val="10"/>
          <w:szCs w:val="10"/>
          <w:i w:val="1"/>
          <w:iCs w:val="1"/>
          <w:color w:val="auto"/>
        </w:rPr>
        <w:t xml:space="preserve"> Sound of Freedom</w:t>
      </w:r>
      <w:r>
        <w:rPr>
          <w:rFonts w:ascii="Arial" w:cs="Arial" w:eastAsia="Arial" w:hAnsi="Arial"/>
          <w:sz w:val="10"/>
          <w:szCs w:val="10"/>
          <w:color w:val="auto"/>
        </w:rPr>
        <w:t>. Despite the fact that our industry has not fully returned to pre-COVID-19 pandemic levels, our industry is</w:t>
      </w:r>
      <w:r>
        <w:rPr>
          <w:rFonts w:ascii="Arial" w:cs="Arial" w:eastAsia="Arial" w:hAnsi="Arial"/>
          <w:sz w:val="10"/>
          <w:szCs w:val="10"/>
          <w:i w:val="1"/>
          <w:iCs w:val="1"/>
          <w:color w:val="auto"/>
        </w:rPr>
        <w:t xml:space="preserve"> </w:t>
      </w:r>
      <w:r>
        <w:rPr>
          <w:rFonts w:ascii="Arial" w:cs="Arial" w:eastAsia="Arial" w:hAnsi="Arial"/>
          <w:sz w:val="10"/>
          <w:szCs w:val="10"/>
          <w:color w:val="auto"/>
        </w:rPr>
        <w:t>recovering.</w:t>
      </w:r>
    </w:p>
    <w:p>
      <w:pPr>
        <w:spacing w:after="0" w:line="89" w:lineRule="exact"/>
        <w:rPr>
          <w:sz w:val="20"/>
          <w:szCs w:val="20"/>
          <w:color w:val="auto"/>
        </w:rPr>
      </w:pPr>
    </w:p>
    <w:p>
      <w:pPr>
        <w:ind w:right="60"/>
        <w:spacing w:after="0" w:line="231" w:lineRule="auto"/>
        <w:rPr>
          <w:sz w:val="20"/>
          <w:szCs w:val="20"/>
          <w:color w:val="auto"/>
        </w:rPr>
      </w:pPr>
      <w:r>
        <w:rPr>
          <w:rFonts w:ascii="Arial" w:cs="Arial" w:eastAsia="Arial" w:hAnsi="Arial"/>
          <w:sz w:val="10"/>
          <w:szCs w:val="10"/>
          <w:color w:val="auto"/>
        </w:rPr>
        <w:t>In light of the above factors, our Company continues its cost- reduction efforts in our cinema operating segment, including, but not limited to, restricting utilities and essential operating expenses to the minimum levels necessary, reducing employment costs by limiting hours of operation and/or shifts and increasing reliance on automation, and minimizing capital outlays. We continue to work with our landlords to manage our rent obligations. We have terminated cinema leases where their long-term profitability is in sufficient doubt.</w:t>
      </w:r>
    </w:p>
    <w:p>
      <w:pPr>
        <w:spacing w:after="0" w:line="88"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Our Real Estate operating segment has been less impacted by the legacy impacts of the COVID-19 pandemic, with the exception of our assets associated with office space, such as 44 Union Square in New York City and 5995 Sepulveda in Culver City, California.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4" w:right="640" w:bottom="1440" w:gutter="0" w:footer="0" w:header="0"/>
        </w:sectPr>
      </w:pPr>
    </w:p>
    <w:bookmarkStart w:id="8" w:name="page9"/>
    <w:bookmarkEnd w:id="8"/>
    <w:p>
      <w:pPr>
        <w:spacing w:after="0"/>
        <w:rPr>
          <w:sz w:val="20"/>
          <w:szCs w:val="20"/>
          <w:color w:val="auto"/>
        </w:rPr>
      </w:pPr>
      <w:r>
        <w:rPr>
          <w:rFonts w:ascii="Arial" w:cs="Arial" w:eastAsia="Arial" w:hAnsi="Arial"/>
          <w:sz w:val="10"/>
          <w:szCs w:val="10"/>
          <w:u w:val="single" w:color="auto"/>
          <w:color w:val="auto"/>
        </w:rPr>
        <w:t>Going Concern</w:t>
      </w:r>
    </w:p>
    <w:p>
      <w:pPr>
        <w:spacing w:after="0" w:line="91" w:lineRule="exact"/>
        <w:rPr>
          <w:sz w:val="20"/>
          <w:szCs w:val="20"/>
          <w:color w:val="auto"/>
        </w:rPr>
      </w:pPr>
    </w:p>
    <w:p>
      <w:pPr>
        <w:ind w:right="20"/>
        <w:spacing w:after="0" w:line="254" w:lineRule="auto"/>
        <w:rPr>
          <w:sz w:val="20"/>
          <w:szCs w:val="20"/>
          <w:color w:val="auto"/>
        </w:rPr>
      </w:pPr>
      <w:r>
        <w:rPr>
          <w:rFonts w:ascii="Arial" w:cs="Arial" w:eastAsia="Arial" w:hAnsi="Arial"/>
          <w:sz w:val="9"/>
          <w:szCs w:val="9"/>
          <w:color w:val="auto"/>
        </w:rPr>
        <w:t xml:space="preserve">We continue to evaluate the going concern assertion required by </w:t>
      </w:r>
      <w:r>
        <w:rPr>
          <w:rFonts w:ascii="Arial" w:cs="Arial" w:eastAsia="Arial" w:hAnsi="Arial"/>
          <w:sz w:val="9"/>
          <w:szCs w:val="9"/>
          <w:i w:val="1"/>
          <w:iCs w:val="1"/>
          <w:color w:val="auto"/>
        </w:rPr>
        <w:t>ASC 205-40 Going Concern</w:t>
      </w:r>
      <w:r>
        <w:rPr>
          <w:rFonts w:ascii="Arial" w:cs="Arial" w:eastAsia="Arial" w:hAnsi="Arial"/>
          <w:sz w:val="9"/>
          <w:szCs w:val="9"/>
          <w:color w:val="auto"/>
        </w:rPr>
        <w:t xml:space="preserve"> as it relates to our Company. The evaluation of the going concern assertion involves firstly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determine whether it is probable that our plans will mitigate the consequential going concern substantial doubt. Our evaluation is informed by current operating conditions (including the progressive improvement in both the cinema segment revenues and operating income due to the successful release of various movies during the period), liquidity positions, debt obligations, cash flow estimates, known capital and other expenditure requirements and commitments and our current business plan and strategies. Our Company’s business plan - two businesses (real estate and cinema) in three countries (Australia, New Zealand and the U.S.) - has served us well since the onset of COVID -19 and is key to management’s overall evaluation of </w:t>
      </w:r>
      <w:r>
        <w:rPr>
          <w:rFonts w:ascii="Arial" w:cs="Arial" w:eastAsia="Arial" w:hAnsi="Arial"/>
          <w:sz w:val="9"/>
          <w:szCs w:val="9"/>
          <w:i w:val="1"/>
          <w:iCs w:val="1"/>
          <w:color w:val="auto"/>
        </w:rPr>
        <w:t>ASC 205-40 Going</w:t>
      </w:r>
      <w:r>
        <w:rPr>
          <w:rFonts w:ascii="Arial" w:cs="Arial" w:eastAsia="Arial" w:hAnsi="Arial"/>
          <w:sz w:val="9"/>
          <w:szCs w:val="9"/>
          <w:color w:val="auto"/>
        </w:rPr>
        <w:t xml:space="preserve"> </w:t>
      </w:r>
      <w:r>
        <w:rPr>
          <w:rFonts w:ascii="Arial" w:cs="Arial" w:eastAsia="Arial" w:hAnsi="Arial"/>
          <w:sz w:val="9"/>
          <w:szCs w:val="9"/>
          <w:i w:val="1"/>
          <w:iCs w:val="1"/>
          <w:color w:val="auto"/>
        </w:rPr>
        <w:t>Concern</w:t>
      </w:r>
      <w:r>
        <w:rPr>
          <w:rFonts w:ascii="Arial" w:cs="Arial" w:eastAsia="Arial" w:hAnsi="Arial"/>
          <w:sz w:val="9"/>
          <w:szCs w:val="9"/>
          <w:color w:val="auto"/>
        </w:rPr>
        <w:t>. As of December 31, 2022, in our Form 10-K, we reported that our plans were probable of being implemented and thus they alleviated the substantial doubt about our Company’s ability to continue as a going concern.</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0"/>
          <w:szCs w:val="10"/>
          <w:color w:val="auto"/>
        </w:rPr>
        <w:t>We have $58.6 million of debt maturing in the twelve months from the issue of this Form 10-Q. As at September 30, 2023, we have unrestricted cash of $11.9 million and negative working capital of $85.7 million</w:t>
      </w:r>
      <w:r>
        <w:rPr>
          <w:rFonts w:ascii="Arial" w:cs="Arial" w:eastAsia="Arial" w:hAnsi="Arial"/>
          <w:sz w:val="10"/>
          <w:szCs w:val="10"/>
          <w:b w:val="1"/>
          <w:bCs w:val="1"/>
          <w:color w:val="auto"/>
        </w:rPr>
        <w:t>.</w:t>
      </w:r>
      <w:r>
        <w:rPr>
          <w:rFonts w:ascii="Arial" w:cs="Arial" w:eastAsia="Arial" w:hAnsi="Arial"/>
          <w:sz w:val="10"/>
          <w:szCs w:val="10"/>
          <w:color w:val="auto"/>
        </w:rPr>
        <w:t xml:space="preserve"> To alleviate doubt that our Company will be able to generate sufficient cash flows for the coming twelve-months, these loans need to be refinanced, our revenues and net income need to continue to improve, cinema rents need to be renegotiated downward, and/or funds need to be raised through asset monetizations.</w:t>
      </w:r>
    </w:p>
    <w:p>
      <w:pPr>
        <w:spacing w:after="0" w:line="88" w:lineRule="exact"/>
        <w:rPr>
          <w:sz w:val="20"/>
          <w:szCs w:val="20"/>
          <w:color w:val="auto"/>
        </w:rPr>
      </w:pPr>
    </w:p>
    <w:p>
      <w:pPr>
        <w:ind w:right="40"/>
        <w:spacing w:after="0" w:line="228" w:lineRule="auto"/>
        <w:rPr>
          <w:sz w:val="20"/>
          <w:szCs w:val="20"/>
          <w:color w:val="auto"/>
        </w:rPr>
      </w:pPr>
      <w:r>
        <w:rPr>
          <w:rFonts w:ascii="Arial" w:cs="Arial" w:eastAsia="Arial" w:hAnsi="Arial"/>
          <w:sz w:val="10"/>
          <w:szCs w:val="10"/>
          <w:color w:val="auto"/>
        </w:rPr>
        <w:t>We believe that it is probable that our outstanding loans with current maturities will be extended on terms reasonably acceptable to us. The maturity date of our loan on the Cinemas 123 from Valley National Bank was extended from April 1, 2023, to July 3, 2023, then to October 3, 2023 to allow additional time to complete a refinance under a term sheet, and has now been extended to October 1, 2024, following the refinance on September 29, 2023. We extended our loan on our Australian assets from NAB facility to July 31, 2025. With respect to our U.S. based loan from Santander ($8.0 million), we expect our lender to extend that loan for a reasonable period to allow for an appropriate refinance. With respect to our loan on our assets in New Zealand from Westpac ($8.3 million), we have requested an extension for a reasonable period to allow for an appropriate refinance.</w:t>
      </w:r>
    </w:p>
    <w:p>
      <w:pPr>
        <w:spacing w:after="0" w:line="88" w:lineRule="exact"/>
        <w:rPr>
          <w:sz w:val="20"/>
          <w:szCs w:val="20"/>
          <w:color w:val="auto"/>
        </w:rPr>
      </w:pPr>
    </w:p>
    <w:p>
      <w:pPr>
        <w:jc w:val="both"/>
        <w:spacing w:after="0" w:line="231" w:lineRule="auto"/>
        <w:rPr>
          <w:sz w:val="20"/>
          <w:szCs w:val="20"/>
          <w:color w:val="auto"/>
        </w:rPr>
      </w:pPr>
      <w:r>
        <w:rPr>
          <w:rFonts w:ascii="Arial" w:cs="Arial" w:eastAsia="Arial" w:hAnsi="Arial"/>
          <w:sz w:val="10"/>
          <w:szCs w:val="10"/>
          <w:color w:val="auto"/>
        </w:rPr>
        <w:t>We have begun active processes to monetize certain assets as detailed in Note 6. Based on the results of our asset monetizations in 2021, we believe these processes will produce net proceeds sufficient to alleviate any substantial doubt about our Company’s ability to continue as a going concern. As we monitor the cinema market conditions (such as improving box office and progression of the Hollywood Strike negotiations), we are also currently exploring the potential monetization of other real estate assets to further enhance our liquidity conditions for the long-term future of our Company.</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As noted above, we are continuing to reduce our fixed costs of operation by renegotiating lease rents and closing non-performing cinemas upon the expiration of their current lease terms.</w:t>
      </w:r>
    </w:p>
    <w:p>
      <w:pPr>
        <w:spacing w:after="0" w:line="95" w:lineRule="exact"/>
        <w:rPr>
          <w:sz w:val="20"/>
          <w:szCs w:val="20"/>
          <w:color w:val="auto"/>
        </w:rPr>
      </w:pPr>
    </w:p>
    <w:p>
      <w:pPr>
        <w:ind w:right="140"/>
        <w:spacing w:after="0" w:line="228" w:lineRule="auto"/>
        <w:rPr>
          <w:sz w:val="20"/>
          <w:szCs w:val="20"/>
          <w:color w:val="auto"/>
        </w:rPr>
      </w:pPr>
      <w:r>
        <w:rPr>
          <w:rFonts w:ascii="Arial" w:cs="Arial" w:eastAsia="Arial" w:hAnsi="Arial"/>
          <w:sz w:val="10"/>
          <w:szCs w:val="10"/>
          <w:color w:val="auto"/>
        </w:rPr>
        <w:t>Notwithstanding some temporary release schedule impacts from the Hollywood Strikes, we believe that the global cinema industry will continue to recover in 2023 and into 2024 and 2025. This belief underpins our forecasts and cash flow projections. Our forecasts rely upon, among other things, the current industry movie release schedule, which demonstrates an increased number of movies from the major studios and other distributors and an improvement in the quality of the movie titles, and the public’s demonstrable desire to attend movies in a theatrical environment. These factors are both out of management’s control and are material, individually and in aggregate, to the realization of management’s forecasts and expectations.</w:t>
      </w:r>
    </w:p>
    <w:p>
      <w:pPr>
        <w:spacing w:after="0" w:line="84" w:lineRule="exact"/>
        <w:rPr>
          <w:sz w:val="20"/>
          <w:szCs w:val="20"/>
          <w:color w:val="auto"/>
        </w:rPr>
      </w:pPr>
    </w:p>
    <w:p>
      <w:pPr>
        <w:ind w:right="140"/>
        <w:spacing w:after="0" w:line="242" w:lineRule="auto"/>
        <w:rPr>
          <w:sz w:val="20"/>
          <w:szCs w:val="20"/>
          <w:color w:val="auto"/>
        </w:rPr>
      </w:pPr>
      <w:r>
        <w:rPr>
          <w:rFonts w:ascii="Arial" w:cs="Arial" w:eastAsia="Arial" w:hAnsi="Arial"/>
          <w:sz w:val="10"/>
          <w:szCs w:val="10"/>
          <w:color w:val="auto"/>
        </w:rPr>
        <w:t xml:space="preserve">In conclusion, as of the date of issuance of these financial statements, based on our evaluation of </w:t>
      </w:r>
      <w:r>
        <w:rPr>
          <w:rFonts w:ascii="Arial" w:cs="Arial" w:eastAsia="Arial" w:hAnsi="Arial"/>
          <w:sz w:val="10"/>
          <w:szCs w:val="10"/>
          <w:i w:val="1"/>
          <w:iCs w:val="1"/>
          <w:color w:val="auto"/>
        </w:rPr>
        <w:t>ASC 205-40 Going Concern</w:t>
      </w:r>
      <w:r>
        <w:rPr>
          <w:rFonts w:ascii="Arial" w:cs="Arial" w:eastAsia="Arial" w:hAnsi="Arial"/>
          <w:sz w:val="10"/>
          <w:szCs w:val="10"/>
          <w:color w:val="auto"/>
        </w:rPr>
        <w:t xml:space="preserve"> and the current conditions and events, considered in the aggregate, and our various plans for enhancing liquidity and the extent to which those plans are progressing, we conclude that our plans are probable of being implemented and that they alleviate the substantial doubt about our Company’s ability to continue as a going concern.</w:t>
      </w:r>
    </w:p>
    <w:p>
      <w:pPr>
        <w:spacing w:after="0" w:line="8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Impairment Considerations</w:t>
      </w:r>
    </w:p>
    <w:p>
      <w:pPr>
        <w:spacing w:after="0" w:line="97"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Our Company considers that the events and factors described above constitute impairment indicators under </w:t>
      </w:r>
      <w:r>
        <w:rPr>
          <w:rFonts w:ascii="Arial" w:cs="Arial" w:eastAsia="Arial" w:hAnsi="Arial"/>
          <w:sz w:val="9"/>
          <w:szCs w:val="9"/>
          <w:i w:val="1"/>
          <w:iCs w:val="1"/>
          <w:color w:val="auto"/>
        </w:rPr>
        <w:t>ASC 360 Property, Plant and Equipment</w:t>
      </w:r>
      <w:r>
        <w:rPr>
          <w:rFonts w:ascii="Arial" w:cs="Arial" w:eastAsia="Arial" w:hAnsi="Arial"/>
          <w:sz w:val="9"/>
          <w:szCs w:val="9"/>
          <w:color w:val="auto"/>
        </w:rPr>
        <w:t>. In 2022, when considered necessary, our Company performed quantitative recoverability tests of</w:t>
      </w:r>
    </w:p>
    <w:p>
      <w:pPr>
        <w:spacing w:after="0" w:line="12" w:lineRule="exact"/>
        <w:rPr>
          <w:sz w:val="20"/>
          <w:szCs w:val="20"/>
          <w:color w:val="auto"/>
        </w:rPr>
      </w:pPr>
    </w:p>
    <w:p>
      <w:pPr>
        <w:spacing w:after="0"/>
        <w:rPr>
          <w:sz w:val="20"/>
          <w:szCs w:val="20"/>
          <w:color w:val="auto"/>
        </w:rPr>
      </w:pPr>
      <w:r>
        <w:rPr>
          <w:rFonts w:ascii="Arial" w:cs="Arial" w:eastAsia="Arial" w:hAnsi="Arial"/>
          <w:sz w:val="9"/>
          <w:szCs w:val="9"/>
          <w:color w:val="auto"/>
        </w:rPr>
        <w:t>the carrying values of all its asset groups. These tests compare the carrying values of all asset groups to the estimated undiscounted future cash flows expected to result from the use of those asset groups. As a result of this testing, we recorded</w:t>
      </w:r>
    </w:p>
    <w:p>
      <w:pPr>
        <w:spacing w:after="0" w:line="2" w:lineRule="exact"/>
        <w:rPr>
          <w:sz w:val="20"/>
          <w:szCs w:val="20"/>
          <w:color w:val="auto"/>
        </w:rPr>
      </w:pPr>
    </w:p>
    <w:p>
      <w:pPr>
        <w:spacing w:after="0"/>
        <w:rPr>
          <w:sz w:val="20"/>
          <w:szCs w:val="20"/>
          <w:color w:val="auto"/>
        </w:rPr>
      </w:pPr>
      <w:r>
        <w:rPr>
          <w:rFonts w:ascii="Arial" w:cs="Arial" w:eastAsia="Arial" w:hAnsi="Arial"/>
          <w:sz w:val="9"/>
          <w:szCs w:val="9"/>
          <w:color w:val="auto"/>
        </w:rPr>
        <w:t>$1.5 million of impairment charges against certain cinema asset groups in the second quarter of 2022. The charges related to cinemas whose performance had not improved commensurate with the wider group. No further impairment charges were</w:t>
      </w:r>
    </w:p>
    <w:p>
      <w:pPr>
        <w:spacing w:after="0" w:line="222" w:lineRule="auto"/>
        <w:rPr>
          <w:sz w:val="20"/>
          <w:szCs w:val="20"/>
          <w:color w:val="auto"/>
        </w:rPr>
      </w:pPr>
      <w:r>
        <w:rPr>
          <w:rFonts w:ascii="Arial" w:cs="Arial" w:eastAsia="Arial" w:hAnsi="Arial"/>
          <w:sz w:val="10"/>
          <w:szCs w:val="10"/>
          <w:color w:val="auto"/>
        </w:rPr>
        <w:t>recorded in the remainder of the year. No impairment charges were recorded in nine months of 2023. Actual performance against our forecasts is dependent on several variables and conditions, many of which are subject to the uncertainties</w:t>
      </w:r>
    </w:p>
    <w:p>
      <w:pPr>
        <w:spacing w:after="0"/>
        <w:rPr>
          <w:sz w:val="20"/>
          <w:szCs w:val="20"/>
          <w:color w:val="auto"/>
        </w:rPr>
      </w:pPr>
      <w:r>
        <w:rPr>
          <w:rFonts w:ascii="Arial" w:cs="Arial" w:eastAsia="Arial" w:hAnsi="Arial"/>
          <w:sz w:val="9"/>
          <w:szCs w:val="9"/>
          <w:color w:val="auto"/>
        </w:rPr>
        <w:t>associated with COVID-19 and its aftermath, with government policy related to work-place regulation, increasing interest rates, inflationary impacts and with ongoing theatrical release patterns and applicable film rent, and as a result, actual results</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may materially differ from management’s estimates.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70" w:right="640" w:bottom="1440" w:gutter="0" w:footer="0" w:header="0"/>
        </w:sectPr>
      </w:pPr>
    </w:p>
    <w:bookmarkStart w:id="9" w:name="page10"/>
    <w:bookmarkEnd w:id="9"/>
    <w:p>
      <w:pPr>
        <w:ind w:right="20"/>
        <w:spacing w:after="0" w:line="226" w:lineRule="auto"/>
        <w:rPr>
          <w:sz w:val="20"/>
          <w:szCs w:val="20"/>
          <w:color w:val="auto"/>
        </w:rPr>
      </w:pPr>
      <w:r>
        <w:rPr>
          <w:rFonts w:ascii="Arial" w:cs="Arial" w:eastAsia="Arial" w:hAnsi="Arial"/>
          <w:sz w:val="10"/>
          <w:szCs w:val="10"/>
          <w:color w:val="auto"/>
        </w:rPr>
        <w:t xml:space="preserve">Our Company also considers that the events and factors described above continue to constitute impairment indicators under </w:t>
      </w:r>
      <w:r>
        <w:rPr>
          <w:rFonts w:ascii="Arial" w:cs="Arial" w:eastAsia="Arial" w:hAnsi="Arial"/>
          <w:sz w:val="10"/>
          <w:szCs w:val="10"/>
          <w:i w:val="1"/>
          <w:iCs w:val="1"/>
          <w:color w:val="auto"/>
        </w:rPr>
        <w:t>ASC 350 Intangibles – Goodwill and Other</w:t>
      </w:r>
      <w:r>
        <w:rPr>
          <w:rFonts w:ascii="Arial" w:cs="Arial" w:eastAsia="Arial" w:hAnsi="Arial"/>
          <w:sz w:val="10"/>
          <w:szCs w:val="10"/>
          <w:color w:val="auto"/>
        </w:rPr>
        <w:t>. Our Company performed a quantitative goodwill impairment test and determined that our goodwill was not impaired as of December 31, 2022.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No additional triggering events were identified in the first nine months of 2023, and therefore no goodwill impairment testing or charges were necessary. Actual performance against our forecasts is dependent on several variables and conditions, many of which are subject to the uncertainties associated with COVID-19 and its aftermath, with government policy related to work-place regulation, increasing interest rates, inflationary impacts and with ongoing theatrical release patterns and applicable film rent and as a result, actual results may materially differ from management’s estimates.</w:t>
      </w:r>
    </w:p>
    <w:p>
      <w:pPr>
        <w:spacing w:after="0" w:line="8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4 – Operations in Foreign Currency</w:t>
      </w:r>
    </w:p>
    <w:p>
      <w:pPr>
        <w:spacing w:after="0" w:line="101" w:lineRule="exact"/>
        <w:rPr>
          <w:sz w:val="20"/>
          <w:szCs w:val="20"/>
          <w:color w:val="auto"/>
        </w:rPr>
      </w:pPr>
    </w:p>
    <w:p>
      <w:pPr>
        <w:ind w:right="140"/>
        <w:spacing w:after="0" w:line="226" w:lineRule="auto"/>
        <w:rPr>
          <w:sz w:val="20"/>
          <w:szCs w:val="20"/>
          <w:color w:val="auto"/>
        </w:rPr>
      </w:pPr>
      <w:r>
        <w:rPr>
          <w:rFonts w:ascii="Arial" w:cs="Arial" w:eastAsia="Arial" w:hAnsi="Arial"/>
          <w:sz w:val="10"/>
          <w:szCs w:val="10"/>
          <w:color w:val="auto"/>
        </w:rPr>
        <w:t>We have significant assets in Australia and New Zealand. Historically, we have conducted our Australian and New Zealand operations (collectively “foreign operations”) on a self-funding basis, where we use cash flows generated by our foreign operations to pay for the expenses of those foreign operations. However, in recent periods, we have looked to our overseas operations to cover an increasing portion of our domestic general and administrative costs. Our Australian and New Zealand assets and liabilities are translated from their functional currencies of Australian dollar (“AU$”) and New Zealand dollar (“NZ$”), respectively, to the U.S. dollar based on the exchange rate as of September 30, 2023. The carrying value of the assets and liabilities of our foreign operations fluctuates as a result of changes in the exchange rates between the functional currencies of the foreign operations and the U.S. dollar. The translation adjustments are accumulated in the Accumulated Other Comprehensive Income in the Consolidated Balance Sheets.</w:t>
      </w:r>
    </w:p>
    <w:p>
      <w:pPr>
        <w:spacing w:after="0" w:line="89" w:lineRule="exact"/>
        <w:rPr>
          <w:sz w:val="20"/>
          <w:szCs w:val="20"/>
          <w:color w:val="auto"/>
        </w:rPr>
      </w:pPr>
    </w:p>
    <w:p>
      <w:pPr>
        <w:ind w:right="60"/>
        <w:spacing w:after="0" w:line="237" w:lineRule="auto"/>
        <w:rPr>
          <w:sz w:val="20"/>
          <w:szCs w:val="20"/>
          <w:color w:val="auto"/>
        </w:rPr>
      </w:pPr>
      <w:r>
        <w:rPr>
          <w:rFonts w:ascii="Arial" w:cs="Arial" w:eastAsia="Arial" w:hAnsi="Arial"/>
          <w:sz w:val="10"/>
          <w:szCs w:val="10"/>
          <w:color w:val="auto"/>
        </w:rPr>
        <w:t>Due to the natural-hedge nature of our funding policy, we have not historically used derivative financial instruments to hedge against the risk of foreign currency exposure. We take a global view of our financial resources and are flexible in making use of resources from one jurisdiction in other jurisdictions.</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Presented in the table below are the currency exchange rates for Australia and New Zealand: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00"/>
        </w:trPr>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rPr>
              <w:t>Foreign Currency / USD</w:t>
            </w: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360" w:type="dxa"/>
            <w:vAlign w:val="bottom"/>
          </w:tcPr>
          <w:p>
            <w:pPr>
              <w:spacing w:after="0"/>
              <w:rPr>
                <w:sz w:val="5"/>
                <w:szCs w:val="5"/>
                <w:color w:val="auto"/>
              </w:rPr>
            </w:pPr>
          </w:p>
        </w:tc>
        <w:tc>
          <w:tcPr>
            <w:tcW w:w="780" w:type="dxa"/>
            <w:vAlign w:val="bottom"/>
          </w:tcPr>
          <w:p>
            <w:pPr>
              <w:jc w:val="center"/>
              <w:ind w:left="317"/>
              <w:spacing w:after="0" w:line="63" w:lineRule="exact"/>
              <w:rPr>
                <w:sz w:val="20"/>
                <w:szCs w:val="20"/>
                <w:color w:val="auto"/>
              </w:rPr>
            </w:pPr>
            <w:r>
              <w:rPr>
                <w:rFonts w:ascii="Arial" w:cs="Arial" w:eastAsia="Arial" w:hAnsi="Arial"/>
                <w:sz w:val="7"/>
                <w:szCs w:val="7"/>
                <w:b w:val="1"/>
                <w:bCs w:val="1"/>
                <w:color w:val="auto"/>
              </w:rPr>
              <w:t>As of and</w:t>
            </w:r>
          </w:p>
        </w:tc>
        <w:tc>
          <w:tcPr>
            <w:tcW w:w="1580" w:type="dxa"/>
            <w:vAlign w:val="bottom"/>
            <w:vMerge w:val="restart"/>
          </w:tcPr>
          <w:p>
            <w:pPr>
              <w:jc w:val="center"/>
              <w:ind w:left="395"/>
              <w:spacing w:after="0"/>
              <w:rPr>
                <w:sz w:val="20"/>
                <w:szCs w:val="20"/>
                <w:color w:val="auto"/>
              </w:rPr>
            </w:pPr>
            <w:r>
              <w:rPr>
                <w:rFonts w:ascii="Arial" w:cs="Arial" w:eastAsia="Arial" w:hAnsi="Arial"/>
                <w:sz w:val="8"/>
                <w:szCs w:val="8"/>
                <w:b w:val="1"/>
                <w:bCs w:val="1"/>
                <w:color w:val="auto"/>
              </w:rPr>
              <w:t>As of and</w:t>
            </w:r>
          </w:p>
        </w:tc>
        <w:tc>
          <w:tcPr>
            <w:tcW w:w="80" w:type="dxa"/>
            <w:vAlign w:val="bottom"/>
          </w:tcPr>
          <w:p>
            <w:pPr>
              <w:spacing w:after="0"/>
              <w:rPr>
                <w:sz w:val="5"/>
                <w:szCs w:val="5"/>
                <w:color w:val="auto"/>
              </w:rPr>
            </w:pPr>
          </w:p>
        </w:tc>
        <w:tc>
          <w:tcPr>
            <w:tcW w:w="1760" w:type="dxa"/>
            <w:vAlign w:val="bottom"/>
            <w:gridSpan w:val="2"/>
          </w:tcPr>
          <w:p>
            <w:pPr>
              <w:jc w:val="center"/>
              <w:spacing w:after="0" w:line="63" w:lineRule="exact"/>
              <w:rPr>
                <w:sz w:val="20"/>
                <w:szCs w:val="20"/>
                <w:color w:val="auto"/>
              </w:rPr>
            </w:pPr>
            <w:r>
              <w:rPr>
                <w:rFonts w:ascii="Arial" w:cs="Arial" w:eastAsia="Arial" w:hAnsi="Arial"/>
                <w:sz w:val="7"/>
                <w:szCs w:val="7"/>
                <w:b w:val="1"/>
                <w:bCs w:val="1"/>
                <w:color w:val="auto"/>
              </w:rPr>
              <w:t>As of and</w:t>
            </w:r>
          </w:p>
        </w:tc>
        <w:tc>
          <w:tcPr>
            <w:tcW w:w="80" w:type="dxa"/>
            <w:vAlign w:val="bottom"/>
          </w:tcPr>
          <w:p>
            <w:pPr>
              <w:spacing w:after="0"/>
              <w:rPr>
                <w:sz w:val="5"/>
                <w:szCs w:val="5"/>
                <w:color w:val="auto"/>
              </w:rPr>
            </w:pPr>
          </w:p>
        </w:tc>
        <w:tc>
          <w:tcPr>
            <w:tcW w:w="780" w:type="dxa"/>
            <w:vAlign w:val="bottom"/>
          </w:tcPr>
          <w:p>
            <w:pPr>
              <w:jc w:val="center"/>
              <w:ind w:left="320"/>
              <w:spacing w:after="0" w:line="63" w:lineRule="exact"/>
              <w:rPr>
                <w:sz w:val="20"/>
                <w:szCs w:val="20"/>
                <w:color w:val="auto"/>
              </w:rPr>
            </w:pPr>
            <w:r>
              <w:rPr>
                <w:rFonts w:ascii="Arial" w:cs="Arial" w:eastAsia="Arial" w:hAnsi="Arial"/>
                <w:sz w:val="7"/>
                <w:szCs w:val="7"/>
                <w:b w:val="1"/>
                <w:bCs w:val="1"/>
                <w:color w:val="auto"/>
              </w:rPr>
              <w:t>As of and</w:t>
            </w:r>
          </w:p>
        </w:tc>
        <w:tc>
          <w:tcPr>
            <w:tcW w:w="1580" w:type="dxa"/>
            <w:vAlign w:val="bottom"/>
            <w:vMerge w:val="restart"/>
          </w:tcPr>
          <w:p>
            <w:pPr>
              <w:jc w:val="center"/>
              <w:ind w:left="395"/>
              <w:spacing w:after="0"/>
              <w:rPr>
                <w:sz w:val="20"/>
                <w:szCs w:val="20"/>
                <w:color w:val="auto"/>
              </w:rPr>
            </w:pPr>
            <w:r>
              <w:rPr>
                <w:rFonts w:ascii="Arial" w:cs="Arial" w:eastAsia="Arial" w:hAnsi="Arial"/>
                <w:sz w:val="8"/>
                <w:szCs w:val="8"/>
                <w:b w:val="1"/>
                <w:bCs w:val="1"/>
                <w:color w:val="auto"/>
              </w:rPr>
              <w:t>As of and</w:t>
            </w:r>
          </w:p>
        </w:tc>
        <w:tc>
          <w:tcPr>
            <w:tcW w:w="0" w:type="dxa"/>
            <w:vAlign w:val="bottom"/>
          </w:tcPr>
          <w:p>
            <w:pPr>
              <w:spacing w:after="0"/>
              <w:rPr>
                <w:sz w:val="1"/>
                <w:szCs w:val="1"/>
                <w:color w:val="auto"/>
              </w:rPr>
            </w:pPr>
          </w:p>
        </w:tc>
      </w:tr>
      <w:tr>
        <w:trPr>
          <w:trHeight w:val="83"/>
        </w:trPr>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780" w:type="dxa"/>
            <w:vAlign w:val="bottom"/>
          </w:tcPr>
          <w:p>
            <w:pPr>
              <w:jc w:val="center"/>
              <w:ind w:left="317"/>
              <w:spacing w:after="0" w:line="83" w:lineRule="exact"/>
              <w:rPr>
                <w:sz w:val="20"/>
                <w:szCs w:val="20"/>
                <w:color w:val="auto"/>
              </w:rPr>
            </w:pPr>
            <w:r>
              <w:rPr>
                <w:rFonts w:ascii="Arial" w:cs="Arial" w:eastAsia="Arial" w:hAnsi="Arial"/>
                <w:sz w:val="8"/>
                <w:szCs w:val="8"/>
                <w:b w:val="1"/>
                <w:bCs w:val="1"/>
                <w:color w:val="auto"/>
              </w:rPr>
              <w:t>​for the</w:t>
            </w:r>
          </w:p>
        </w:tc>
        <w:tc>
          <w:tcPr>
            <w:tcW w:w="1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ind w:left="760"/>
              <w:spacing w:after="0" w:line="83" w:lineRule="exact"/>
              <w:rPr>
                <w:sz w:val="20"/>
                <w:szCs w:val="20"/>
                <w:color w:val="auto"/>
              </w:rPr>
            </w:pPr>
            <w:r>
              <w:rPr>
                <w:rFonts w:ascii="Arial" w:cs="Arial" w:eastAsia="Arial" w:hAnsi="Arial"/>
                <w:sz w:val="8"/>
                <w:szCs w:val="8"/>
                <w:b w:val="1"/>
                <w:bCs w:val="1"/>
                <w:color w:val="auto"/>
                <w:w w:val="74"/>
              </w:rPr>
              <w:t>for​</w:t>
            </w:r>
          </w:p>
        </w:tc>
        <w:tc>
          <w:tcPr>
            <w:tcW w:w="900" w:type="dxa"/>
            <w:vAlign w:val="bottom"/>
          </w:tcPr>
          <w:p>
            <w:pPr>
              <w:ind w:left="20"/>
              <w:spacing w:after="0" w:line="83" w:lineRule="exact"/>
              <w:rPr>
                <w:sz w:val="20"/>
                <w:szCs w:val="20"/>
                <w:color w:val="auto"/>
              </w:rPr>
            </w:pPr>
            <w:r>
              <w:rPr>
                <w:rFonts w:ascii="Arial" w:cs="Arial" w:eastAsia="Arial" w:hAnsi="Arial"/>
                <w:sz w:val="8"/>
                <w:szCs w:val="8"/>
                <w:b w:val="1"/>
                <w:bCs w:val="1"/>
                <w:color w:val="auto"/>
              </w:rPr>
              <w:t>the</w:t>
            </w:r>
          </w:p>
        </w:tc>
        <w:tc>
          <w:tcPr>
            <w:tcW w:w="80" w:type="dxa"/>
            <w:vAlign w:val="bottom"/>
          </w:tcPr>
          <w:p>
            <w:pPr>
              <w:spacing w:after="0"/>
              <w:rPr>
                <w:sz w:val="7"/>
                <w:szCs w:val="7"/>
                <w:color w:val="auto"/>
              </w:rPr>
            </w:pPr>
          </w:p>
        </w:tc>
        <w:tc>
          <w:tcPr>
            <w:tcW w:w="780" w:type="dxa"/>
            <w:vAlign w:val="bottom"/>
          </w:tcPr>
          <w:p>
            <w:pPr>
              <w:jc w:val="center"/>
              <w:ind w:left="320"/>
              <w:spacing w:after="0" w:line="83" w:lineRule="exact"/>
              <w:rPr>
                <w:sz w:val="20"/>
                <w:szCs w:val="20"/>
                <w:color w:val="auto"/>
              </w:rPr>
            </w:pPr>
            <w:r>
              <w:rPr>
                <w:rFonts w:ascii="Arial" w:cs="Arial" w:eastAsia="Arial" w:hAnsi="Arial"/>
                <w:sz w:val="8"/>
                <w:szCs w:val="8"/>
                <w:b w:val="1"/>
                <w:bCs w:val="1"/>
                <w:color w:val="auto"/>
              </w:rPr>
              <w:t>​for the</w:t>
            </w: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780" w:type="dxa"/>
            <w:vAlign w:val="bottom"/>
          </w:tcPr>
          <w:p>
            <w:pPr>
              <w:jc w:val="center"/>
              <w:ind w:left="337"/>
              <w:spacing w:after="0" w:line="83" w:lineRule="exact"/>
              <w:rPr>
                <w:sz w:val="20"/>
                <w:szCs w:val="20"/>
                <w:color w:val="auto"/>
              </w:rPr>
            </w:pPr>
            <w:r>
              <w:rPr>
                <w:rFonts w:ascii="Arial" w:cs="Arial" w:eastAsia="Arial" w:hAnsi="Arial"/>
                <w:sz w:val="8"/>
                <w:szCs w:val="8"/>
                <w:b w:val="1"/>
                <w:bCs w:val="1"/>
                <w:color w:val="auto"/>
              </w:rPr>
              <w:t>​quarter</w:t>
            </w:r>
          </w:p>
        </w:tc>
        <w:tc>
          <w:tcPr>
            <w:tcW w:w="1580" w:type="dxa"/>
            <w:vAlign w:val="bottom"/>
          </w:tcPr>
          <w:p>
            <w:pPr>
              <w:jc w:val="center"/>
              <w:ind w:left="395"/>
              <w:spacing w:after="0" w:line="83" w:lineRule="exact"/>
              <w:rPr>
                <w:sz w:val="20"/>
                <w:szCs w:val="20"/>
                <w:color w:val="auto"/>
              </w:rPr>
            </w:pPr>
            <w:r>
              <w:rPr>
                <w:rFonts w:ascii="Arial" w:cs="Arial" w:eastAsia="Arial" w:hAnsi="Arial"/>
                <w:sz w:val="8"/>
                <w:szCs w:val="8"/>
                <w:b w:val="1"/>
                <w:bCs w:val="1"/>
                <w:color w:val="auto"/>
              </w:rPr>
              <w:t>for the</w:t>
            </w:r>
          </w:p>
        </w:tc>
        <w:tc>
          <w:tcPr>
            <w:tcW w:w="80" w:type="dxa"/>
            <w:vAlign w:val="bottom"/>
          </w:tcPr>
          <w:p>
            <w:pPr>
              <w:spacing w:after="0"/>
              <w:rPr>
                <w:sz w:val="7"/>
                <w:szCs w:val="7"/>
                <w:color w:val="auto"/>
              </w:rPr>
            </w:pPr>
          </w:p>
        </w:tc>
        <w:tc>
          <w:tcPr>
            <w:tcW w:w="860" w:type="dxa"/>
            <w:vAlign w:val="bottom"/>
          </w:tcPr>
          <w:p>
            <w:pPr>
              <w:ind w:left="600"/>
              <w:spacing w:after="0" w:line="83" w:lineRule="exact"/>
              <w:rPr>
                <w:sz w:val="20"/>
                <w:szCs w:val="20"/>
                <w:color w:val="auto"/>
              </w:rPr>
            </w:pPr>
            <w:r>
              <w:rPr>
                <w:rFonts w:ascii="Arial" w:cs="Arial" w:eastAsia="Arial" w:hAnsi="Arial"/>
                <w:sz w:val="8"/>
                <w:szCs w:val="8"/>
                <w:b w:val="1"/>
                <w:bCs w:val="1"/>
                <w:color w:val="auto"/>
                <w:w w:val="97"/>
              </w:rPr>
              <w:t>twelve​</w:t>
            </w:r>
          </w:p>
        </w:tc>
        <w:tc>
          <w:tcPr>
            <w:tcW w:w="900" w:type="dxa"/>
            <w:vAlign w:val="bottom"/>
          </w:tcPr>
          <w:p>
            <w:pPr>
              <w:ind w:left="20"/>
              <w:spacing w:after="0" w:line="83" w:lineRule="exact"/>
              <w:rPr>
                <w:sz w:val="20"/>
                <w:szCs w:val="20"/>
                <w:color w:val="auto"/>
              </w:rPr>
            </w:pPr>
            <w:r>
              <w:rPr>
                <w:rFonts w:ascii="Arial" w:cs="Arial" w:eastAsia="Arial" w:hAnsi="Arial"/>
                <w:sz w:val="8"/>
                <w:szCs w:val="8"/>
                <w:b w:val="1"/>
                <w:bCs w:val="1"/>
                <w:color w:val="auto"/>
              </w:rPr>
              <w:t>months</w:t>
            </w:r>
          </w:p>
        </w:tc>
        <w:tc>
          <w:tcPr>
            <w:tcW w:w="80" w:type="dxa"/>
            <w:vAlign w:val="bottom"/>
          </w:tcPr>
          <w:p>
            <w:pPr>
              <w:spacing w:after="0"/>
              <w:rPr>
                <w:sz w:val="7"/>
                <w:szCs w:val="7"/>
                <w:color w:val="auto"/>
              </w:rPr>
            </w:pPr>
          </w:p>
        </w:tc>
        <w:tc>
          <w:tcPr>
            <w:tcW w:w="780" w:type="dxa"/>
            <w:vAlign w:val="bottom"/>
          </w:tcPr>
          <w:p>
            <w:pPr>
              <w:jc w:val="center"/>
              <w:ind w:left="340"/>
              <w:spacing w:after="0" w:line="83" w:lineRule="exact"/>
              <w:rPr>
                <w:sz w:val="20"/>
                <w:szCs w:val="20"/>
                <w:color w:val="auto"/>
              </w:rPr>
            </w:pPr>
            <w:r>
              <w:rPr>
                <w:rFonts w:ascii="Arial" w:cs="Arial" w:eastAsia="Arial" w:hAnsi="Arial"/>
                <w:sz w:val="8"/>
                <w:szCs w:val="8"/>
                <w:b w:val="1"/>
                <w:bCs w:val="1"/>
                <w:color w:val="auto"/>
              </w:rPr>
              <w:t>​quarter</w:t>
            </w:r>
          </w:p>
        </w:tc>
        <w:tc>
          <w:tcPr>
            <w:tcW w:w="1580" w:type="dxa"/>
            <w:vAlign w:val="bottom"/>
          </w:tcPr>
          <w:p>
            <w:pPr>
              <w:jc w:val="center"/>
              <w:ind w:left="395"/>
              <w:spacing w:after="0" w:line="83" w:lineRule="exact"/>
              <w:rPr>
                <w:sz w:val="20"/>
                <w:szCs w:val="20"/>
                <w:color w:val="auto"/>
              </w:rPr>
            </w:pPr>
            <w:r>
              <w:rPr>
                <w:rFonts w:ascii="Arial" w:cs="Arial" w:eastAsia="Arial" w:hAnsi="Arial"/>
                <w:sz w:val="8"/>
                <w:szCs w:val="8"/>
                <w:b w:val="1"/>
                <w:bCs w:val="1"/>
                <w:color w:val="auto"/>
              </w:rPr>
              <w:t>for the</w:t>
            </w:r>
          </w:p>
        </w:tc>
        <w:tc>
          <w:tcPr>
            <w:tcW w:w="0" w:type="dxa"/>
            <w:vAlign w:val="bottom"/>
          </w:tcPr>
          <w:p>
            <w:pPr>
              <w:spacing w:after="0"/>
              <w:rPr>
                <w:sz w:val="1"/>
                <w:szCs w:val="1"/>
                <w:color w:val="auto"/>
              </w:rPr>
            </w:pPr>
          </w:p>
        </w:tc>
      </w:tr>
      <w:tr>
        <w:trPr>
          <w:trHeight w:val="83"/>
        </w:trPr>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780" w:type="dxa"/>
            <w:vAlign w:val="bottom"/>
          </w:tcPr>
          <w:p>
            <w:pPr>
              <w:jc w:val="center"/>
              <w:ind w:left="337"/>
              <w:spacing w:after="0" w:line="83" w:lineRule="exact"/>
              <w:rPr>
                <w:sz w:val="20"/>
                <w:szCs w:val="20"/>
                <w:color w:val="auto"/>
              </w:rPr>
            </w:pPr>
            <w:r>
              <w:rPr>
                <w:rFonts w:ascii="Arial" w:cs="Arial" w:eastAsia="Arial" w:hAnsi="Arial"/>
                <w:sz w:val="8"/>
                <w:szCs w:val="8"/>
                <w:b w:val="1"/>
                <w:bCs w:val="1"/>
                <w:color w:val="auto"/>
              </w:rPr>
              <w:t>​ended</w:t>
            </w:r>
          </w:p>
        </w:tc>
        <w:tc>
          <w:tcPr>
            <w:tcW w:w="1580" w:type="dxa"/>
            <w:vAlign w:val="bottom"/>
          </w:tcPr>
          <w:p>
            <w:pPr>
              <w:jc w:val="center"/>
              <w:ind w:left="395"/>
              <w:spacing w:after="0" w:line="83" w:lineRule="exact"/>
              <w:rPr>
                <w:sz w:val="20"/>
                <w:szCs w:val="20"/>
                <w:color w:val="auto"/>
              </w:rPr>
            </w:pPr>
            <w:r>
              <w:rPr>
                <w:rFonts w:ascii="Arial" w:cs="Arial" w:eastAsia="Arial" w:hAnsi="Arial"/>
                <w:sz w:val="8"/>
                <w:szCs w:val="8"/>
                <w:b w:val="1"/>
                <w:bCs w:val="1"/>
                <w:color w:val="auto"/>
              </w:rPr>
              <w:t>nine months ended</w:t>
            </w:r>
          </w:p>
        </w:tc>
        <w:tc>
          <w:tcPr>
            <w:tcW w:w="80" w:type="dxa"/>
            <w:vAlign w:val="bottom"/>
          </w:tcPr>
          <w:p>
            <w:pPr>
              <w:spacing w:after="0"/>
              <w:rPr>
                <w:sz w:val="7"/>
                <w:szCs w:val="7"/>
                <w:color w:val="auto"/>
              </w:rPr>
            </w:pPr>
          </w:p>
        </w:tc>
        <w:tc>
          <w:tcPr>
            <w:tcW w:w="1760" w:type="dxa"/>
            <w:vAlign w:val="bottom"/>
            <w:gridSpan w:val="2"/>
          </w:tcPr>
          <w:p>
            <w:pPr>
              <w:jc w:val="center"/>
              <w:spacing w:after="0" w:line="83" w:lineRule="exact"/>
              <w:rPr>
                <w:sz w:val="20"/>
                <w:szCs w:val="20"/>
                <w:color w:val="auto"/>
              </w:rPr>
            </w:pPr>
            <w:r>
              <w:rPr>
                <w:rFonts w:ascii="Arial" w:cs="Arial" w:eastAsia="Arial" w:hAnsi="Arial"/>
                <w:sz w:val="8"/>
                <w:szCs w:val="8"/>
                <w:b w:val="1"/>
                <w:bCs w:val="1"/>
                <w:color w:val="auto"/>
              </w:rPr>
              <w:t>ended​</w:t>
            </w:r>
          </w:p>
        </w:tc>
        <w:tc>
          <w:tcPr>
            <w:tcW w:w="80" w:type="dxa"/>
            <w:vAlign w:val="bottom"/>
          </w:tcPr>
          <w:p>
            <w:pPr>
              <w:spacing w:after="0"/>
              <w:rPr>
                <w:sz w:val="7"/>
                <w:szCs w:val="7"/>
                <w:color w:val="auto"/>
              </w:rPr>
            </w:pPr>
          </w:p>
        </w:tc>
        <w:tc>
          <w:tcPr>
            <w:tcW w:w="780" w:type="dxa"/>
            <w:vAlign w:val="bottom"/>
          </w:tcPr>
          <w:p>
            <w:pPr>
              <w:jc w:val="center"/>
              <w:ind w:left="340"/>
              <w:spacing w:after="0" w:line="83" w:lineRule="exact"/>
              <w:rPr>
                <w:sz w:val="20"/>
                <w:szCs w:val="20"/>
                <w:color w:val="auto"/>
              </w:rPr>
            </w:pPr>
            <w:r>
              <w:rPr>
                <w:rFonts w:ascii="Arial" w:cs="Arial" w:eastAsia="Arial" w:hAnsi="Arial"/>
                <w:sz w:val="8"/>
                <w:szCs w:val="8"/>
                <w:b w:val="1"/>
                <w:bCs w:val="1"/>
                <w:color w:val="auto"/>
              </w:rPr>
              <w:t>​ended</w:t>
            </w:r>
          </w:p>
        </w:tc>
        <w:tc>
          <w:tcPr>
            <w:tcW w:w="1580" w:type="dxa"/>
            <w:vAlign w:val="bottom"/>
          </w:tcPr>
          <w:p>
            <w:pPr>
              <w:jc w:val="center"/>
              <w:ind w:left="415"/>
              <w:spacing w:after="0" w:line="83" w:lineRule="exact"/>
              <w:rPr>
                <w:sz w:val="20"/>
                <w:szCs w:val="20"/>
                <w:color w:val="auto"/>
              </w:rPr>
            </w:pPr>
            <w:r>
              <w:rPr>
                <w:rFonts w:ascii="Arial" w:cs="Arial" w:eastAsia="Arial" w:hAnsi="Arial"/>
                <w:sz w:val="8"/>
                <w:szCs w:val="8"/>
                <w:b w:val="1"/>
                <w:bCs w:val="1"/>
                <w:color w:val="auto"/>
              </w:rPr>
              <w:t>nine months ended</w:t>
            </w:r>
          </w:p>
        </w:tc>
        <w:tc>
          <w:tcPr>
            <w:tcW w:w="0" w:type="dxa"/>
            <w:vAlign w:val="bottom"/>
          </w:tcPr>
          <w:p>
            <w:pPr>
              <w:spacing w:after="0"/>
              <w:rPr>
                <w:sz w:val="1"/>
                <w:szCs w:val="1"/>
                <w:color w:val="auto"/>
              </w:rPr>
            </w:pPr>
          </w:p>
        </w:tc>
      </w:tr>
      <w:tr>
        <w:trPr>
          <w:trHeight w:val="98"/>
        </w:trPr>
        <w:tc>
          <w:tcPr>
            <w:tcW w:w="44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336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center"/>
              <w:ind w:right="735"/>
              <w:spacing w:after="0"/>
              <w:rPr>
                <w:sz w:val="20"/>
                <w:szCs w:val="20"/>
                <w:color w:val="auto"/>
              </w:rPr>
            </w:pPr>
            <w:r>
              <w:rPr>
                <w:rFonts w:ascii="Arial" w:cs="Arial" w:eastAsia="Arial" w:hAnsi="Arial"/>
                <w:sz w:val="8"/>
                <w:szCs w:val="8"/>
                <w:b w:val="1"/>
                <w:bCs w:val="1"/>
                <w:color w:val="auto"/>
              </w:rPr>
              <w:t>September 30, 2023</w:t>
            </w:r>
          </w:p>
        </w:tc>
        <w:tc>
          <w:tcPr>
            <w:tcW w:w="80" w:type="dxa"/>
            <w:vAlign w:val="bottom"/>
            <w:tcBorders>
              <w:bottom w:val="single" w:sz="8" w:color="CCEEFF"/>
            </w:tcBorders>
          </w:tcPr>
          <w:p>
            <w:pPr>
              <w:spacing w:after="0"/>
              <w:rPr>
                <w:sz w:val="8"/>
                <w:szCs w:val="8"/>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rPr>
              <w:t>December 31, 2022</w:t>
            </w:r>
          </w:p>
        </w:tc>
        <w:tc>
          <w:tcPr>
            <w:tcW w:w="8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center"/>
              <w:ind w:right="735"/>
              <w:spacing w:after="0"/>
              <w:rPr>
                <w:sz w:val="20"/>
                <w:szCs w:val="20"/>
                <w:color w:val="auto"/>
              </w:rPr>
            </w:pPr>
            <w:r>
              <w:rPr>
                <w:rFonts w:ascii="Arial" w:cs="Arial" w:eastAsia="Arial" w:hAnsi="Arial"/>
                <w:sz w:val="8"/>
                <w:szCs w:val="8"/>
                <w:b w:val="1"/>
                <w:bCs w:val="1"/>
                <w:color w:val="auto"/>
              </w:rPr>
              <w:t>September 30, 2022</w:t>
            </w:r>
          </w:p>
        </w:tc>
        <w:tc>
          <w:tcPr>
            <w:tcW w:w="0" w:type="dxa"/>
            <w:vAlign w:val="bottom"/>
          </w:tcPr>
          <w:p>
            <w:pPr>
              <w:spacing w:after="0"/>
              <w:rPr>
                <w:sz w:val="1"/>
                <w:szCs w:val="1"/>
                <w:color w:val="auto"/>
              </w:rPr>
            </w:pPr>
          </w:p>
        </w:tc>
      </w:tr>
      <w:tr>
        <w:trPr>
          <w:trHeight w:val="93"/>
        </w:trPr>
        <w:tc>
          <w:tcPr>
            <w:tcW w:w="3980" w:type="dxa"/>
            <w:vAlign w:val="bottom"/>
            <w:gridSpan w:val="3"/>
            <w:shd w:val="clear" w:color="auto" w:fill="CCEEFF"/>
          </w:tcPr>
          <w:p>
            <w:pPr>
              <w:spacing w:after="0" w:line="93" w:lineRule="exact"/>
              <w:rPr>
                <w:sz w:val="20"/>
                <w:szCs w:val="20"/>
                <w:color w:val="auto"/>
              </w:rPr>
            </w:pPr>
            <w:r>
              <w:rPr>
                <w:rFonts w:ascii="Arial" w:cs="Arial" w:eastAsia="Arial" w:hAnsi="Arial"/>
                <w:sz w:val="10"/>
                <w:szCs w:val="10"/>
                <w:b w:val="1"/>
                <w:bCs w:val="1"/>
                <w:color w:val="auto"/>
              </w:rPr>
              <w:t>Spot Rate</w:t>
            </w:r>
          </w:p>
        </w:tc>
        <w:tc>
          <w:tcPr>
            <w:tcW w:w="78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3980" w:type="dxa"/>
            <w:vAlign w:val="bottom"/>
            <w:gridSpan w:val="3"/>
          </w:tcPr>
          <w:p>
            <w:pPr>
              <w:spacing w:after="0" w:line="93" w:lineRule="exact"/>
              <w:rPr>
                <w:sz w:val="20"/>
                <w:szCs w:val="20"/>
                <w:color w:val="auto"/>
              </w:rPr>
            </w:pPr>
            <w:r>
              <w:rPr>
                <w:rFonts w:ascii="Arial" w:cs="Arial" w:eastAsia="Arial" w:hAnsi="Arial"/>
                <w:sz w:val="10"/>
                <w:szCs w:val="10"/>
                <w:color w:val="auto"/>
              </w:rPr>
              <w:t>Australian Dollar</w:t>
            </w:r>
          </w:p>
        </w:tc>
        <w:tc>
          <w:tcPr>
            <w:tcW w:w="780" w:type="dxa"/>
            <w:vAlign w:val="bottom"/>
          </w:tcPr>
          <w:p>
            <w:pPr>
              <w:spacing w:after="0"/>
              <w:rPr>
                <w:sz w:val="8"/>
                <w:szCs w:val="8"/>
                <w:color w:val="auto"/>
              </w:rPr>
            </w:pPr>
          </w:p>
        </w:tc>
        <w:tc>
          <w:tcPr>
            <w:tcW w:w="1580" w:type="dxa"/>
            <w:vAlign w:val="bottom"/>
          </w:tcPr>
          <w:p>
            <w:pPr>
              <w:jc w:val="center"/>
              <w:ind w:right="715"/>
              <w:spacing w:after="0" w:line="93" w:lineRule="exact"/>
              <w:rPr>
                <w:sz w:val="20"/>
                <w:szCs w:val="20"/>
                <w:color w:val="auto"/>
              </w:rPr>
            </w:pPr>
            <w:r>
              <w:rPr>
                <w:rFonts w:ascii="Arial" w:cs="Arial" w:eastAsia="Arial" w:hAnsi="Arial"/>
                <w:sz w:val="10"/>
                <w:szCs w:val="10"/>
                <w:color w:val="auto"/>
                <w:w w:val="97"/>
              </w:rPr>
              <w:t>0.6451</w:t>
            </w:r>
          </w:p>
        </w:tc>
        <w:tc>
          <w:tcPr>
            <w:tcW w:w="1840" w:type="dxa"/>
            <w:vAlign w:val="bottom"/>
            <w:gridSpan w:val="3"/>
          </w:tcPr>
          <w:p>
            <w:pPr>
              <w:jc w:val="center"/>
              <w:ind w:left="51"/>
              <w:spacing w:after="0" w:line="93" w:lineRule="exact"/>
              <w:rPr>
                <w:sz w:val="20"/>
                <w:szCs w:val="20"/>
                <w:color w:val="auto"/>
              </w:rPr>
            </w:pPr>
            <w:r>
              <w:rPr>
                <w:rFonts w:ascii="Arial" w:cs="Arial" w:eastAsia="Arial" w:hAnsi="Arial"/>
                <w:sz w:val="10"/>
                <w:szCs w:val="10"/>
                <w:color w:val="auto"/>
                <w:w w:val="97"/>
              </w:rPr>
              <w:t>0.6805</w:t>
            </w: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jc w:val="center"/>
              <w:ind w:right="715"/>
              <w:spacing w:after="0" w:line="93" w:lineRule="exact"/>
              <w:rPr>
                <w:sz w:val="20"/>
                <w:szCs w:val="20"/>
                <w:color w:val="auto"/>
              </w:rPr>
            </w:pPr>
            <w:r>
              <w:rPr>
                <w:rFonts w:ascii="Arial" w:cs="Arial" w:eastAsia="Arial" w:hAnsi="Arial"/>
                <w:sz w:val="10"/>
                <w:szCs w:val="10"/>
                <w:color w:val="auto"/>
                <w:w w:val="97"/>
              </w:rPr>
              <w:t>0.6437</w:t>
            </w:r>
          </w:p>
        </w:tc>
        <w:tc>
          <w:tcPr>
            <w:tcW w:w="0" w:type="dxa"/>
            <w:vAlign w:val="bottom"/>
          </w:tcPr>
          <w:p>
            <w:pPr>
              <w:spacing w:after="0"/>
              <w:rPr>
                <w:sz w:val="1"/>
                <w:szCs w:val="1"/>
                <w:color w:val="auto"/>
              </w:rPr>
            </w:pPr>
          </w:p>
        </w:tc>
      </w:tr>
      <w:tr>
        <w:trPr>
          <w:trHeight w:val="105"/>
        </w:trPr>
        <w:tc>
          <w:tcPr>
            <w:tcW w:w="3980" w:type="dxa"/>
            <w:vAlign w:val="bottom"/>
            <w:gridSpan w:val="3"/>
            <w:shd w:val="clear" w:color="auto" w:fill="CCEEFF"/>
          </w:tcPr>
          <w:p>
            <w:pPr>
              <w:spacing w:after="0" w:line="105" w:lineRule="exact"/>
              <w:rPr>
                <w:sz w:val="20"/>
                <w:szCs w:val="20"/>
                <w:color w:val="auto"/>
              </w:rPr>
            </w:pPr>
            <w:r>
              <w:rPr>
                <w:rFonts w:ascii="Arial" w:cs="Arial" w:eastAsia="Arial" w:hAnsi="Arial"/>
                <w:sz w:val="10"/>
                <w:szCs w:val="10"/>
                <w:color w:val="auto"/>
              </w:rPr>
              <w:t>New Zealand Dollar</w:t>
            </w:r>
          </w:p>
        </w:tc>
        <w:tc>
          <w:tcPr>
            <w:tcW w:w="780" w:type="dxa"/>
            <w:vAlign w:val="bottom"/>
            <w:shd w:val="clear" w:color="auto" w:fill="CCEEFF"/>
          </w:tcPr>
          <w:p>
            <w:pPr>
              <w:spacing w:after="0"/>
              <w:rPr>
                <w:sz w:val="9"/>
                <w:szCs w:val="9"/>
                <w:color w:val="auto"/>
              </w:rPr>
            </w:pPr>
          </w:p>
        </w:tc>
        <w:tc>
          <w:tcPr>
            <w:tcW w:w="1580" w:type="dxa"/>
            <w:vAlign w:val="bottom"/>
            <w:shd w:val="clear" w:color="auto" w:fill="CCEEFF"/>
          </w:tcPr>
          <w:p>
            <w:pPr>
              <w:jc w:val="center"/>
              <w:ind w:right="715"/>
              <w:spacing w:after="0" w:line="105" w:lineRule="exact"/>
              <w:rPr>
                <w:sz w:val="20"/>
                <w:szCs w:val="20"/>
                <w:color w:val="auto"/>
              </w:rPr>
            </w:pPr>
            <w:r>
              <w:rPr>
                <w:rFonts w:ascii="Arial" w:cs="Arial" w:eastAsia="Arial" w:hAnsi="Arial"/>
                <w:sz w:val="10"/>
                <w:szCs w:val="10"/>
                <w:color w:val="auto"/>
                <w:w w:val="97"/>
              </w:rPr>
              <w:t>0.6013</w:t>
            </w:r>
          </w:p>
        </w:tc>
        <w:tc>
          <w:tcPr>
            <w:tcW w:w="1840" w:type="dxa"/>
            <w:vAlign w:val="bottom"/>
            <w:gridSpan w:val="3"/>
            <w:shd w:val="clear" w:color="auto" w:fill="CCEEFF"/>
          </w:tcPr>
          <w:p>
            <w:pPr>
              <w:jc w:val="center"/>
              <w:ind w:left="51"/>
              <w:spacing w:after="0" w:line="105" w:lineRule="exact"/>
              <w:rPr>
                <w:sz w:val="20"/>
                <w:szCs w:val="20"/>
                <w:color w:val="auto"/>
              </w:rPr>
            </w:pPr>
            <w:r>
              <w:rPr>
                <w:rFonts w:ascii="Arial" w:cs="Arial" w:eastAsia="Arial" w:hAnsi="Arial"/>
                <w:sz w:val="10"/>
                <w:szCs w:val="10"/>
                <w:color w:val="auto"/>
                <w:w w:val="97"/>
              </w:rPr>
              <w:t>0.6342</w:t>
            </w: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580" w:type="dxa"/>
            <w:vAlign w:val="bottom"/>
            <w:shd w:val="clear" w:color="auto" w:fill="CCEEFF"/>
          </w:tcPr>
          <w:p>
            <w:pPr>
              <w:jc w:val="center"/>
              <w:ind w:right="715"/>
              <w:spacing w:after="0" w:line="105" w:lineRule="exact"/>
              <w:rPr>
                <w:sz w:val="20"/>
                <w:szCs w:val="20"/>
                <w:color w:val="auto"/>
              </w:rPr>
            </w:pPr>
            <w:r>
              <w:rPr>
                <w:rFonts w:ascii="Arial" w:cs="Arial" w:eastAsia="Arial" w:hAnsi="Arial"/>
                <w:sz w:val="10"/>
                <w:szCs w:val="10"/>
                <w:color w:val="auto"/>
                <w:w w:val="97"/>
              </w:rPr>
              <w:t>0.5642</w:t>
            </w:r>
          </w:p>
        </w:tc>
        <w:tc>
          <w:tcPr>
            <w:tcW w:w="0" w:type="dxa"/>
            <w:vAlign w:val="bottom"/>
          </w:tcPr>
          <w:p>
            <w:pPr>
              <w:spacing w:after="0"/>
              <w:rPr>
                <w:sz w:val="1"/>
                <w:szCs w:val="1"/>
                <w:color w:val="auto"/>
              </w:rPr>
            </w:pPr>
          </w:p>
        </w:tc>
      </w:tr>
      <w:tr>
        <w:trPr>
          <w:trHeight w:val="98"/>
        </w:trPr>
        <w:tc>
          <w:tcPr>
            <w:tcW w:w="62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b w:val="1"/>
                <w:bCs w:val="1"/>
                <w:color w:val="auto"/>
                <w:w w:val="93"/>
              </w:rPr>
              <w:t>Average Rate</w:t>
            </w:r>
          </w:p>
        </w:tc>
        <w:tc>
          <w:tcPr>
            <w:tcW w:w="3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980" w:type="dxa"/>
            <w:vAlign w:val="bottom"/>
            <w:gridSpan w:val="3"/>
            <w:shd w:val="clear" w:color="auto" w:fill="CCEEFF"/>
          </w:tcPr>
          <w:p>
            <w:pPr>
              <w:spacing w:after="0" w:line="93" w:lineRule="exact"/>
              <w:rPr>
                <w:sz w:val="20"/>
                <w:szCs w:val="20"/>
                <w:color w:val="auto"/>
              </w:rPr>
            </w:pPr>
            <w:r>
              <w:rPr>
                <w:rFonts w:ascii="Arial" w:cs="Arial" w:eastAsia="Arial" w:hAnsi="Arial"/>
                <w:sz w:val="10"/>
                <w:szCs w:val="10"/>
                <w:color w:val="auto"/>
              </w:rPr>
              <w:t>Australian Dollar</w:t>
            </w:r>
          </w:p>
        </w:tc>
        <w:tc>
          <w:tcPr>
            <w:tcW w:w="780" w:type="dxa"/>
            <w:vAlign w:val="bottom"/>
            <w:shd w:val="clear" w:color="auto" w:fill="CCEEFF"/>
          </w:tcPr>
          <w:p>
            <w:pPr>
              <w:jc w:val="center"/>
              <w:ind w:left="317"/>
              <w:spacing w:after="0" w:line="93" w:lineRule="exact"/>
              <w:rPr>
                <w:sz w:val="20"/>
                <w:szCs w:val="20"/>
                <w:color w:val="auto"/>
              </w:rPr>
            </w:pPr>
            <w:r>
              <w:rPr>
                <w:rFonts w:ascii="Arial" w:cs="Arial" w:eastAsia="Arial" w:hAnsi="Arial"/>
                <w:sz w:val="10"/>
                <w:szCs w:val="10"/>
                <w:color w:val="auto"/>
                <w:w w:val="97"/>
              </w:rPr>
              <w:t>0.6551</w:t>
            </w:r>
          </w:p>
        </w:tc>
        <w:tc>
          <w:tcPr>
            <w:tcW w:w="1580" w:type="dxa"/>
            <w:vAlign w:val="bottom"/>
            <w:shd w:val="clear" w:color="auto" w:fill="CCEEFF"/>
          </w:tcPr>
          <w:p>
            <w:pPr>
              <w:jc w:val="center"/>
              <w:ind w:left="395"/>
              <w:spacing w:after="0" w:line="93" w:lineRule="exact"/>
              <w:rPr>
                <w:sz w:val="20"/>
                <w:szCs w:val="20"/>
                <w:color w:val="auto"/>
              </w:rPr>
            </w:pPr>
            <w:r>
              <w:rPr>
                <w:rFonts w:ascii="Arial" w:cs="Arial" w:eastAsia="Arial" w:hAnsi="Arial"/>
                <w:sz w:val="10"/>
                <w:szCs w:val="10"/>
                <w:color w:val="auto"/>
                <w:w w:val="97"/>
              </w:rPr>
              <w:t>0.6691</w:t>
            </w:r>
          </w:p>
        </w:tc>
        <w:tc>
          <w:tcPr>
            <w:tcW w:w="1840" w:type="dxa"/>
            <w:vAlign w:val="bottom"/>
            <w:gridSpan w:val="3"/>
            <w:shd w:val="clear" w:color="auto" w:fill="CCEEFF"/>
          </w:tcPr>
          <w:p>
            <w:pPr>
              <w:jc w:val="center"/>
              <w:ind w:left="51"/>
              <w:spacing w:after="0" w:line="93" w:lineRule="exact"/>
              <w:rPr>
                <w:sz w:val="20"/>
                <w:szCs w:val="20"/>
                <w:color w:val="auto"/>
              </w:rPr>
            </w:pPr>
            <w:r>
              <w:rPr>
                <w:rFonts w:ascii="Arial" w:cs="Arial" w:eastAsia="Arial" w:hAnsi="Arial"/>
                <w:sz w:val="10"/>
                <w:szCs w:val="10"/>
                <w:color w:val="auto"/>
                <w:w w:val="97"/>
              </w:rPr>
              <w:t>0.6946</w:t>
            </w:r>
          </w:p>
        </w:tc>
        <w:tc>
          <w:tcPr>
            <w:tcW w:w="860" w:type="dxa"/>
            <w:vAlign w:val="bottom"/>
            <w:gridSpan w:val="2"/>
            <w:shd w:val="clear" w:color="auto" w:fill="CCEEFF"/>
          </w:tcPr>
          <w:p>
            <w:pPr>
              <w:jc w:val="center"/>
              <w:ind w:left="391"/>
              <w:spacing w:after="0" w:line="93" w:lineRule="exact"/>
              <w:rPr>
                <w:sz w:val="20"/>
                <w:szCs w:val="20"/>
                <w:color w:val="auto"/>
              </w:rPr>
            </w:pPr>
            <w:r>
              <w:rPr>
                <w:rFonts w:ascii="Arial" w:cs="Arial" w:eastAsia="Arial" w:hAnsi="Arial"/>
                <w:sz w:val="10"/>
                <w:szCs w:val="10"/>
                <w:color w:val="auto"/>
                <w:w w:val="97"/>
              </w:rPr>
              <w:t>0.6829</w:t>
            </w:r>
          </w:p>
        </w:tc>
        <w:tc>
          <w:tcPr>
            <w:tcW w:w="158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0.7071</w:t>
            </w:r>
          </w:p>
        </w:tc>
        <w:tc>
          <w:tcPr>
            <w:tcW w:w="0" w:type="dxa"/>
            <w:vAlign w:val="bottom"/>
          </w:tcPr>
          <w:p>
            <w:pPr>
              <w:spacing w:after="0"/>
              <w:rPr>
                <w:sz w:val="1"/>
                <w:szCs w:val="1"/>
                <w:color w:val="auto"/>
              </w:rPr>
            </w:pPr>
          </w:p>
        </w:tc>
      </w:tr>
      <w:tr>
        <w:trPr>
          <w:trHeight w:val="122"/>
        </w:trPr>
        <w:tc>
          <w:tcPr>
            <w:tcW w:w="3980" w:type="dxa"/>
            <w:vAlign w:val="bottom"/>
            <w:gridSpan w:val="3"/>
          </w:tcPr>
          <w:p>
            <w:pPr>
              <w:spacing w:after="0"/>
              <w:rPr>
                <w:sz w:val="20"/>
                <w:szCs w:val="20"/>
                <w:color w:val="auto"/>
              </w:rPr>
            </w:pPr>
            <w:r>
              <w:rPr>
                <w:rFonts w:ascii="Arial" w:cs="Arial" w:eastAsia="Arial" w:hAnsi="Arial"/>
                <w:sz w:val="10"/>
                <w:szCs w:val="10"/>
                <w:color w:val="auto"/>
              </w:rPr>
              <w:t>New Zealand Dollar</w:t>
            </w:r>
          </w:p>
        </w:tc>
        <w:tc>
          <w:tcPr>
            <w:tcW w:w="780" w:type="dxa"/>
            <w:vAlign w:val="bottom"/>
          </w:tcPr>
          <w:p>
            <w:pPr>
              <w:jc w:val="center"/>
              <w:ind w:left="317"/>
              <w:spacing w:after="0"/>
              <w:rPr>
                <w:sz w:val="20"/>
                <w:szCs w:val="20"/>
                <w:color w:val="auto"/>
              </w:rPr>
            </w:pPr>
            <w:r>
              <w:rPr>
                <w:rFonts w:ascii="Arial" w:cs="Arial" w:eastAsia="Arial" w:hAnsi="Arial"/>
                <w:sz w:val="10"/>
                <w:szCs w:val="10"/>
                <w:color w:val="auto"/>
                <w:w w:val="97"/>
              </w:rPr>
              <w:t>0.6053</w:t>
            </w:r>
          </w:p>
        </w:tc>
        <w:tc>
          <w:tcPr>
            <w:tcW w:w="1580" w:type="dxa"/>
            <w:vAlign w:val="bottom"/>
          </w:tcPr>
          <w:p>
            <w:pPr>
              <w:jc w:val="center"/>
              <w:ind w:left="395"/>
              <w:spacing w:after="0"/>
              <w:rPr>
                <w:sz w:val="20"/>
                <w:szCs w:val="20"/>
                <w:color w:val="auto"/>
              </w:rPr>
            </w:pPr>
            <w:r>
              <w:rPr>
                <w:rFonts w:ascii="Arial" w:cs="Arial" w:eastAsia="Arial" w:hAnsi="Arial"/>
                <w:sz w:val="10"/>
                <w:szCs w:val="10"/>
                <w:color w:val="auto"/>
                <w:w w:val="97"/>
              </w:rPr>
              <w:t>0.6179</w:t>
            </w:r>
          </w:p>
        </w:tc>
        <w:tc>
          <w:tcPr>
            <w:tcW w:w="1840" w:type="dxa"/>
            <w:vAlign w:val="bottom"/>
            <w:gridSpan w:val="3"/>
          </w:tcPr>
          <w:p>
            <w:pPr>
              <w:jc w:val="center"/>
              <w:ind w:left="51"/>
              <w:spacing w:after="0"/>
              <w:rPr>
                <w:sz w:val="20"/>
                <w:szCs w:val="20"/>
                <w:color w:val="auto"/>
              </w:rPr>
            </w:pPr>
            <w:r>
              <w:rPr>
                <w:rFonts w:ascii="Arial" w:cs="Arial" w:eastAsia="Arial" w:hAnsi="Arial"/>
                <w:sz w:val="10"/>
                <w:szCs w:val="10"/>
                <w:color w:val="auto"/>
                <w:w w:val="97"/>
              </w:rPr>
              <w:t>0.6357</w:t>
            </w:r>
          </w:p>
        </w:tc>
        <w:tc>
          <w:tcPr>
            <w:tcW w:w="860" w:type="dxa"/>
            <w:vAlign w:val="bottom"/>
            <w:gridSpan w:val="2"/>
          </w:tcPr>
          <w:p>
            <w:pPr>
              <w:jc w:val="center"/>
              <w:ind w:left="391"/>
              <w:spacing w:after="0"/>
              <w:rPr>
                <w:sz w:val="20"/>
                <w:szCs w:val="20"/>
                <w:color w:val="auto"/>
              </w:rPr>
            </w:pPr>
            <w:r>
              <w:rPr>
                <w:rFonts w:ascii="Arial" w:cs="Arial" w:eastAsia="Arial" w:hAnsi="Arial"/>
                <w:sz w:val="10"/>
                <w:szCs w:val="10"/>
                <w:color w:val="auto"/>
                <w:w w:val="97"/>
              </w:rPr>
              <w:t>0.6127</w:t>
            </w:r>
          </w:p>
        </w:tc>
        <w:tc>
          <w:tcPr>
            <w:tcW w:w="1580" w:type="dxa"/>
            <w:vAlign w:val="bottom"/>
          </w:tcPr>
          <w:p>
            <w:pPr>
              <w:jc w:val="right"/>
              <w:spacing w:after="0"/>
              <w:rPr>
                <w:sz w:val="20"/>
                <w:szCs w:val="20"/>
                <w:color w:val="auto"/>
              </w:rPr>
            </w:pPr>
            <w:r>
              <w:rPr>
                <w:rFonts w:ascii="Arial" w:cs="Arial" w:eastAsia="Arial" w:hAnsi="Arial"/>
                <w:sz w:val="10"/>
                <w:szCs w:val="10"/>
                <w:color w:val="auto"/>
              </w:rPr>
              <w:t>0.6463</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5 – Earnings Per Share</w:t>
      </w:r>
    </w:p>
    <w:p>
      <w:pPr>
        <w:spacing w:after="0" w:line="101" w:lineRule="exact"/>
        <w:rPr>
          <w:sz w:val="20"/>
          <w:szCs w:val="20"/>
          <w:color w:val="auto"/>
        </w:rPr>
      </w:pPr>
    </w:p>
    <w:p>
      <w:pPr>
        <w:ind w:right="380"/>
        <w:spacing w:after="0" w:line="287" w:lineRule="auto"/>
        <w:rPr>
          <w:sz w:val="20"/>
          <w:szCs w:val="20"/>
          <w:color w:val="auto"/>
        </w:rPr>
      </w:pPr>
      <w:r>
        <w:rPr>
          <w:rFonts w:ascii="Arial" w:cs="Arial" w:eastAsia="Arial" w:hAnsi="Arial"/>
          <w:sz w:val="9"/>
          <w:szCs w:val="9"/>
          <w:color w:val="auto"/>
        </w:rPr>
        <w:t>Basic earnings per share (“EPS”) is calculated by dividing the net income attributable to our Company by the weighted average number of common shares outstanding during the period. Diluted EPS is calculated by dividing the net income attributable to our Company by the weighted average number of common and common equivalent shares outstanding during the period and is calculated using the treasury stock method for equity-based compensation awards.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6" w:right="640" w:bottom="1440" w:gutter="0" w:footer="0" w:header="0"/>
        </w:sectPr>
      </w:pPr>
    </w:p>
    <w:bookmarkStart w:id="10" w:name="page11"/>
    <w:bookmarkEnd w:id="10"/>
    <w:p>
      <w:pPr>
        <w:spacing w:after="0"/>
        <w:rPr>
          <w:sz w:val="20"/>
          <w:szCs w:val="20"/>
          <w:color w:val="auto"/>
        </w:rPr>
      </w:pPr>
      <w:r>
        <w:rPr>
          <w:rFonts w:ascii="Arial" w:cs="Arial" w:eastAsia="Arial" w:hAnsi="Arial"/>
          <w:sz w:val="10"/>
          <w:szCs w:val="10"/>
          <w:color w:val="auto"/>
        </w:rPr>
        <w:t>The following table sets forth the computation of basic and diluted EPS and a reconciliation of the weighted average number of common and common equivalent shares outstanding: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gridSpan w:val="3"/>
          </w:tcPr>
          <w:p>
            <w:pPr>
              <w:jc w:val="right"/>
              <w:ind w:right="153"/>
              <w:spacing w:after="0"/>
              <w:rPr>
                <w:sz w:val="20"/>
                <w:szCs w:val="20"/>
                <w:color w:val="auto"/>
              </w:rPr>
            </w:pPr>
            <w:r>
              <w:rPr>
                <w:rFonts w:ascii="Arial" w:cs="Arial" w:eastAsia="Arial" w:hAnsi="Arial"/>
                <w:sz w:val="8"/>
                <w:szCs w:val="8"/>
                <w:b w:val="1"/>
                <w:bCs w:val="1"/>
                <w:color w:val="auto"/>
              </w:rPr>
              <w:t>Quarter Ended</w:t>
            </w: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gridSpan w:val="3"/>
          </w:tcPr>
          <w:p>
            <w:pPr>
              <w:jc w:val="right"/>
              <w:ind w:right="116"/>
              <w:spacing w:after="0"/>
              <w:rPr>
                <w:sz w:val="20"/>
                <w:szCs w:val="20"/>
                <w:color w:val="auto"/>
              </w:rPr>
            </w:pPr>
            <w:r>
              <w:rPr>
                <w:rFonts w:ascii="Arial" w:cs="Arial" w:eastAsia="Arial" w:hAnsi="Arial"/>
                <w:sz w:val="8"/>
                <w:szCs w:val="8"/>
                <w:b w:val="1"/>
                <w:bCs w:val="1"/>
                <w:color w:val="auto"/>
              </w:rPr>
              <w:t>Nine Months Ended</w:t>
            </w: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92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 except share data)</w:t>
            </w:r>
          </w:p>
        </w:tc>
        <w:tc>
          <w:tcPr>
            <w:tcW w:w="3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8"/>
                <w:szCs w:val="8"/>
                <w:b w:val="1"/>
                <w:bCs w:val="1"/>
                <w:color w:val="auto"/>
              </w:rPr>
              <w:t>September 30,</w:t>
            </w:r>
          </w:p>
        </w:tc>
        <w:tc>
          <w:tcPr>
            <w:tcW w:w="9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8"/>
                <w:szCs w:val="8"/>
                <w:b w:val="1"/>
                <w:bCs w:val="1"/>
                <w:color w:val="auto"/>
              </w:rPr>
              <w:t>September 30,</w:t>
            </w: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9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jc w:val="right"/>
              <w:ind w:right="494"/>
              <w:spacing w:after="0" w:line="78" w:lineRule="exact"/>
              <w:rPr>
                <w:sz w:val="20"/>
                <w:szCs w:val="20"/>
                <w:color w:val="auto"/>
              </w:rPr>
            </w:pPr>
            <w:r>
              <w:rPr>
                <w:rFonts w:ascii="Arial" w:cs="Arial" w:eastAsia="Arial" w:hAnsi="Arial"/>
                <w:sz w:val="8"/>
                <w:szCs w:val="8"/>
                <w:b w:val="1"/>
                <w:bCs w:val="1"/>
                <w:color w:val="auto"/>
              </w:rPr>
              <w:t>2023</w:t>
            </w: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tcPr>
          <w:p>
            <w:pPr>
              <w:jc w:val="right"/>
              <w:ind w:right="493"/>
              <w:spacing w:after="0" w:line="78" w:lineRule="exact"/>
              <w:rPr>
                <w:sz w:val="20"/>
                <w:szCs w:val="20"/>
                <w:color w:val="auto"/>
              </w:rPr>
            </w:pPr>
            <w:r>
              <w:rPr>
                <w:rFonts w:ascii="Arial" w:cs="Arial" w:eastAsia="Arial" w:hAnsi="Arial"/>
                <w:sz w:val="8"/>
                <w:szCs w:val="8"/>
                <w:b w:val="1"/>
                <w:bCs w:val="1"/>
                <w:color w:val="auto"/>
              </w:rPr>
              <w:t>2022</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jc w:val="right"/>
              <w:ind w:right="494"/>
              <w:spacing w:after="0" w:line="78" w:lineRule="exact"/>
              <w:rPr>
                <w:sz w:val="20"/>
                <w:szCs w:val="20"/>
                <w:color w:val="auto"/>
              </w:rPr>
            </w:pPr>
            <w:r>
              <w:rPr>
                <w:rFonts w:ascii="Arial" w:cs="Arial" w:eastAsia="Arial" w:hAnsi="Arial"/>
                <w:sz w:val="8"/>
                <w:szCs w:val="8"/>
                <w:b w:val="1"/>
                <w:bCs w:val="1"/>
                <w:color w:val="auto"/>
              </w:rPr>
              <w:t>2023</w:t>
            </w: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jc w:val="right"/>
              <w:ind w:right="453"/>
              <w:spacing w:after="0" w:line="78" w:lineRule="exact"/>
              <w:rPr>
                <w:sz w:val="20"/>
                <w:szCs w:val="20"/>
                <w:color w:val="auto"/>
              </w:rPr>
            </w:pPr>
            <w:r>
              <w:rPr>
                <w:rFonts w:ascii="Arial" w:cs="Arial" w:eastAsia="Arial" w:hAnsi="Arial"/>
                <w:sz w:val="8"/>
                <w:szCs w:val="8"/>
                <w:b w:val="1"/>
                <w:bCs w:val="1"/>
                <w:color w:val="auto"/>
              </w:rPr>
              <w:t>2022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68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Numerator:</w:t>
            </w:r>
          </w:p>
        </w:tc>
        <w:tc>
          <w:tcPr>
            <w:tcW w:w="2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920" w:type="dxa"/>
            <w:vAlign w:val="bottom"/>
            <w:gridSpan w:val="2"/>
          </w:tcPr>
          <w:p>
            <w:pPr>
              <w:spacing w:after="0" w:line="105" w:lineRule="exact"/>
              <w:rPr>
                <w:sz w:val="20"/>
                <w:szCs w:val="20"/>
                <w:color w:val="auto"/>
              </w:rPr>
            </w:pPr>
            <w:r>
              <w:rPr>
                <w:rFonts w:ascii="Arial" w:cs="Arial" w:eastAsia="Arial" w:hAnsi="Arial"/>
                <w:sz w:val="10"/>
                <w:szCs w:val="10"/>
                <w:color w:val="auto"/>
              </w:rPr>
              <w:t>Net income (loss) attributable to Reading International, Inc.</w:t>
            </w:r>
          </w:p>
        </w:tc>
        <w:tc>
          <w:tcPr>
            <w:tcW w:w="300" w:type="dxa"/>
            <w:vAlign w:val="bottom"/>
          </w:tcPr>
          <w:p>
            <w:pPr>
              <w:jc w:val="right"/>
              <w:ind w:right="193"/>
              <w:spacing w:after="0" w:line="105"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40"/>
              <w:spacing w:after="0" w:line="105" w:lineRule="exact"/>
              <w:rPr>
                <w:sz w:val="20"/>
                <w:szCs w:val="20"/>
                <w:color w:val="auto"/>
              </w:rPr>
            </w:pPr>
            <w:r>
              <w:rPr>
                <w:rFonts w:ascii="Arial" w:cs="Arial" w:eastAsia="Arial" w:hAnsi="Arial"/>
                <w:sz w:val="10"/>
                <w:szCs w:val="10"/>
                <w:color w:val="auto"/>
              </w:rPr>
              <w:t>(4,400)</w:t>
            </w:r>
          </w:p>
        </w:tc>
        <w:tc>
          <w:tcPr>
            <w:tcW w:w="360" w:type="dxa"/>
            <w:vAlign w:val="bottom"/>
          </w:tcPr>
          <w:p>
            <w:pPr>
              <w:jc w:val="right"/>
              <w:ind w:right="253"/>
              <w:spacing w:after="0" w:line="105" w:lineRule="exact"/>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line="105" w:lineRule="exact"/>
              <w:rPr>
                <w:sz w:val="20"/>
                <w:szCs w:val="20"/>
                <w:color w:val="auto"/>
              </w:rPr>
            </w:pPr>
            <w:r>
              <w:rPr>
                <w:rFonts w:ascii="Arial" w:cs="Arial" w:eastAsia="Arial" w:hAnsi="Arial"/>
                <w:sz w:val="10"/>
                <w:szCs w:val="10"/>
                <w:color w:val="auto"/>
              </w:rPr>
              <w:t>(5,177)</w:t>
            </w:r>
          </w:p>
        </w:tc>
        <w:tc>
          <w:tcPr>
            <w:tcW w:w="300" w:type="dxa"/>
            <w:vAlign w:val="bottom"/>
          </w:tcPr>
          <w:p>
            <w:pPr>
              <w:jc w:val="right"/>
              <w:ind w:right="193"/>
              <w:spacing w:after="0" w:line="105"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40"/>
              <w:spacing w:after="0" w:line="105" w:lineRule="exact"/>
              <w:rPr>
                <w:sz w:val="20"/>
                <w:szCs w:val="20"/>
                <w:color w:val="auto"/>
              </w:rPr>
            </w:pPr>
            <w:r>
              <w:rPr>
                <w:rFonts w:ascii="Arial" w:cs="Arial" w:eastAsia="Arial" w:hAnsi="Arial"/>
                <w:sz w:val="10"/>
                <w:szCs w:val="10"/>
                <w:color w:val="auto"/>
              </w:rPr>
              <w:t>(18,289)</w:t>
            </w:r>
          </w:p>
        </w:tc>
        <w:tc>
          <w:tcPr>
            <w:tcW w:w="380" w:type="dxa"/>
            <w:vAlign w:val="bottom"/>
          </w:tcPr>
          <w:p>
            <w:pPr>
              <w:jc w:val="right"/>
              <w:ind w:right="316"/>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line="105" w:lineRule="exact"/>
              <w:rPr>
                <w:sz w:val="20"/>
                <w:szCs w:val="20"/>
                <w:color w:val="auto"/>
              </w:rPr>
            </w:pPr>
            <w:r>
              <w:rPr>
                <w:rFonts w:ascii="Arial" w:cs="Arial" w:eastAsia="Arial" w:hAnsi="Arial"/>
                <w:sz w:val="10"/>
                <w:szCs w:val="10"/>
                <w:color w:val="auto"/>
              </w:rPr>
              <w:t>(22,967)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4920" w:type="dxa"/>
            <w:vAlign w:val="bottom"/>
            <w:tcBorders>
              <w:top w:val="single" w:sz="8" w:color="CCEEFF"/>
            </w:tcBorders>
            <w:gridSpan w:val="2"/>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Denominator:</w:t>
            </w:r>
          </w:p>
        </w:tc>
        <w:tc>
          <w:tcPr>
            <w:tcW w:w="30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920" w:type="dxa"/>
            <w:vAlign w:val="bottom"/>
            <w:gridSpan w:val="2"/>
          </w:tcPr>
          <w:p>
            <w:pPr>
              <w:spacing w:after="0" w:line="105" w:lineRule="exact"/>
              <w:rPr>
                <w:sz w:val="20"/>
                <w:szCs w:val="20"/>
                <w:color w:val="auto"/>
              </w:rPr>
            </w:pPr>
            <w:r>
              <w:rPr>
                <w:rFonts w:ascii="Arial" w:cs="Arial" w:eastAsia="Arial" w:hAnsi="Arial"/>
                <w:sz w:val="10"/>
                <w:szCs w:val="10"/>
                <w:color w:val="auto"/>
              </w:rPr>
              <w:t>Weighted average number of common stock – basic</w:t>
            </w:r>
          </w:p>
        </w:tc>
        <w:tc>
          <w:tcPr>
            <w:tcW w:w="300" w:type="dxa"/>
            <w:vAlign w:val="bottom"/>
          </w:tcPr>
          <w:p>
            <w:pPr>
              <w:spacing w:after="0"/>
              <w:rPr>
                <w:sz w:val="9"/>
                <w:szCs w:val="9"/>
                <w:color w:val="auto"/>
              </w:rPr>
            </w:pPr>
          </w:p>
        </w:tc>
        <w:tc>
          <w:tcPr>
            <w:tcW w:w="960" w:type="dxa"/>
            <w:vAlign w:val="bottom"/>
          </w:tcPr>
          <w:p>
            <w:pPr>
              <w:jc w:val="right"/>
              <w:spacing w:after="0" w:line="105" w:lineRule="exact"/>
              <w:rPr>
                <w:sz w:val="20"/>
                <w:szCs w:val="20"/>
                <w:color w:val="auto"/>
              </w:rPr>
            </w:pPr>
            <w:r>
              <w:rPr>
                <w:rFonts w:ascii="Arial" w:cs="Arial" w:eastAsia="Arial" w:hAnsi="Arial"/>
                <w:sz w:val="10"/>
                <w:szCs w:val="10"/>
                <w:color w:val="auto"/>
              </w:rPr>
              <w:t>22,273,423</w:t>
            </w: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jc w:val="right"/>
              <w:spacing w:after="0" w:line="105" w:lineRule="exact"/>
              <w:rPr>
                <w:sz w:val="20"/>
                <w:szCs w:val="20"/>
                <w:color w:val="auto"/>
              </w:rPr>
            </w:pPr>
            <w:r>
              <w:rPr>
                <w:rFonts w:ascii="Arial" w:cs="Arial" w:eastAsia="Arial" w:hAnsi="Arial"/>
                <w:sz w:val="10"/>
                <w:szCs w:val="10"/>
                <w:color w:val="auto"/>
              </w:rPr>
              <w:t>22,043,823</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jc w:val="right"/>
              <w:spacing w:after="0" w:line="105" w:lineRule="exact"/>
              <w:rPr>
                <w:sz w:val="20"/>
                <w:szCs w:val="20"/>
                <w:color w:val="auto"/>
              </w:rPr>
            </w:pPr>
            <w:r>
              <w:rPr>
                <w:rFonts w:ascii="Arial" w:cs="Arial" w:eastAsia="Arial" w:hAnsi="Arial"/>
                <w:sz w:val="10"/>
                <w:szCs w:val="10"/>
                <w:color w:val="auto"/>
              </w:rPr>
              <w:t>22,208,757</w:t>
            </w: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jc w:val="right"/>
              <w:spacing w:after="0" w:line="105" w:lineRule="exact"/>
              <w:rPr>
                <w:sz w:val="20"/>
                <w:szCs w:val="20"/>
                <w:color w:val="auto"/>
              </w:rPr>
            </w:pPr>
            <w:r>
              <w:rPr>
                <w:rFonts w:ascii="Arial" w:cs="Arial" w:eastAsia="Arial" w:hAnsi="Arial"/>
                <w:sz w:val="10"/>
                <w:szCs w:val="10"/>
                <w:color w:val="auto"/>
              </w:rPr>
              <w:t>22,011,755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92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Weighted average dilutive impact of awards</w:t>
            </w:r>
          </w:p>
        </w:tc>
        <w:tc>
          <w:tcPr>
            <w:tcW w:w="30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260"/>
              <w:spacing w:after="0" w:line="105"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5"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280"/>
              <w:spacing w:after="0" w:line="105"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4920" w:type="dxa"/>
            <w:vAlign w:val="bottom"/>
            <w:tcBorders>
              <w:bottom w:val="single" w:sz="8" w:color="CCEEFF"/>
            </w:tcBorders>
            <w:gridSpan w:val="2"/>
          </w:tcPr>
          <w:p>
            <w:pPr>
              <w:spacing w:after="0" w:line="93" w:lineRule="exact"/>
              <w:rPr>
                <w:sz w:val="20"/>
                <w:szCs w:val="20"/>
                <w:color w:val="auto"/>
              </w:rPr>
            </w:pPr>
            <w:r>
              <w:rPr>
                <w:rFonts w:ascii="Arial" w:cs="Arial" w:eastAsia="Arial" w:hAnsi="Arial"/>
                <w:sz w:val="10"/>
                <w:szCs w:val="10"/>
                <w:color w:val="auto"/>
              </w:rPr>
              <w:t>Weighted average number of common stock – diluted</w:t>
            </w:r>
          </w:p>
        </w:tc>
        <w:tc>
          <w:tcPr>
            <w:tcW w:w="30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22,273,423</w:t>
            </w:r>
          </w:p>
        </w:tc>
        <w:tc>
          <w:tcPr>
            <w:tcW w:w="240" w:type="dxa"/>
            <w:vAlign w:val="bottom"/>
            <w:tcBorders>
              <w:bottom w:val="single" w:sz="8" w:color="CCEEFF"/>
            </w:tcBorders>
          </w:tcPr>
          <w:p>
            <w:pPr>
              <w:spacing w:after="0"/>
              <w:rPr>
                <w:sz w:val="8"/>
                <w:szCs w:val="8"/>
                <w:color w:val="auto"/>
              </w:rPr>
            </w:pPr>
          </w:p>
        </w:tc>
        <w:tc>
          <w:tcPr>
            <w:tcW w:w="360" w:type="dxa"/>
            <w:vAlign w:val="bottom"/>
            <w:tcBorders>
              <w:top w:val="single" w:sz="8" w:color="auto"/>
              <w:bottom w:val="single" w:sz="8" w:color="auto"/>
            </w:tcBorders>
          </w:tcPr>
          <w:p>
            <w:pPr>
              <w:spacing w:after="0"/>
              <w:rPr>
                <w:sz w:val="8"/>
                <w:szCs w:val="8"/>
                <w:color w:val="auto"/>
              </w:rPr>
            </w:pPr>
          </w:p>
        </w:tc>
        <w:tc>
          <w:tcPr>
            <w:tcW w:w="90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22,043,823</w:t>
            </w:r>
          </w:p>
        </w:tc>
        <w:tc>
          <w:tcPr>
            <w:tcW w:w="240" w:type="dxa"/>
            <w:vAlign w:val="bottom"/>
            <w:tcBorders>
              <w:bottom w:val="single" w:sz="8" w:color="CCEEFF"/>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22,208,757</w:t>
            </w:r>
          </w:p>
        </w:tc>
        <w:tc>
          <w:tcPr>
            <w:tcW w:w="240" w:type="dxa"/>
            <w:vAlign w:val="bottom"/>
            <w:tcBorders>
              <w:bottom w:val="single" w:sz="8" w:color="CCEEFF"/>
            </w:tcBorders>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22,011,755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920" w:type="dxa"/>
            <w:vAlign w:val="bottom"/>
            <w:tcBorders>
              <w:bottom w:val="single" w:sz="8" w:color="CCEEFF"/>
            </w:tcBorders>
            <w:gridSpan w:val="2"/>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Basic earnings (loss) per share</w:t>
            </w:r>
          </w:p>
        </w:tc>
        <w:tc>
          <w:tcPr>
            <w:tcW w:w="300" w:type="dxa"/>
            <w:vAlign w:val="bottom"/>
            <w:tcBorders>
              <w:bottom w:val="single" w:sz="8" w:color="auto"/>
            </w:tcBorders>
            <w:shd w:val="clear" w:color="auto" w:fill="CCEEFF"/>
          </w:tcPr>
          <w:p>
            <w:pPr>
              <w:jc w:val="right"/>
              <w:ind w:right="193"/>
              <w:spacing w:after="0" w:line="100" w:lineRule="exact"/>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(0.20)</w:t>
            </w:r>
          </w:p>
        </w:tc>
        <w:tc>
          <w:tcPr>
            <w:tcW w:w="24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jc w:val="right"/>
              <w:ind w:right="253"/>
              <w:spacing w:after="0" w:line="100" w:lineRule="exact"/>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(0.23)</w:t>
            </w:r>
          </w:p>
        </w:tc>
        <w:tc>
          <w:tcPr>
            <w:tcW w:w="24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193"/>
              <w:spacing w:after="0" w:line="100" w:lineRule="exact"/>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(0.82)</w:t>
            </w:r>
          </w:p>
        </w:tc>
        <w:tc>
          <w:tcPr>
            <w:tcW w:w="24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920" w:type="dxa"/>
            <w:vAlign w:val="bottom"/>
            <w:tcBorders>
              <w:bottom w:val="single" w:sz="8" w:color="CCEEFF"/>
            </w:tcBorders>
            <w:gridSpan w:val="2"/>
          </w:tcPr>
          <w:p>
            <w:pPr>
              <w:spacing w:after="0" w:line="80" w:lineRule="exact"/>
              <w:rPr>
                <w:sz w:val="20"/>
                <w:szCs w:val="20"/>
                <w:color w:val="auto"/>
              </w:rPr>
            </w:pPr>
            <w:r>
              <w:rPr>
                <w:rFonts w:ascii="Arial" w:cs="Arial" w:eastAsia="Arial" w:hAnsi="Arial"/>
                <w:sz w:val="9"/>
                <w:szCs w:val="9"/>
                <w:b w:val="1"/>
                <w:bCs w:val="1"/>
                <w:color w:val="auto"/>
              </w:rPr>
              <w:t>Diluted earnings (loss) per share</w:t>
            </w:r>
          </w:p>
        </w:tc>
        <w:tc>
          <w:tcPr>
            <w:tcW w:w="300" w:type="dxa"/>
            <w:vAlign w:val="bottom"/>
            <w:tcBorders>
              <w:bottom w:val="single" w:sz="8" w:color="auto"/>
            </w:tcBorders>
          </w:tcPr>
          <w:p>
            <w:pPr>
              <w:jc w:val="right"/>
              <w:ind w:right="193"/>
              <w:spacing w:after="0" w:line="80" w:lineRule="exact"/>
              <w:rPr>
                <w:sz w:val="20"/>
                <w:szCs w:val="20"/>
                <w:color w:val="auto"/>
              </w:rPr>
            </w:pPr>
            <w:r>
              <w:rPr>
                <w:rFonts w:ascii="Arial" w:cs="Arial" w:eastAsia="Arial" w:hAnsi="Arial"/>
                <w:sz w:val="9"/>
                <w:szCs w:val="9"/>
                <w:color w:val="auto"/>
                <w:w w:val="78"/>
              </w:rPr>
              <w:t>$</w:t>
            </w:r>
          </w:p>
        </w:tc>
        <w:tc>
          <w:tcPr>
            <w:tcW w:w="960" w:type="dxa"/>
            <w:vAlign w:val="bottom"/>
            <w:tcBorders>
              <w:bottom w:val="single" w:sz="8" w:color="auto"/>
            </w:tcBorders>
          </w:tcPr>
          <w:p>
            <w:pPr>
              <w:jc w:val="right"/>
              <w:spacing w:after="0" w:line="80" w:lineRule="exact"/>
              <w:rPr>
                <w:sz w:val="20"/>
                <w:szCs w:val="20"/>
                <w:color w:val="auto"/>
              </w:rPr>
            </w:pPr>
            <w:r>
              <w:rPr>
                <w:rFonts w:ascii="Arial" w:cs="Arial" w:eastAsia="Arial" w:hAnsi="Arial"/>
                <w:sz w:val="9"/>
                <w:szCs w:val="9"/>
                <w:color w:val="auto"/>
              </w:rPr>
              <w:t>(0.20)</w:t>
            </w:r>
          </w:p>
        </w:tc>
        <w:tc>
          <w:tcPr>
            <w:tcW w:w="2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jc w:val="right"/>
              <w:ind w:right="253"/>
              <w:spacing w:after="0" w:line="80" w:lineRule="exact"/>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tcPr>
          <w:p>
            <w:pPr>
              <w:jc w:val="right"/>
              <w:spacing w:after="0" w:line="80" w:lineRule="exact"/>
              <w:rPr>
                <w:sz w:val="20"/>
                <w:szCs w:val="20"/>
                <w:color w:val="auto"/>
              </w:rPr>
            </w:pPr>
            <w:r>
              <w:rPr>
                <w:rFonts w:ascii="Arial" w:cs="Arial" w:eastAsia="Arial" w:hAnsi="Arial"/>
                <w:sz w:val="9"/>
                <w:szCs w:val="9"/>
                <w:color w:val="auto"/>
              </w:rPr>
              <w:t>(0.23)</w:t>
            </w:r>
          </w:p>
        </w:tc>
        <w:tc>
          <w:tcPr>
            <w:tcW w:w="2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jc w:val="right"/>
              <w:ind w:right="193"/>
              <w:spacing w:after="0" w:line="80" w:lineRule="exact"/>
              <w:rPr>
                <w:sz w:val="20"/>
                <w:szCs w:val="20"/>
                <w:color w:val="auto"/>
              </w:rPr>
            </w:pPr>
            <w:r>
              <w:rPr>
                <w:rFonts w:ascii="Arial" w:cs="Arial" w:eastAsia="Arial" w:hAnsi="Arial"/>
                <w:sz w:val="9"/>
                <w:szCs w:val="9"/>
                <w:color w:val="auto"/>
                <w:w w:val="78"/>
              </w:rPr>
              <w:t>$</w:t>
            </w:r>
          </w:p>
        </w:tc>
        <w:tc>
          <w:tcPr>
            <w:tcW w:w="960" w:type="dxa"/>
            <w:vAlign w:val="bottom"/>
            <w:tcBorders>
              <w:bottom w:val="single" w:sz="8" w:color="auto"/>
            </w:tcBorders>
          </w:tcPr>
          <w:p>
            <w:pPr>
              <w:jc w:val="right"/>
              <w:spacing w:after="0" w:line="80" w:lineRule="exact"/>
              <w:rPr>
                <w:sz w:val="20"/>
                <w:szCs w:val="20"/>
                <w:color w:val="auto"/>
              </w:rPr>
            </w:pPr>
            <w:r>
              <w:rPr>
                <w:rFonts w:ascii="Arial" w:cs="Arial" w:eastAsia="Arial" w:hAnsi="Arial"/>
                <w:sz w:val="9"/>
                <w:szCs w:val="9"/>
                <w:color w:val="auto"/>
              </w:rPr>
              <w:t>(0.82)</w:t>
            </w:r>
          </w:p>
        </w:tc>
        <w:tc>
          <w:tcPr>
            <w:tcW w:w="24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jc w:val="right"/>
              <w:ind w:right="316"/>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tcPr>
          <w:p>
            <w:pPr>
              <w:jc w:val="right"/>
              <w:spacing w:after="0" w:line="80" w:lineRule="exact"/>
              <w:rPr>
                <w:sz w:val="20"/>
                <w:szCs w:val="20"/>
                <w:color w:val="auto"/>
              </w:rPr>
            </w:pPr>
            <w:r>
              <w:rPr>
                <w:rFonts w:ascii="Arial" w:cs="Arial" w:eastAsia="Arial" w:hAnsi="Arial"/>
                <w:sz w:val="9"/>
                <w:szCs w:val="9"/>
                <w:color w:val="auto"/>
              </w:rPr>
              <w:t>(1.04)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920" w:type="dxa"/>
            <w:vAlign w:val="bottom"/>
            <w:tcBorders>
              <w:bottom w:val="single" w:sz="8" w:color="CCEEFF"/>
            </w:tcBorders>
            <w:gridSpan w:val="2"/>
            <w:shd w:val="clear" w:color="auto" w:fill="CCEEFF"/>
          </w:tcPr>
          <w:p>
            <w:pPr>
              <w:spacing w:after="0" w:line="100" w:lineRule="exact"/>
              <w:rPr>
                <w:sz w:val="20"/>
                <w:szCs w:val="20"/>
                <w:color w:val="auto"/>
              </w:rPr>
            </w:pPr>
            <w:r>
              <w:rPr>
                <w:rFonts w:ascii="Arial" w:cs="Arial" w:eastAsia="Arial" w:hAnsi="Arial"/>
                <w:sz w:val="10"/>
                <w:szCs w:val="10"/>
                <w:color w:val="auto"/>
              </w:rPr>
              <w:t>Awards excluded from diluted earnings (loss) per share</w:t>
            </w:r>
          </w:p>
        </w:tc>
        <w:tc>
          <w:tcPr>
            <w:tcW w:w="30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205,122</w:t>
            </w:r>
          </w:p>
        </w:tc>
        <w:tc>
          <w:tcPr>
            <w:tcW w:w="24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911,732</w:t>
            </w:r>
          </w:p>
        </w:tc>
        <w:tc>
          <w:tcPr>
            <w:tcW w:w="24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205,122</w:t>
            </w:r>
          </w:p>
        </w:tc>
        <w:tc>
          <w:tcPr>
            <w:tcW w:w="24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911,732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Our weighted average number of common stock - basic increased, primarily as a result of the vesting of restricted stock units. We did not repurchase any shares of Class A Common Stock during the first nine months of 2023 and 2022.</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0"/>
          <w:szCs w:val="10"/>
          <w:color w:val="auto"/>
        </w:rPr>
        <w:t>Certain shares issuable under stock options and restricted stock units were excluded from the computation of diluted net income (loss) per share in periods when their effect was anti -dilutive; either because our Company incurred a net loss for the period, or the exercise price of the options was greater than the average market price of the common stock during the period, or the effect was anti-dilutive as a result of applying the treasury stock method.</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6 – Property and Equipment</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Operating Property, net</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Property associated with our operating activities as at September 30, 2023 and December 31, 2022, is summarized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7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8"/>
                <w:szCs w:val="8"/>
                <w:b w:val="1"/>
                <w:bCs w:val="1"/>
                <w:color w:val="auto"/>
              </w:rPr>
              <w:t>September 30,</w:t>
            </w:r>
          </w:p>
        </w:tc>
        <w:tc>
          <w:tcPr>
            <w:tcW w:w="220" w:type="dxa"/>
            <w:vAlign w:val="bottom"/>
          </w:tcPr>
          <w:p>
            <w:pPr>
              <w:spacing w:after="0"/>
              <w:rPr>
                <w:sz w:val="9"/>
                <w:szCs w:val="9"/>
                <w:color w:val="auto"/>
              </w:rPr>
            </w:pPr>
          </w:p>
        </w:tc>
        <w:tc>
          <w:tcPr>
            <w:tcW w:w="1080" w:type="dxa"/>
            <w:vAlign w:val="bottom"/>
          </w:tcPr>
          <w:p>
            <w:pPr>
              <w:jc w:val="right"/>
              <w:ind w:right="333"/>
              <w:spacing w:after="0"/>
              <w:rPr>
                <w:sz w:val="20"/>
                <w:szCs w:val="20"/>
                <w:color w:val="auto"/>
              </w:rPr>
            </w:pPr>
            <w:r>
              <w:rPr>
                <w:rFonts w:ascii="Arial" w:cs="Arial" w:eastAsia="Arial" w:hAnsi="Arial"/>
                <w:sz w:val="8"/>
                <w:szCs w:val="8"/>
                <w:b w:val="1"/>
                <w:bCs w:val="1"/>
                <w:color w:val="auto"/>
              </w:rPr>
              <w:t>December 31,</w:t>
            </w:r>
          </w:p>
        </w:tc>
      </w:tr>
      <w:tr>
        <w:trPr>
          <w:trHeight w:val="100"/>
        </w:trPr>
        <w:tc>
          <w:tcPr>
            <w:tcW w:w="772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(Dollars in thousands)</w:t>
            </w:r>
          </w:p>
        </w:tc>
        <w:tc>
          <w:tcPr>
            <w:tcW w:w="16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8"/>
                <w:szCs w:val="8"/>
                <w:b w:val="1"/>
                <w:bCs w:val="1"/>
                <w:color w:val="auto"/>
              </w:rPr>
              <w:t>2023</w:t>
            </w: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8"/>
                <w:szCs w:val="8"/>
                <w:b w:val="1"/>
                <w:bCs w:val="1"/>
                <w:color w:val="auto"/>
              </w:rPr>
              <w:t>2022</w:t>
            </w:r>
          </w:p>
        </w:tc>
      </w:tr>
      <w:tr>
        <w:trPr>
          <w:trHeight w:val="115"/>
        </w:trPr>
        <w:tc>
          <w:tcPr>
            <w:tcW w:w="7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Land</w:t>
            </w:r>
          </w:p>
        </w:tc>
        <w:tc>
          <w:tcPr>
            <w:tcW w:w="200" w:type="dxa"/>
            <w:vAlign w:val="bottom"/>
            <w:shd w:val="clear" w:color="auto" w:fill="CCEEFF"/>
          </w:tcPr>
          <w:p>
            <w:pPr>
              <w:jc w:val="right"/>
              <w:ind w:right="136"/>
              <w:spacing w:after="0"/>
              <w:rPr>
                <w:sz w:val="20"/>
                <w:szCs w:val="20"/>
                <w:color w:val="auto"/>
              </w:rPr>
            </w:pPr>
            <w:r>
              <w:rPr>
                <w:rFonts w:ascii="Arial" w:cs="Arial" w:eastAsia="Arial" w:hAnsi="Arial"/>
                <w:sz w:val="5"/>
                <w:szCs w:val="5"/>
                <w:color w:val="auto"/>
                <w:w w:val="7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59,479</w:t>
            </w: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67,392</w:t>
            </w:r>
          </w:p>
        </w:tc>
      </w:tr>
      <w:tr>
        <w:trPr>
          <w:trHeight w:val="128"/>
        </w:trPr>
        <w:tc>
          <w:tcPr>
            <w:tcW w:w="7880" w:type="dxa"/>
            <w:vAlign w:val="bottom"/>
            <w:gridSpan w:val="2"/>
          </w:tcPr>
          <w:p>
            <w:pPr>
              <w:spacing w:after="0"/>
              <w:rPr>
                <w:sz w:val="20"/>
                <w:szCs w:val="20"/>
                <w:color w:val="auto"/>
              </w:rPr>
            </w:pPr>
            <w:r>
              <w:rPr>
                <w:rFonts w:ascii="Arial" w:cs="Arial" w:eastAsia="Arial" w:hAnsi="Arial"/>
                <w:sz w:val="10"/>
                <w:szCs w:val="10"/>
                <w:color w:val="auto"/>
              </w:rPr>
              <w:t>Building and improvements</w:t>
            </w:r>
          </w:p>
        </w:tc>
        <w:tc>
          <w:tcPr>
            <w:tcW w:w="2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202,302</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213,226</w:t>
            </w:r>
          </w:p>
        </w:tc>
      </w:tr>
      <w:tr>
        <w:trPr>
          <w:trHeight w:val="128"/>
        </w:trPr>
        <w:tc>
          <w:tcPr>
            <w:tcW w:w="7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Leasehold improvements</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59,067</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64,230</w:t>
            </w:r>
          </w:p>
        </w:tc>
      </w:tr>
      <w:tr>
        <w:trPr>
          <w:trHeight w:val="128"/>
        </w:trPr>
        <w:tc>
          <w:tcPr>
            <w:tcW w:w="7880" w:type="dxa"/>
            <w:vAlign w:val="bottom"/>
            <w:gridSpan w:val="2"/>
          </w:tcPr>
          <w:p>
            <w:pPr>
              <w:spacing w:after="0"/>
              <w:rPr>
                <w:sz w:val="20"/>
                <w:szCs w:val="20"/>
                <w:color w:val="auto"/>
              </w:rPr>
            </w:pPr>
            <w:r>
              <w:rPr>
                <w:rFonts w:ascii="Arial" w:cs="Arial" w:eastAsia="Arial" w:hAnsi="Arial"/>
                <w:sz w:val="10"/>
                <w:szCs w:val="10"/>
                <w:color w:val="auto"/>
              </w:rPr>
              <w:t>Fixtures and equipment</w:t>
            </w:r>
          </w:p>
        </w:tc>
        <w:tc>
          <w:tcPr>
            <w:tcW w:w="2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188,955</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194,753</w:t>
            </w:r>
          </w:p>
        </w:tc>
      </w:tr>
      <w:tr>
        <w:trPr>
          <w:trHeight w:val="128"/>
        </w:trPr>
        <w:tc>
          <w:tcPr>
            <w:tcW w:w="7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Construction-in-progress</w:t>
            </w:r>
          </w:p>
        </w:tc>
        <w:tc>
          <w:tcPr>
            <w:tcW w:w="20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4,845</w:t>
            </w:r>
          </w:p>
        </w:tc>
        <w:tc>
          <w:tcPr>
            <w:tcW w:w="1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6,839</w:t>
            </w:r>
          </w:p>
        </w:tc>
      </w:tr>
      <w:tr>
        <w:trPr>
          <w:trHeight w:val="108"/>
        </w:trPr>
        <w:tc>
          <w:tcPr>
            <w:tcW w:w="7880" w:type="dxa"/>
            <w:vAlign w:val="bottom"/>
            <w:tcBorders>
              <w:bottom w:val="single" w:sz="8" w:color="CCEEFF"/>
            </w:tcBorders>
            <w:gridSpan w:val="2"/>
          </w:tcPr>
          <w:p>
            <w:pPr>
              <w:spacing w:after="0" w:line="108" w:lineRule="exact"/>
              <w:rPr>
                <w:sz w:val="20"/>
                <w:szCs w:val="20"/>
                <w:color w:val="auto"/>
              </w:rPr>
            </w:pPr>
            <w:r>
              <w:rPr>
                <w:rFonts w:ascii="Arial" w:cs="Arial" w:eastAsia="Arial" w:hAnsi="Arial"/>
                <w:sz w:val="10"/>
                <w:szCs w:val="10"/>
                <w:color w:val="auto"/>
              </w:rPr>
              <w:t>Total cost</w:t>
            </w: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514,648</w:t>
            </w:r>
          </w:p>
        </w:tc>
        <w:tc>
          <w:tcPr>
            <w:tcW w:w="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546,440</w:t>
            </w:r>
          </w:p>
        </w:tc>
      </w:tr>
      <w:tr>
        <w:trPr>
          <w:trHeight w:val="108"/>
        </w:trPr>
        <w:tc>
          <w:tcPr>
            <w:tcW w:w="788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Less: accumulated depreciation</w:t>
            </w:r>
          </w:p>
        </w:tc>
        <w:tc>
          <w:tcPr>
            <w:tcW w:w="20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(253,034)</w:t>
            </w: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(259,488)</w:t>
            </w:r>
          </w:p>
        </w:tc>
      </w:tr>
      <w:tr>
        <w:trPr>
          <w:trHeight w:val="100"/>
        </w:trPr>
        <w:tc>
          <w:tcPr>
            <w:tcW w:w="7880" w:type="dxa"/>
            <w:vAlign w:val="bottom"/>
            <w:gridSpan w:val="2"/>
          </w:tcPr>
          <w:p>
            <w:pPr>
              <w:spacing w:after="0" w:line="100" w:lineRule="exact"/>
              <w:rPr>
                <w:sz w:val="20"/>
                <w:szCs w:val="20"/>
                <w:color w:val="auto"/>
              </w:rPr>
            </w:pPr>
            <w:r>
              <w:rPr>
                <w:rFonts w:ascii="Arial" w:cs="Arial" w:eastAsia="Arial" w:hAnsi="Arial"/>
                <w:sz w:val="10"/>
                <w:szCs w:val="10"/>
                <w:color w:val="auto"/>
              </w:rPr>
              <w:t>Operating property, net</w:t>
            </w:r>
          </w:p>
        </w:tc>
        <w:tc>
          <w:tcPr>
            <w:tcW w:w="2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5"/>
                <w:szCs w:val="5"/>
                <w:b w:val="1"/>
                <w:bCs w:val="1"/>
                <w:color w:val="auto"/>
                <w:w w:val="70"/>
              </w:rPr>
              <w:t>$</w:t>
            </w:r>
          </w:p>
        </w:tc>
        <w:tc>
          <w:tcPr>
            <w:tcW w:w="108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261,614</w:t>
            </w:r>
          </w:p>
        </w:tc>
        <w:tc>
          <w:tcPr>
            <w:tcW w:w="160" w:type="dxa"/>
            <w:vAlign w:val="bottom"/>
          </w:tcPr>
          <w:p>
            <w:pPr>
              <w:spacing w:after="0"/>
              <w:rPr>
                <w:sz w:val="8"/>
                <w:szCs w:val="8"/>
                <w:color w:val="auto"/>
              </w:rPr>
            </w:pPr>
          </w:p>
        </w:tc>
        <w:tc>
          <w:tcPr>
            <w:tcW w:w="220" w:type="dxa"/>
            <w:vAlign w:val="bottom"/>
            <w:tcBorders>
              <w:top w:val="single" w:sz="8" w:color="auto"/>
              <w:bottom w:val="single" w:sz="8" w:color="auto"/>
            </w:tcBorders>
          </w:tcPr>
          <w:p>
            <w:pPr>
              <w:jc w:val="right"/>
              <w:ind w:right="111"/>
              <w:spacing w:after="0" w:line="100" w:lineRule="exact"/>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286,952</w:t>
            </w:r>
          </w:p>
        </w:tc>
      </w:tr>
    </w:tbl>
    <w:p>
      <w:pPr>
        <w:spacing w:after="0" w:line="108" w:lineRule="exact"/>
        <w:rPr>
          <w:sz w:val="20"/>
          <w:szCs w:val="20"/>
          <w:color w:val="auto"/>
        </w:rPr>
      </w:pPr>
    </w:p>
    <w:p>
      <w:pPr>
        <w:ind w:right="240"/>
        <w:spacing w:after="0" w:line="237" w:lineRule="auto"/>
        <w:rPr>
          <w:sz w:val="20"/>
          <w:szCs w:val="20"/>
          <w:color w:val="auto"/>
        </w:rPr>
      </w:pPr>
      <w:r>
        <w:rPr>
          <w:rFonts w:ascii="Arial" w:cs="Arial" w:eastAsia="Arial" w:hAnsi="Arial"/>
          <w:sz w:val="10"/>
          <w:szCs w:val="10"/>
          <w:color w:val="auto"/>
        </w:rPr>
        <w:t>Depreciation expense for operating property was $4.5 million and $13.8 million for the quarter and nine months ended September 30, 2023, respectively, and $4.9 million and $15.5 million for the quarter and nine months ended September 30, 2022,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Investment and Development Property, net</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Our investment and development property as of September 30, 2023 and December 31, 2022, is summarized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38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jc w:val="right"/>
              <w:ind w:right="4"/>
              <w:spacing w:after="0"/>
              <w:rPr>
                <w:sz w:val="20"/>
                <w:szCs w:val="20"/>
                <w:color w:val="auto"/>
              </w:rPr>
            </w:pPr>
            <w:r>
              <w:rPr>
                <w:rFonts w:ascii="Arial" w:cs="Arial" w:eastAsia="Arial" w:hAnsi="Arial"/>
                <w:sz w:val="8"/>
                <w:szCs w:val="8"/>
                <w:b w:val="1"/>
                <w:bCs w:val="1"/>
                <w:color w:val="auto"/>
              </w:rPr>
              <w:t>September 30,</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ind w:right="334"/>
              <w:spacing w:after="0"/>
              <w:rPr>
                <w:sz w:val="20"/>
                <w:szCs w:val="20"/>
                <w:color w:val="auto"/>
              </w:rPr>
            </w:pPr>
            <w:r>
              <w:rPr>
                <w:rFonts w:ascii="Arial" w:cs="Arial" w:eastAsia="Arial" w:hAnsi="Arial"/>
                <w:sz w:val="8"/>
                <w:szCs w:val="8"/>
                <w:b w:val="1"/>
                <w:bCs w:val="1"/>
                <w:color w:val="auto"/>
              </w:rPr>
              <w:t>December 31,</w:t>
            </w:r>
          </w:p>
        </w:tc>
      </w:tr>
      <w:tr>
        <w:trPr>
          <w:trHeight w:val="100"/>
        </w:trPr>
        <w:tc>
          <w:tcPr>
            <w:tcW w:w="382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(Dollars in thousands)</w:t>
            </w:r>
          </w:p>
        </w:tc>
        <w:tc>
          <w:tcPr>
            <w:tcW w:w="390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960" w:type="dxa"/>
            <w:vAlign w:val="bottom"/>
            <w:tcBorders>
              <w:bottom w:val="single" w:sz="8" w:color="auto"/>
            </w:tcBorders>
          </w:tcPr>
          <w:p>
            <w:pPr>
              <w:jc w:val="right"/>
              <w:ind w:right="184"/>
              <w:spacing w:after="0"/>
              <w:rPr>
                <w:sz w:val="20"/>
                <w:szCs w:val="20"/>
                <w:color w:val="auto"/>
              </w:rPr>
            </w:pPr>
            <w:r>
              <w:rPr>
                <w:rFonts w:ascii="Arial" w:cs="Arial" w:eastAsia="Arial" w:hAnsi="Arial"/>
                <w:sz w:val="8"/>
                <w:szCs w:val="8"/>
                <w:b w:val="1"/>
                <w:bCs w:val="1"/>
                <w:color w:val="auto"/>
              </w:rPr>
              <w:t>2023</w:t>
            </w: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8"/>
                <w:szCs w:val="8"/>
                <w:b w:val="1"/>
                <w:bCs w:val="1"/>
                <w:color w:val="auto"/>
              </w:rPr>
              <w:t>2022</w:t>
            </w:r>
          </w:p>
        </w:tc>
      </w:tr>
      <w:tr>
        <w:trPr>
          <w:trHeight w:val="115"/>
        </w:trPr>
        <w:tc>
          <w:tcPr>
            <w:tcW w:w="3820" w:type="dxa"/>
            <w:vAlign w:val="bottom"/>
            <w:shd w:val="clear" w:color="auto" w:fill="CCEEFF"/>
          </w:tcPr>
          <w:p>
            <w:pPr>
              <w:spacing w:after="0"/>
              <w:rPr>
                <w:sz w:val="20"/>
                <w:szCs w:val="20"/>
                <w:color w:val="auto"/>
              </w:rPr>
            </w:pPr>
            <w:r>
              <w:rPr>
                <w:rFonts w:ascii="Arial" w:cs="Arial" w:eastAsia="Arial" w:hAnsi="Arial"/>
                <w:sz w:val="10"/>
                <w:szCs w:val="10"/>
                <w:color w:val="auto"/>
              </w:rPr>
              <w:t>Land</w:t>
            </w:r>
          </w:p>
        </w:tc>
        <w:tc>
          <w:tcPr>
            <w:tcW w:w="5020" w:type="dxa"/>
            <w:vAlign w:val="bottom"/>
            <w:gridSpan w:val="3"/>
            <w:shd w:val="clear" w:color="auto" w:fill="CCEEFF"/>
          </w:tcPr>
          <w:p>
            <w:pPr>
              <w:jc w:val="right"/>
              <w:ind w:right="884"/>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3,657</w:t>
            </w:r>
          </w:p>
        </w:tc>
        <w:tc>
          <w:tcPr>
            <w:tcW w:w="380" w:type="dxa"/>
            <w:vAlign w:val="bottom"/>
            <w:gridSpan w:val="2"/>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3,857</w:t>
            </w:r>
          </w:p>
        </w:tc>
      </w:tr>
      <w:tr>
        <w:trPr>
          <w:trHeight w:val="128"/>
        </w:trPr>
        <w:tc>
          <w:tcPr>
            <w:tcW w:w="38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Construction-in-progress (including capitalized interest)</w:t>
            </w:r>
          </w:p>
        </w:tc>
        <w:tc>
          <w:tcPr>
            <w:tcW w:w="39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4,679</w:t>
            </w: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4,935</w:t>
            </w:r>
          </w:p>
        </w:tc>
      </w:tr>
      <w:tr>
        <w:trPr>
          <w:trHeight w:val="120"/>
        </w:trPr>
        <w:tc>
          <w:tcPr>
            <w:tcW w:w="3820" w:type="dxa"/>
            <w:vAlign w:val="bottom"/>
            <w:tcBorders>
              <w:bottom w:val="single" w:sz="8" w:color="CCEEFF"/>
            </w:tcBorders>
            <w:shd w:val="clear" w:color="auto" w:fill="CCEEFF"/>
          </w:tcPr>
          <w:p>
            <w:pPr>
              <w:spacing w:after="0" w:line="100" w:lineRule="exact"/>
              <w:rPr>
                <w:sz w:val="20"/>
                <w:szCs w:val="20"/>
                <w:color w:val="auto"/>
              </w:rPr>
            </w:pPr>
            <w:r>
              <w:rPr>
                <w:rFonts w:ascii="Arial" w:cs="Arial" w:eastAsia="Arial" w:hAnsi="Arial"/>
                <w:sz w:val="10"/>
                <w:szCs w:val="10"/>
                <w:color w:val="auto"/>
              </w:rPr>
              <w:t>Investment and development property</w:t>
            </w:r>
          </w:p>
        </w:tc>
        <w:tc>
          <w:tcPr>
            <w:tcW w:w="39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5"/>
                <w:szCs w:val="5"/>
                <w:b w:val="1"/>
                <w:bCs w:val="1"/>
                <w:color w:val="auto"/>
                <w:w w:val="70"/>
              </w:rPr>
              <w:t>$</w:t>
            </w:r>
          </w:p>
        </w:tc>
        <w:tc>
          <w:tcPr>
            <w:tcW w:w="32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8,336</w:t>
            </w:r>
          </w:p>
        </w:tc>
        <w:tc>
          <w:tcPr>
            <w:tcW w:w="1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11"/>
              <w:spacing w:after="0" w:line="100" w:lineRule="exact"/>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8,792</w:t>
            </w:r>
          </w:p>
        </w:tc>
      </w:tr>
      <w:tr>
        <w:trPr>
          <w:trHeight w:val="303"/>
        </w:trPr>
        <w:tc>
          <w:tcPr>
            <w:tcW w:w="3820" w:type="dxa"/>
            <w:vAlign w:val="bottom"/>
          </w:tcPr>
          <w:p>
            <w:pPr>
              <w:spacing w:after="0"/>
              <w:rPr>
                <w:sz w:val="24"/>
                <w:szCs w:val="24"/>
                <w:color w:val="auto"/>
              </w:rPr>
            </w:pPr>
          </w:p>
        </w:tc>
        <w:tc>
          <w:tcPr>
            <w:tcW w:w="3900" w:type="dxa"/>
            <w:vAlign w:val="bottom"/>
          </w:tcPr>
          <w:p>
            <w:pPr>
              <w:jc w:val="right"/>
              <w:ind w:right="2311"/>
              <w:spacing w:after="0"/>
              <w:rPr>
                <w:sz w:val="20"/>
                <w:szCs w:val="20"/>
                <w:color w:val="auto"/>
              </w:rPr>
            </w:pPr>
            <w:r>
              <w:rPr>
                <w:rFonts w:ascii="Arial" w:cs="Arial" w:eastAsia="Arial" w:hAnsi="Arial"/>
                <w:sz w:val="10"/>
                <w:szCs w:val="10"/>
                <w:color w:val="auto"/>
              </w:rPr>
              <w:t>11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4"/>
        </w:trPr>
        <w:tc>
          <w:tcPr>
            <w:tcW w:w="3820" w:type="dxa"/>
            <w:vAlign w:val="bottom"/>
            <w:tcBorders>
              <w:bottom w:val="single" w:sz="8" w:color="EEEEEE"/>
            </w:tcBorders>
          </w:tcPr>
          <w:p>
            <w:pPr>
              <w:spacing w:after="0"/>
              <w:rPr>
                <w:sz w:val="15"/>
                <w:szCs w:val="15"/>
                <w:color w:val="auto"/>
              </w:rPr>
            </w:pPr>
          </w:p>
        </w:tc>
        <w:tc>
          <w:tcPr>
            <w:tcW w:w="3900" w:type="dxa"/>
            <w:vAlign w:val="bottom"/>
            <w:tcBorders>
              <w:bottom w:val="single" w:sz="8" w:color="EEEEEE"/>
            </w:tcBorders>
          </w:tcPr>
          <w:p>
            <w:pPr>
              <w:spacing w:after="0"/>
              <w:rPr>
                <w:sz w:val="15"/>
                <w:szCs w:val="15"/>
                <w:color w:val="auto"/>
              </w:rPr>
            </w:pPr>
          </w:p>
        </w:tc>
        <w:tc>
          <w:tcPr>
            <w:tcW w:w="160" w:type="dxa"/>
            <w:vAlign w:val="bottom"/>
            <w:tcBorders>
              <w:bottom w:val="single" w:sz="8" w:color="EEEEEE"/>
            </w:tcBorders>
          </w:tcPr>
          <w:p>
            <w:pPr>
              <w:spacing w:after="0"/>
              <w:rPr>
                <w:sz w:val="15"/>
                <w:szCs w:val="15"/>
                <w:color w:val="auto"/>
              </w:rPr>
            </w:pPr>
          </w:p>
        </w:tc>
        <w:tc>
          <w:tcPr>
            <w:tcW w:w="960" w:type="dxa"/>
            <w:vAlign w:val="bottom"/>
            <w:tcBorders>
              <w:bottom w:val="single" w:sz="8" w:color="EEEEEE"/>
            </w:tcBorders>
          </w:tcPr>
          <w:p>
            <w:pPr>
              <w:spacing w:after="0"/>
              <w:rPr>
                <w:sz w:val="15"/>
                <w:szCs w:val="15"/>
                <w:color w:val="auto"/>
              </w:rPr>
            </w:pPr>
          </w:p>
        </w:tc>
        <w:tc>
          <w:tcPr>
            <w:tcW w:w="320" w:type="dxa"/>
            <w:vAlign w:val="bottom"/>
            <w:tcBorders>
              <w:bottom w:val="single" w:sz="8" w:color="EEEEEE"/>
            </w:tcBorders>
          </w:tcPr>
          <w:p>
            <w:pPr>
              <w:spacing w:after="0"/>
              <w:rPr>
                <w:sz w:val="15"/>
                <w:szCs w:val="15"/>
                <w:color w:val="auto"/>
              </w:rPr>
            </w:pPr>
          </w:p>
        </w:tc>
        <w:tc>
          <w:tcPr>
            <w:tcW w:w="160" w:type="dxa"/>
            <w:vAlign w:val="bottom"/>
            <w:tcBorders>
              <w:bottom w:val="single" w:sz="8" w:color="EEEEEE"/>
            </w:tcBorders>
          </w:tcPr>
          <w:p>
            <w:pPr>
              <w:spacing w:after="0"/>
              <w:rPr>
                <w:sz w:val="15"/>
                <w:szCs w:val="15"/>
                <w:color w:val="auto"/>
              </w:rPr>
            </w:pPr>
          </w:p>
        </w:tc>
        <w:tc>
          <w:tcPr>
            <w:tcW w:w="220" w:type="dxa"/>
            <w:vAlign w:val="bottom"/>
            <w:tcBorders>
              <w:bottom w:val="single" w:sz="8" w:color="EEEEEE"/>
            </w:tcBorders>
          </w:tcPr>
          <w:p>
            <w:pPr>
              <w:spacing w:after="0"/>
              <w:rPr>
                <w:sz w:val="15"/>
                <w:szCs w:val="15"/>
                <w:color w:val="auto"/>
              </w:rPr>
            </w:pPr>
          </w:p>
        </w:tc>
        <w:tc>
          <w:tcPr>
            <w:tcW w:w="1080" w:type="dxa"/>
            <w:vAlign w:val="bottom"/>
            <w:tcBorders>
              <w:bottom w:val="single" w:sz="8" w:color="EEEEEE"/>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70" w:right="640" w:bottom="1440" w:gutter="0" w:footer="0" w:header="0"/>
        </w:sectPr>
      </w:pPr>
    </w:p>
    <w:bookmarkStart w:id="11" w:name="page12"/>
    <w:bookmarkEnd w:id="11"/>
    <w:p>
      <w:pPr>
        <w:spacing w:after="0"/>
        <w:rPr>
          <w:sz w:val="20"/>
          <w:szCs w:val="20"/>
          <w:color w:val="auto"/>
        </w:rPr>
      </w:pPr>
      <w:r>
        <w:rPr>
          <w:rFonts w:ascii="Arial" w:cs="Arial" w:eastAsia="Arial" w:hAnsi="Arial"/>
          <w:sz w:val="10"/>
          <w:szCs w:val="10"/>
          <w:b w:val="1"/>
          <w:bCs w:val="1"/>
          <w:i w:val="1"/>
          <w:iCs w:val="1"/>
          <w:color w:val="auto"/>
        </w:rPr>
        <w:t>Construction-in-Progress – Operating and Investment Properties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Construction-in-Progress balances are included in both our operating and development properties. The balances of our major projects along with the movements for the nine months ended September 30, 2023, are shown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tcPr>
          <w:p>
            <w:pPr>
              <w:jc w:val="center"/>
              <w:ind w:left="317"/>
              <w:spacing w:after="0"/>
              <w:rPr>
                <w:sz w:val="20"/>
                <w:szCs w:val="20"/>
                <w:color w:val="auto"/>
              </w:rPr>
            </w:pPr>
            <w:r>
              <w:rPr>
                <w:rFonts w:ascii="Arial" w:cs="Arial" w:eastAsia="Arial" w:hAnsi="Arial"/>
                <w:sz w:val="8"/>
                <w:szCs w:val="8"/>
                <w:b w:val="1"/>
                <w:bCs w:val="1"/>
                <w:color w:val="auto"/>
              </w:rPr>
              <w:t>Balance,</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rPr>
              <w:t>Completed</w:t>
            </w:r>
          </w:p>
        </w:tc>
        <w:tc>
          <w:tcPr>
            <w:tcW w:w="240" w:type="dxa"/>
            <w:vAlign w:val="bottom"/>
          </w:tcPr>
          <w:p>
            <w:pPr>
              <w:spacing w:after="0"/>
              <w:rPr>
                <w:sz w:val="7"/>
                <w:szCs w:val="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rPr>
              <w:t>Foreign</w:t>
            </w:r>
          </w:p>
        </w:tc>
        <w:tc>
          <w:tcPr>
            <w:tcW w:w="220" w:type="dxa"/>
            <w:vAlign w:val="bottom"/>
          </w:tcPr>
          <w:p>
            <w:pPr>
              <w:spacing w:after="0"/>
              <w:rPr>
                <w:sz w:val="7"/>
                <w:szCs w:val="7"/>
                <w:color w:val="auto"/>
              </w:rPr>
            </w:pPr>
          </w:p>
        </w:tc>
        <w:tc>
          <w:tcPr>
            <w:tcW w:w="1080" w:type="dxa"/>
            <w:vAlign w:val="bottom"/>
            <w:gridSpan w:val="2"/>
          </w:tcPr>
          <w:p>
            <w:pPr>
              <w:jc w:val="center"/>
              <w:ind w:right="173"/>
              <w:spacing w:after="0"/>
              <w:rPr>
                <w:sz w:val="20"/>
                <w:szCs w:val="20"/>
                <w:color w:val="auto"/>
              </w:rPr>
            </w:pPr>
            <w:r>
              <w:rPr>
                <w:rFonts w:ascii="Arial" w:cs="Arial" w:eastAsia="Arial" w:hAnsi="Arial"/>
                <w:sz w:val="8"/>
                <w:szCs w:val="8"/>
                <w:b w:val="1"/>
                <w:bCs w:val="1"/>
                <w:color w:val="auto"/>
              </w:rPr>
              <w:t>Balance,</w:t>
            </w:r>
          </w:p>
        </w:tc>
        <w:tc>
          <w:tcPr>
            <w:tcW w:w="0" w:type="dxa"/>
            <w:vAlign w:val="bottom"/>
          </w:tcPr>
          <w:p>
            <w:pPr>
              <w:spacing w:after="0"/>
              <w:rPr>
                <w:sz w:val="1"/>
                <w:szCs w:val="1"/>
                <w:color w:val="auto"/>
              </w:rPr>
            </w:pPr>
          </w:p>
        </w:tc>
      </w:tr>
      <w:tr>
        <w:trPr>
          <w:trHeight w:val="83"/>
        </w:trPr>
        <w:tc>
          <w:tcPr>
            <w:tcW w:w="384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78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December​</w:t>
            </w:r>
          </w:p>
        </w:tc>
        <w:tc>
          <w:tcPr>
            <w:tcW w:w="16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31,</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vMerge w:val="restart"/>
          </w:tcPr>
          <w:p>
            <w:pPr>
              <w:jc w:val="right"/>
              <w:ind w:right="53"/>
              <w:spacing w:after="0"/>
              <w:rPr>
                <w:sz w:val="20"/>
                <w:szCs w:val="20"/>
                <w:color w:val="auto"/>
              </w:rPr>
            </w:pPr>
            <w:r>
              <w:rPr>
                <w:rFonts w:ascii="Arial" w:cs="Arial" w:eastAsia="Arial" w:hAnsi="Arial"/>
                <w:sz w:val="8"/>
                <w:szCs w:val="8"/>
                <w:b w:val="1"/>
                <w:bCs w:val="1"/>
                <w:color w:val="auto"/>
              </w:rPr>
              <w:t>Additions during the period</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gridSpan w:val="2"/>
          </w:tcPr>
          <w:p>
            <w:pPr>
              <w:jc w:val="center"/>
              <w:ind w:right="340"/>
              <w:spacing w:after="0" w:line="83" w:lineRule="exact"/>
              <w:rPr>
                <w:sz w:val="20"/>
                <w:szCs w:val="20"/>
                <w:color w:val="auto"/>
              </w:rPr>
            </w:pPr>
            <w:r>
              <w:rPr>
                <w:rFonts w:ascii="Arial" w:cs="Arial" w:eastAsia="Arial" w:hAnsi="Arial"/>
                <w:sz w:val="8"/>
                <w:szCs w:val="8"/>
                <w:b w:val="1"/>
                <w:bCs w:val="1"/>
                <w:color w:val="auto"/>
              </w:rPr>
              <w:t>​during the</w:t>
            </w:r>
          </w:p>
        </w:tc>
        <w:tc>
          <w:tcPr>
            <w:tcW w:w="240" w:type="dxa"/>
            <w:vAlign w:val="bottom"/>
          </w:tcPr>
          <w:p>
            <w:pPr>
              <w:spacing w:after="0"/>
              <w:rPr>
                <w:sz w:val="7"/>
                <w:szCs w:val="7"/>
                <w:color w:val="auto"/>
              </w:rPr>
            </w:pPr>
          </w:p>
        </w:tc>
        <w:tc>
          <w:tcPr>
            <w:tcW w:w="1120" w:type="dxa"/>
            <w:vAlign w:val="bottom"/>
            <w:gridSpan w:val="2"/>
          </w:tcPr>
          <w:p>
            <w:pPr>
              <w:jc w:val="center"/>
              <w:ind w:right="320"/>
              <w:spacing w:after="0" w:line="83" w:lineRule="exact"/>
              <w:rPr>
                <w:sz w:val="20"/>
                <w:szCs w:val="20"/>
                <w:color w:val="auto"/>
              </w:rPr>
            </w:pPr>
            <w:r>
              <w:rPr>
                <w:rFonts w:ascii="Arial" w:cs="Arial" w:eastAsia="Arial" w:hAnsi="Arial"/>
                <w:sz w:val="8"/>
                <w:szCs w:val="8"/>
                <w:b w:val="1"/>
                <w:bCs w:val="1"/>
                <w:color w:val="auto"/>
              </w:rPr>
              <w:t>​currency</w:t>
            </w:r>
          </w:p>
        </w:tc>
        <w:tc>
          <w:tcPr>
            <w:tcW w:w="220" w:type="dxa"/>
            <w:vAlign w:val="bottom"/>
          </w:tcPr>
          <w:p>
            <w:pPr>
              <w:spacing w:after="0"/>
              <w:rPr>
                <w:sz w:val="7"/>
                <w:szCs w:val="7"/>
                <w:color w:val="auto"/>
              </w:rPr>
            </w:pPr>
          </w:p>
        </w:tc>
        <w:tc>
          <w:tcPr>
            <w:tcW w:w="600" w:type="dxa"/>
            <w:vAlign w:val="bottom"/>
          </w:tcPr>
          <w:p>
            <w:pPr>
              <w:ind w:left="160"/>
              <w:spacing w:after="0" w:line="83" w:lineRule="exact"/>
              <w:rPr>
                <w:sz w:val="20"/>
                <w:szCs w:val="20"/>
                <w:color w:val="auto"/>
              </w:rPr>
            </w:pPr>
            <w:r>
              <w:rPr>
                <w:rFonts w:ascii="Arial" w:cs="Arial" w:eastAsia="Arial" w:hAnsi="Arial"/>
                <w:sz w:val="8"/>
                <w:szCs w:val="8"/>
                <w:b w:val="1"/>
                <w:bCs w:val="1"/>
                <w:color w:val="auto"/>
              </w:rPr>
              <w:t>September​</w:t>
            </w:r>
          </w:p>
        </w:tc>
        <w:tc>
          <w:tcPr>
            <w:tcW w:w="480" w:type="dxa"/>
            <w:vAlign w:val="bottom"/>
          </w:tcPr>
          <w:p>
            <w:pPr>
              <w:jc w:val="right"/>
              <w:ind w:right="313"/>
              <w:spacing w:after="0" w:line="83" w:lineRule="exact"/>
              <w:rPr>
                <w:sz w:val="20"/>
                <w:szCs w:val="20"/>
                <w:color w:val="auto"/>
              </w:rPr>
            </w:pPr>
            <w:r>
              <w:rPr>
                <w:rFonts w:ascii="Arial" w:cs="Arial" w:eastAsia="Arial" w:hAnsi="Arial"/>
                <w:sz w:val="8"/>
                <w:szCs w:val="8"/>
                <w:b w:val="1"/>
                <w:bCs w:val="1"/>
                <w:color w:val="auto"/>
                <w:w w:val="89"/>
              </w:rPr>
              <w:t>30,</w:t>
            </w:r>
          </w:p>
        </w:tc>
        <w:tc>
          <w:tcPr>
            <w:tcW w:w="0" w:type="dxa"/>
            <w:vAlign w:val="bottom"/>
          </w:tcPr>
          <w:p>
            <w:pPr>
              <w:spacing w:after="0"/>
              <w:rPr>
                <w:sz w:val="1"/>
                <w:szCs w:val="1"/>
                <w:color w:val="auto"/>
              </w:rPr>
            </w:pPr>
          </w:p>
        </w:tc>
      </w:tr>
      <w:tr>
        <w:trPr>
          <w:trHeight w:val="98"/>
        </w:trPr>
        <w:tc>
          <w:tcPr>
            <w:tcW w:w="3840" w:type="dxa"/>
            <w:vAlign w:val="bottom"/>
            <w:tcBorders>
              <w:bottom w:val="single" w:sz="8" w:color="CCEEFF"/>
            </w:tcBorders>
            <w:gridSpan w:val="2"/>
            <w:vMerge w:val="continue"/>
          </w:tcPr>
          <w:p>
            <w:pPr>
              <w:spacing w:after="0"/>
              <w:rPr>
                <w:sz w:val="8"/>
                <w:szCs w:val="8"/>
                <w:color w:val="auto"/>
              </w:rPr>
            </w:pPr>
          </w:p>
        </w:tc>
        <w:tc>
          <w:tcPr>
            <w:tcW w:w="780" w:type="dxa"/>
            <w:vAlign w:val="bottom"/>
            <w:tcBorders>
              <w:bottom w:val="single" w:sz="8" w:color="auto"/>
            </w:tcBorders>
          </w:tcPr>
          <w:p>
            <w:pPr>
              <w:jc w:val="center"/>
              <w:ind w:left="477"/>
              <w:spacing w:after="0"/>
              <w:rPr>
                <w:sz w:val="20"/>
                <w:szCs w:val="20"/>
                <w:color w:val="auto"/>
              </w:rPr>
            </w:pPr>
            <w:r>
              <w:rPr>
                <w:rFonts w:ascii="Arial" w:cs="Arial" w:eastAsia="Arial" w:hAnsi="Arial"/>
                <w:sz w:val="8"/>
                <w:szCs w:val="8"/>
                <w:b w:val="1"/>
                <w:bCs w:val="1"/>
                <w:color w:val="auto"/>
              </w:rPr>
              <w:t>2022​</w:t>
            </w: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8"/>
                <w:szCs w:val="8"/>
                <w:b w:val="1"/>
                <w:bCs w:val="1"/>
                <w:color w:val="auto"/>
              </w:rPr>
              <w:t>​period</w:t>
            </w:r>
          </w:p>
        </w:tc>
        <w:tc>
          <w:tcPr>
            <w:tcW w:w="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8"/>
                <w:szCs w:val="8"/>
                <w:b w:val="1"/>
                <w:bCs w:val="1"/>
                <w:color w:val="auto"/>
              </w:rPr>
              <w:t>​translation</w:t>
            </w: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ind w:left="219"/>
              <w:spacing w:after="0"/>
              <w:rPr>
                <w:sz w:val="20"/>
                <w:szCs w:val="20"/>
                <w:color w:val="auto"/>
              </w:rPr>
            </w:pPr>
            <w:r>
              <w:rPr>
                <w:rFonts w:ascii="Arial" w:cs="Arial" w:eastAsia="Arial" w:hAnsi="Arial"/>
                <w:sz w:val="8"/>
                <w:szCs w:val="8"/>
                <w:b w:val="1"/>
                <w:bCs w:val="1"/>
                <w:color w:val="auto"/>
              </w:rPr>
              <w:t>2023​</w:t>
            </w: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840" w:type="dxa"/>
            <w:vAlign w:val="bottom"/>
            <w:gridSpan w:val="2"/>
            <w:shd w:val="clear" w:color="auto" w:fill="CCEEFF"/>
          </w:tcPr>
          <w:p>
            <w:pPr>
              <w:spacing w:after="0" w:line="93" w:lineRule="exact"/>
              <w:rPr>
                <w:sz w:val="20"/>
                <w:szCs w:val="20"/>
                <w:color w:val="auto"/>
              </w:rPr>
            </w:pPr>
            <w:r>
              <w:rPr>
                <w:rFonts w:ascii="Arial" w:cs="Arial" w:eastAsia="Arial" w:hAnsi="Arial"/>
                <w:sz w:val="10"/>
                <w:szCs w:val="10"/>
                <w:color w:val="auto"/>
              </w:rPr>
              <w:t>Courtenay Central development</w:t>
            </w:r>
          </w:p>
        </w:tc>
        <w:tc>
          <w:tcPr>
            <w:tcW w:w="7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6,380</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2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40" w:type="dxa"/>
            <w:vAlign w:val="bottom"/>
            <w:gridSpan w:val="2"/>
            <w:shd w:val="clear" w:color="auto" w:fill="CCEEFF"/>
          </w:tcPr>
          <w:p>
            <w:pPr>
              <w:ind w:left="920"/>
              <w:spacing w:after="0" w:line="9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80"/>
              <w:spacing w:after="0" w:line="93" w:lineRule="exact"/>
              <w:rPr>
                <w:sz w:val="20"/>
                <w:szCs w:val="20"/>
                <w:color w:val="auto"/>
              </w:rPr>
            </w:pPr>
            <w:r>
              <w:rPr>
                <w:rFonts w:ascii="Arial" w:cs="Arial" w:eastAsia="Arial" w:hAnsi="Arial"/>
                <w:sz w:val="10"/>
                <w:szCs w:val="10"/>
                <w:color w:val="auto"/>
              </w:rPr>
              <w:t>(318)</w:t>
            </w: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6,062</w:t>
            </w:r>
          </w:p>
        </w:tc>
        <w:tc>
          <w:tcPr>
            <w:tcW w:w="0" w:type="dxa"/>
            <w:vAlign w:val="bottom"/>
          </w:tcPr>
          <w:p>
            <w:pPr>
              <w:spacing w:after="0"/>
              <w:rPr>
                <w:sz w:val="1"/>
                <w:szCs w:val="1"/>
                <w:color w:val="auto"/>
              </w:rPr>
            </w:pPr>
          </w:p>
        </w:tc>
      </w:tr>
      <w:tr>
        <w:trPr>
          <w:trHeight w:val="105"/>
        </w:trPr>
        <w:tc>
          <w:tcPr>
            <w:tcW w:w="3840" w:type="dxa"/>
            <w:vAlign w:val="bottom"/>
            <w:gridSpan w:val="2"/>
          </w:tcPr>
          <w:p>
            <w:pPr>
              <w:spacing w:after="0" w:line="105" w:lineRule="exact"/>
              <w:rPr>
                <w:sz w:val="20"/>
                <w:szCs w:val="20"/>
                <w:color w:val="auto"/>
              </w:rPr>
            </w:pPr>
            <w:r>
              <w:rPr>
                <w:rFonts w:ascii="Arial" w:cs="Arial" w:eastAsia="Arial" w:hAnsi="Arial"/>
                <w:sz w:val="10"/>
                <w:szCs w:val="10"/>
                <w:color w:val="auto"/>
              </w:rPr>
              <w:t>Cinema developments and improvements</w:t>
            </w: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2,990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Pr>
          <w:p>
            <w:pPr>
              <w:jc w:val="right"/>
              <w:spacing w:after="0" w:line="105" w:lineRule="exact"/>
              <w:rPr>
                <w:sz w:val="20"/>
                <w:szCs w:val="20"/>
                <w:color w:val="auto"/>
              </w:rPr>
            </w:pPr>
            <w:r>
              <w:rPr>
                <w:rFonts w:ascii="Arial" w:cs="Arial" w:eastAsia="Arial" w:hAnsi="Arial"/>
                <w:sz w:val="10"/>
                <w:szCs w:val="10"/>
                <w:color w:val="auto"/>
              </w:rPr>
              <w:t>2,880</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(3,542)</w:t>
            </w:r>
          </w:p>
        </w:tc>
        <w:tc>
          <w:tcPr>
            <w:tcW w:w="240" w:type="dxa"/>
            <w:vAlign w:val="bottom"/>
          </w:tcPr>
          <w:p>
            <w:pPr>
              <w:spacing w:after="0"/>
              <w:rPr>
                <w:sz w:val="9"/>
                <w:szCs w:val="9"/>
                <w:color w:val="auto"/>
              </w:rPr>
            </w:pPr>
          </w:p>
        </w:tc>
        <w:tc>
          <w:tcPr>
            <w:tcW w:w="112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(61)</w:t>
            </w: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2,267</w:t>
            </w:r>
          </w:p>
        </w:tc>
        <w:tc>
          <w:tcPr>
            <w:tcW w:w="0" w:type="dxa"/>
            <w:vAlign w:val="bottom"/>
          </w:tcPr>
          <w:p>
            <w:pPr>
              <w:spacing w:after="0"/>
              <w:rPr>
                <w:sz w:val="1"/>
                <w:szCs w:val="1"/>
                <w:color w:val="auto"/>
              </w:rPr>
            </w:pPr>
          </w:p>
        </w:tc>
      </w:tr>
      <w:tr>
        <w:trPr>
          <w:trHeight w:val="105"/>
        </w:trPr>
        <w:tc>
          <w:tcPr>
            <w:tcW w:w="384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Other real estate projects</w:t>
            </w: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2,404</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1,557</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(2,744)</w:t>
            </w:r>
          </w:p>
        </w:tc>
        <w:tc>
          <w:tcPr>
            <w:tcW w:w="24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(22)</w:t>
            </w: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1,195</w:t>
            </w:r>
          </w:p>
        </w:tc>
        <w:tc>
          <w:tcPr>
            <w:tcW w:w="0" w:type="dxa"/>
            <w:vAlign w:val="bottom"/>
          </w:tcPr>
          <w:p>
            <w:pPr>
              <w:spacing w:after="0"/>
              <w:rPr>
                <w:sz w:val="1"/>
                <w:szCs w:val="1"/>
                <w:color w:val="auto"/>
              </w:rPr>
            </w:pPr>
          </w:p>
        </w:tc>
      </w:tr>
      <w:tr>
        <w:trPr>
          <w:trHeight w:val="93"/>
        </w:trPr>
        <w:tc>
          <w:tcPr>
            <w:tcW w:w="3760" w:type="dxa"/>
            <w:vAlign w:val="bottom"/>
            <w:tcBorders>
              <w:top w:val="single" w:sz="8" w:color="auto"/>
              <w:bottom w:val="single" w:sz="8" w:color="auto"/>
            </w:tcBorders>
          </w:tcPr>
          <w:p>
            <w:pPr>
              <w:spacing w:after="0" w:line="93" w:lineRule="exact"/>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ind w:right="677"/>
              <w:spacing w:after="0" w:line="93" w:lineRule="exact"/>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w w:val="97"/>
              </w:rPr>
              <w:t>11,774</w:t>
            </w:r>
          </w:p>
        </w:tc>
        <w:tc>
          <w:tcPr>
            <w:tcW w:w="10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122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4,437</w:t>
            </w:r>
          </w:p>
        </w:tc>
        <w:tc>
          <w:tcPr>
            <w:tcW w:w="8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ind w:right="131"/>
              <w:spacing w:after="0" w:line="93" w:lineRule="exact"/>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(6,286)</w:t>
            </w:r>
          </w:p>
        </w:tc>
        <w:tc>
          <w:tcPr>
            <w:tcW w:w="8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5"/>
                <w:szCs w:val="5"/>
                <w:b w:val="1"/>
                <w:bCs w:val="1"/>
                <w:color w:val="auto"/>
                <w:w w:val="70"/>
              </w:rPr>
              <w:t>$</w:t>
            </w:r>
          </w:p>
        </w:tc>
        <w:tc>
          <w:tcPr>
            <w:tcW w:w="104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(401)</w:t>
            </w:r>
          </w:p>
        </w:tc>
        <w:tc>
          <w:tcPr>
            <w:tcW w:w="80" w:type="dxa"/>
            <w:vAlign w:val="bottom"/>
          </w:tcPr>
          <w:p>
            <w:pPr>
              <w:spacing w:after="0"/>
              <w:rPr>
                <w:sz w:val="8"/>
                <w:szCs w:val="8"/>
                <w:color w:val="auto"/>
              </w:rPr>
            </w:pPr>
          </w:p>
        </w:tc>
        <w:tc>
          <w:tcPr>
            <w:tcW w:w="220" w:type="dxa"/>
            <w:vAlign w:val="bottom"/>
            <w:tcBorders>
              <w:top w:val="single" w:sz="8" w:color="auto"/>
              <w:bottom w:val="single" w:sz="8" w:color="auto"/>
            </w:tcBorders>
          </w:tcPr>
          <w:p>
            <w:pPr>
              <w:jc w:val="right"/>
              <w:ind w:right="111"/>
              <w:spacing w:after="0" w:line="93" w:lineRule="exact"/>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9,524</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Disposal Groups Held for Sale</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Culver City, Los Angeles</w:t>
      </w:r>
    </w:p>
    <w:p>
      <w:pPr>
        <w:spacing w:after="0" w:line="95" w:lineRule="exact"/>
        <w:rPr>
          <w:sz w:val="20"/>
          <w:szCs w:val="20"/>
          <w:color w:val="auto"/>
        </w:rPr>
      </w:pPr>
    </w:p>
    <w:p>
      <w:pPr>
        <w:spacing w:after="0" w:line="231" w:lineRule="auto"/>
        <w:rPr>
          <w:sz w:val="20"/>
          <w:szCs w:val="20"/>
          <w:color w:val="auto"/>
        </w:rPr>
      </w:pPr>
      <w:r>
        <w:rPr>
          <w:rFonts w:ascii="Arial" w:cs="Arial" w:eastAsia="Arial" w:hAnsi="Arial"/>
          <w:sz w:val="10"/>
          <w:szCs w:val="10"/>
          <w:color w:val="auto"/>
        </w:rPr>
        <w:t>In May 2023, we classified our Culver City administrative building, commonly known as 5995 Sepulveda Blvd., as held for sale. Our book value (as opposed to fair value) of the property is $11.2 million, being the lower of cost and fair value less costs to sell. No adjustments to the book value of the assets contained within this disposal group were required. The disposal group consists of land, a building and various leasehold improvements. We expect to complete the sale within 12 months. The property is currently encumbered with a $8.5 million first mortgage which will become due on sale. It is not anticipated that any pre-payment penalty or make-whole payment will be payable in connection with such payoff.</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2483 Trenton Avenue, Williamsport, Pennsylvania</w:t>
      </w:r>
    </w:p>
    <w:p>
      <w:pPr>
        <w:spacing w:after="0" w:line="95" w:lineRule="exact"/>
        <w:rPr>
          <w:sz w:val="20"/>
          <w:szCs w:val="20"/>
          <w:color w:val="auto"/>
        </w:rPr>
      </w:pPr>
    </w:p>
    <w:p>
      <w:pPr>
        <w:jc w:val="both"/>
        <w:ind w:right="180"/>
        <w:spacing w:after="0" w:line="231" w:lineRule="auto"/>
        <w:rPr>
          <w:sz w:val="20"/>
          <w:szCs w:val="20"/>
          <w:color w:val="auto"/>
        </w:rPr>
      </w:pPr>
      <w:r>
        <w:rPr>
          <w:rFonts w:ascii="Arial" w:cs="Arial" w:eastAsia="Arial" w:hAnsi="Arial"/>
          <w:sz w:val="10"/>
          <w:szCs w:val="10"/>
          <w:color w:val="auto"/>
        </w:rPr>
        <w:t>In June 2023, we classified our approximately 26.6-acre property at 2483 Trenton Avenue, Williamsport, Pennsylvania, as held for sale at the lower of cost and fair value less costs to sell. The current book value (as opposed to fair value) of the property is $460,000. The property is part of our historic railroad operations, consisting of land and an 18,000 square foot industrial building. No adjustments to the book value of the assets contained within this disposal group were required. We expect to complete the sale within 12 months. The property is unencumbered. We have retained CBRE as our exclusive agent for the marketing of this property.</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Maitland Centre, New South Wales</w:t>
      </w:r>
    </w:p>
    <w:p>
      <w:pPr>
        <w:spacing w:after="0" w:line="103" w:lineRule="exact"/>
        <w:rPr>
          <w:sz w:val="20"/>
          <w:szCs w:val="20"/>
          <w:color w:val="auto"/>
        </w:rPr>
      </w:pPr>
    </w:p>
    <w:p>
      <w:pPr>
        <w:ind w:right="40"/>
        <w:spacing w:after="0" w:line="261" w:lineRule="auto"/>
        <w:rPr>
          <w:sz w:val="20"/>
          <w:szCs w:val="20"/>
          <w:color w:val="auto"/>
        </w:rPr>
      </w:pPr>
      <w:r>
        <w:rPr>
          <w:rFonts w:ascii="Arial" w:cs="Arial" w:eastAsia="Arial" w:hAnsi="Arial"/>
          <w:sz w:val="10"/>
          <w:szCs w:val="10"/>
          <w:color w:val="auto"/>
        </w:rPr>
        <w:t>In September 2023, we classified our freehold Maitland cinema as held for sale. Our book value (as opposed to fair value) of the property is $706,000, being the lower of cost and fair value less costs to sell. No adjustments to the book value of the assets contained within this disposal group were required. On October 25, 2023, we completed the sale of this property at a sales price of AU$2,800,000</w:t>
      </w:r>
      <w:r>
        <w:rPr>
          <w:rFonts w:ascii="Arial" w:cs="Arial" w:eastAsia="Arial" w:hAnsi="Arial"/>
          <w:sz w:val="12"/>
          <w:szCs w:val="12"/>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7 – Leases</w:t>
      </w:r>
    </w:p>
    <w:p>
      <w:pPr>
        <w:spacing w:after="0" w:line="101" w:lineRule="exact"/>
        <w:rPr>
          <w:sz w:val="20"/>
          <w:szCs w:val="20"/>
          <w:color w:val="auto"/>
        </w:rPr>
      </w:pPr>
    </w:p>
    <w:p>
      <w:pPr>
        <w:ind w:right="100"/>
        <w:spacing w:after="0" w:line="237" w:lineRule="auto"/>
        <w:rPr>
          <w:sz w:val="20"/>
          <w:szCs w:val="20"/>
          <w:color w:val="auto"/>
        </w:rPr>
      </w:pPr>
      <w:r>
        <w:rPr>
          <w:rFonts w:ascii="Arial" w:cs="Arial" w:eastAsia="Arial" w:hAnsi="Arial"/>
          <w:sz w:val="10"/>
          <w:szCs w:val="10"/>
          <w:color w:val="auto"/>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As Lessee</w:t>
      </w:r>
    </w:p>
    <w:p>
      <w:pPr>
        <w:spacing w:after="0" w:line="101" w:lineRule="exact"/>
        <w:rPr>
          <w:sz w:val="20"/>
          <w:szCs w:val="20"/>
          <w:color w:val="auto"/>
        </w:rPr>
      </w:pPr>
    </w:p>
    <w:p>
      <w:pPr>
        <w:ind w:right="80"/>
        <w:spacing w:after="0" w:line="237" w:lineRule="auto"/>
        <w:rPr>
          <w:sz w:val="20"/>
          <w:szCs w:val="20"/>
          <w:color w:val="auto"/>
        </w:rPr>
      </w:pPr>
      <w:r>
        <w:rPr>
          <w:rFonts w:ascii="Arial" w:cs="Arial" w:eastAsia="Arial" w:hAnsi="Arial"/>
          <w:sz w:val="10"/>
          <w:szCs w:val="10"/>
          <w:color w:val="auto"/>
        </w:rPr>
        <w:t>We have operating leases for certain cinemas, and finance leases for certain equipment assets. Our leases have remaining lease terms of 1 to 25 years, with certain leases having options to extend to up to a further 20 years. Lease payments for our cinema operating leases consist of fixed base rent, and for certain leases, variable lease payments consisting of contracted percentages of revenue, changes in the relevant CPI, and/or other contracted financial metrics.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4" w:right="640" w:bottom="1440" w:gutter="0" w:footer="0" w:header="0"/>
        </w:sectPr>
      </w:pPr>
    </w:p>
    <w:bookmarkStart w:id="12" w:name="page13"/>
    <w:bookmarkEnd w:id="12"/>
    <w:p>
      <w:pPr>
        <w:spacing w:after="0"/>
        <w:rPr>
          <w:sz w:val="20"/>
          <w:szCs w:val="20"/>
          <w:color w:val="auto"/>
        </w:rPr>
      </w:pPr>
      <w:r>
        <w:rPr>
          <w:rFonts w:ascii="Arial" w:cs="Arial" w:eastAsia="Arial" w:hAnsi="Arial"/>
          <w:sz w:val="10"/>
          <w:szCs w:val="10"/>
          <w:color w:val="auto"/>
        </w:rPr>
        <w:t>The components of lease expense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gridSpan w:val="4"/>
          </w:tcPr>
          <w:p>
            <w:pPr>
              <w:ind w:left="940"/>
              <w:spacing w:after="0"/>
              <w:rPr>
                <w:sz w:val="20"/>
                <w:szCs w:val="20"/>
                <w:color w:val="auto"/>
              </w:rPr>
            </w:pPr>
            <w:r>
              <w:rPr>
                <w:rFonts w:ascii="Arial" w:cs="Arial" w:eastAsia="Arial" w:hAnsi="Arial"/>
                <w:sz w:val="8"/>
                <w:szCs w:val="8"/>
                <w:b w:val="1"/>
                <w:bCs w:val="1"/>
                <w:color w:val="auto"/>
              </w:rPr>
              <w:t>Quarter Ended</w:t>
            </w: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3"/>
          </w:tcPr>
          <w:p>
            <w:pPr>
              <w:spacing w:after="0"/>
              <w:rPr>
                <w:sz w:val="20"/>
                <w:szCs w:val="20"/>
                <w:color w:val="auto"/>
              </w:rPr>
            </w:pPr>
            <w:r>
              <w:rPr>
                <w:rFonts w:ascii="Arial" w:cs="Arial" w:eastAsia="Arial" w:hAnsi="Arial"/>
                <w:sz w:val="8"/>
                <w:szCs w:val="8"/>
                <w:b w:val="1"/>
                <w:bCs w:val="1"/>
                <w:color w:val="auto"/>
              </w:rPr>
              <w:t>Nine Months Ended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06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1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gridSpan w:val="4"/>
          </w:tcPr>
          <w:p>
            <w:pPr>
              <w:ind w:left="940"/>
              <w:spacing w:after="0"/>
              <w:rPr>
                <w:sz w:val="20"/>
                <w:szCs w:val="20"/>
                <w:color w:val="auto"/>
              </w:rPr>
            </w:pPr>
            <w:r>
              <w:rPr>
                <w:rFonts w:ascii="Arial" w:cs="Arial" w:eastAsia="Arial" w:hAnsi="Arial"/>
                <w:sz w:val="8"/>
                <w:szCs w:val="8"/>
                <w:b w:val="1"/>
                <w:bCs w:val="1"/>
                <w:color w:val="auto"/>
              </w:rPr>
              <w:t>September 30,</w:t>
            </w:r>
          </w:p>
        </w:tc>
        <w:tc>
          <w:tcPr>
            <w:tcW w:w="8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3"/>
          </w:tcPr>
          <w:p>
            <w:pPr>
              <w:ind w:left="120"/>
              <w:spacing w:after="0"/>
              <w:rPr>
                <w:sz w:val="20"/>
                <w:szCs w:val="20"/>
                <w:color w:val="auto"/>
              </w:rPr>
            </w:pPr>
            <w:r>
              <w:rPr>
                <w:rFonts w:ascii="Arial" w:cs="Arial" w:eastAsia="Arial" w:hAnsi="Arial"/>
                <w:sz w:val="8"/>
                <w:szCs w:val="8"/>
                <w:b w:val="1"/>
                <w:bCs w:val="1"/>
                <w:color w:val="auto"/>
              </w:rPr>
              <w:t>September 30,</w:t>
            </w: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jc w:val="right"/>
              <w:ind w:right="494"/>
              <w:spacing w:after="0"/>
              <w:rPr>
                <w:sz w:val="20"/>
                <w:szCs w:val="20"/>
                <w:color w:val="auto"/>
              </w:rPr>
            </w:pPr>
            <w:r>
              <w:rPr>
                <w:rFonts w:ascii="Arial" w:cs="Arial" w:eastAsia="Arial" w:hAnsi="Arial"/>
                <w:sz w:val="8"/>
                <w:szCs w:val="8"/>
                <w:b w:val="1"/>
                <w:bCs w:val="1"/>
                <w:color w:val="auto"/>
              </w:rPr>
              <w:t>2023</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ind w:right="494"/>
              <w:spacing w:after="0"/>
              <w:rPr>
                <w:sz w:val="20"/>
                <w:szCs w:val="20"/>
                <w:color w:val="auto"/>
              </w:rPr>
            </w:pPr>
            <w:r>
              <w:rPr>
                <w:rFonts w:ascii="Arial" w:cs="Arial" w:eastAsia="Arial" w:hAnsi="Arial"/>
                <w:sz w:val="8"/>
                <w:szCs w:val="8"/>
                <w:b w:val="1"/>
                <w:bCs w:val="1"/>
                <w:color w:val="auto"/>
              </w:rPr>
              <w:t>2022</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b w:val="1"/>
                <w:bCs w:val="1"/>
                <w:color w:val="auto"/>
              </w:rPr>
              <w:t>2023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jc w:val="right"/>
              <w:ind w:right="492"/>
              <w:spacing w:after="0"/>
              <w:rPr>
                <w:sz w:val="20"/>
                <w:szCs w:val="20"/>
                <w:color w:val="auto"/>
              </w:rPr>
            </w:pPr>
            <w:r>
              <w:rPr>
                <w:rFonts w:ascii="Arial" w:cs="Arial" w:eastAsia="Arial" w:hAnsi="Arial"/>
                <w:sz w:val="8"/>
                <w:szCs w:val="8"/>
                <w:b w:val="1"/>
                <w:bCs w:val="1"/>
                <w:color w:val="auto"/>
                <w:w w:val="89"/>
              </w:rPr>
              <w:t>2022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90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Lease cost</w:t>
            </w: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1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06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Finance lease cost:</w:t>
            </w: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60" w:type="dxa"/>
            <w:vAlign w:val="bottom"/>
            <w:gridSpan w:val="2"/>
            <w:shd w:val="clear" w:color="auto" w:fill="CCEEFF"/>
          </w:tcPr>
          <w:p>
            <w:pPr>
              <w:ind w:left="120"/>
              <w:spacing w:after="0" w:line="105" w:lineRule="exact"/>
              <w:rPr>
                <w:sz w:val="20"/>
                <w:szCs w:val="20"/>
                <w:color w:val="auto"/>
              </w:rPr>
            </w:pPr>
            <w:r>
              <w:rPr>
                <w:rFonts w:ascii="Arial" w:cs="Arial" w:eastAsia="Arial" w:hAnsi="Arial"/>
                <w:sz w:val="10"/>
                <w:szCs w:val="10"/>
                <w:color w:val="auto"/>
              </w:rPr>
              <w:t>Amortization of right-of-use assets</w:t>
            </w:r>
          </w:p>
        </w:tc>
        <w:tc>
          <w:tcPr>
            <w:tcW w:w="120" w:type="dxa"/>
            <w:vAlign w:val="bottom"/>
            <w:shd w:val="clear" w:color="auto" w:fill="CCEEFF"/>
          </w:tcPr>
          <w:p>
            <w:pPr>
              <w:jc w:val="right"/>
              <w:ind w:right="56"/>
              <w:spacing w:after="0"/>
              <w:rPr>
                <w:sz w:val="20"/>
                <w:szCs w:val="20"/>
                <w:color w:val="auto"/>
              </w:rPr>
            </w:pPr>
            <w:r>
              <w:rPr>
                <w:rFonts w:ascii="Arial" w:cs="Arial" w:eastAsia="Arial" w:hAnsi="Arial"/>
                <w:sz w:val="5"/>
                <w:szCs w:val="5"/>
                <w:color w:val="auto"/>
                <w:w w:val="70"/>
              </w:rPr>
              <w:t>$</w:t>
            </w:r>
          </w:p>
        </w:tc>
        <w:tc>
          <w:tcPr>
            <w:tcW w:w="11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w:t>
            </w:r>
          </w:p>
        </w:tc>
        <w:tc>
          <w:tcPr>
            <w:tcW w:w="360" w:type="dxa"/>
            <w:vAlign w:val="bottom"/>
            <w:gridSpan w:val="2"/>
            <w:shd w:val="clear" w:color="auto" w:fill="CCEEFF"/>
          </w:tcPr>
          <w:p>
            <w:pPr>
              <w:jc w:val="right"/>
              <w:ind w:right="91"/>
              <w:spacing w:after="0" w:line="105"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w:t>
            </w: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jc w:val="right"/>
              <w:ind w:right="151"/>
              <w:spacing w:after="0" w:line="105" w:lineRule="exact"/>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23</w:t>
            </w:r>
          </w:p>
        </w:tc>
        <w:tc>
          <w:tcPr>
            <w:tcW w:w="700" w:type="dxa"/>
            <w:vAlign w:val="bottom"/>
            <w:gridSpan w:val="2"/>
            <w:shd w:val="clear" w:color="auto" w:fill="CCEEFF"/>
          </w:tcPr>
          <w:p>
            <w:pPr>
              <w:jc w:val="right"/>
              <w:ind w:right="463"/>
              <w:spacing w:after="0" w:line="105"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60" w:type="dxa"/>
            <w:vAlign w:val="bottom"/>
            <w:gridSpan w:val="2"/>
          </w:tcPr>
          <w:p>
            <w:pPr>
              <w:ind w:left="120"/>
              <w:spacing w:after="0" w:line="105" w:lineRule="exact"/>
              <w:rPr>
                <w:sz w:val="20"/>
                <w:szCs w:val="20"/>
                <w:color w:val="auto"/>
              </w:rPr>
            </w:pPr>
            <w:r>
              <w:rPr>
                <w:rFonts w:ascii="Arial" w:cs="Arial" w:eastAsia="Arial" w:hAnsi="Arial"/>
                <w:sz w:val="10"/>
                <w:szCs w:val="10"/>
                <w:color w:val="auto"/>
              </w:rPr>
              <w:t>Interest on lease liabilities</w:t>
            </w:r>
          </w:p>
        </w:tc>
        <w:tc>
          <w:tcPr>
            <w:tcW w:w="120" w:type="dxa"/>
            <w:vAlign w:val="bottom"/>
          </w:tcPr>
          <w:p>
            <w:pPr>
              <w:spacing w:after="0"/>
              <w:rPr>
                <w:sz w:val="9"/>
                <w:szCs w:val="9"/>
                <w:color w:val="auto"/>
              </w:rPr>
            </w:pPr>
          </w:p>
        </w:tc>
        <w:tc>
          <w:tcPr>
            <w:tcW w:w="11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jc w:val="right"/>
              <w:spacing w:after="0" w:line="105" w:lineRule="exact"/>
              <w:rPr>
                <w:sz w:val="20"/>
                <w:szCs w:val="20"/>
                <w:color w:val="auto"/>
              </w:rPr>
            </w:pPr>
            <w:r>
              <w:rPr>
                <w:rFonts w:ascii="Arial" w:cs="Arial" w:eastAsia="Arial" w:hAnsi="Arial"/>
                <w:sz w:val="10"/>
                <w:szCs w:val="10"/>
                <w:color w:val="auto"/>
              </w:rPr>
              <w:t>1</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1</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jc w:val="right"/>
              <w:spacing w:after="0" w:line="105" w:lineRule="exact"/>
              <w:rPr>
                <w:sz w:val="20"/>
                <w:szCs w:val="20"/>
                <w:color w:val="auto"/>
              </w:rPr>
            </w:pPr>
            <w:r>
              <w:rPr>
                <w:rFonts w:ascii="Arial" w:cs="Arial" w:eastAsia="Arial" w:hAnsi="Arial"/>
                <w:sz w:val="10"/>
                <w:szCs w:val="10"/>
                <w:color w:val="auto"/>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6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Operating lease cost</w:t>
            </w: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8,076</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8,160</w:t>
            </w: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24,287</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24,475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60" w:type="dxa"/>
            <w:vAlign w:val="bottom"/>
            <w:tcBorders>
              <w:bottom w:val="single" w:sz="8" w:color="CCEEFF"/>
            </w:tcBorders>
            <w:gridSpan w:val="2"/>
          </w:tcPr>
          <w:p>
            <w:pPr>
              <w:ind w:left="40"/>
              <w:spacing w:after="0" w:line="105" w:lineRule="exact"/>
              <w:rPr>
                <w:sz w:val="20"/>
                <w:szCs w:val="20"/>
                <w:color w:val="auto"/>
              </w:rPr>
            </w:pPr>
            <w:r>
              <w:rPr>
                <w:rFonts w:ascii="Arial" w:cs="Arial" w:eastAsia="Arial" w:hAnsi="Arial"/>
                <w:sz w:val="10"/>
                <w:szCs w:val="10"/>
                <w:color w:val="auto"/>
              </w:rPr>
              <w:t>Variable lease cost</w:t>
            </w: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722</w:t>
            </w:r>
          </w:p>
        </w:tc>
        <w:tc>
          <w:tcPr>
            <w:tcW w:w="16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181</w:t>
            </w:r>
          </w:p>
        </w:tc>
        <w:tc>
          <w:tcPr>
            <w:tcW w:w="16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jc w:val="right"/>
              <w:spacing w:after="0" w:line="105" w:lineRule="exact"/>
              <w:rPr>
                <w:sz w:val="20"/>
                <w:szCs w:val="20"/>
                <w:color w:val="auto"/>
              </w:rPr>
            </w:pPr>
            <w:r>
              <w:rPr>
                <w:rFonts w:ascii="Arial" w:cs="Arial" w:eastAsia="Arial" w:hAnsi="Arial"/>
                <w:sz w:val="10"/>
                <w:szCs w:val="10"/>
                <w:color w:val="auto"/>
              </w:rPr>
              <w:t>1,377</w:t>
            </w:r>
          </w:p>
        </w:tc>
        <w:tc>
          <w:tcPr>
            <w:tcW w:w="16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270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060" w:type="dxa"/>
            <w:vAlign w:val="bottom"/>
            <w:tcBorders>
              <w:bottom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 lease cost</w:t>
            </w:r>
          </w:p>
        </w:tc>
        <w:tc>
          <w:tcPr>
            <w:tcW w:w="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114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8,806</w:t>
            </w:r>
          </w:p>
        </w:tc>
        <w:tc>
          <w:tcPr>
            <w:tcW w:w="1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jc w:val="right"/>
              <w:ind w:right="91"/>
              <w:spacing w:after="0" w:line="93" w:lineRule="exact"/>
              <w:rPr>
                <w:sz w:val="20"/>
                <w:szCs w:val="20"/>
                <w:color w:val="auto"/>
              </w:rPr>
            </w:pPr>
            <w:r>
              <w:rPr>
                <w:rFonts w:ascii="Arial" w:cs="Arial" w:eastAsia="Arial" w:hAnsi="Arial"/>
                <w:sz w:val="10"/>
                <w:szCs w:val="10"/>
                <w:b w:val="1"/>
                <w:bCs w:val="1"/>
                <w:color w:val="auto"/>
                <w:w w:val="71"/>
              </w:rPr>
              <w:t>$</w:t>
            </w:r>
          </w:p>
        </w:tc>
        <w:tc>
          <w:tcPr>
            <w:tcW w:w="22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8,350</w:t>
            </w:r>
          </w:p>
        </w:tc>
        <w:tc>
          <w:tcPr>
            <w:tcW w:w="16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jc w:val="right"/>
              <w:ind w:right="151"/>
              <w:spacing w:after="0" w:line="93"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gridSpan w:val="2"/>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25,688</w:t>
            </w:r>
          </w:p>
        </w:tc>
        <w:tc>
          <w:tcPr>
            <w:tcW w:w="16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24,777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060" w:type="dxa"/>
            <w:vAlign w:val="bottom"/>
            <w:gridSpan w:val="2"/>
          </w:tcPr>
          <w:p>
            <w:pPr>
              <w:spacing w:after="0"/>
              <w:rPr>
                <w:sz w:val="20"/>
                <w:szCs w:val="20"/>
                <w:color w:val="auto"/>
              </w:rPr>
            </w:pPr>
            <w:r>
              <w:rPr>
                <w:rFonts w:ascii="Arial" w:cs="Arial" w:eastAsia="Arial" w:hAnsi="Arial"/>
                <w:sz w:val="10"/>
                <w:szCs w:val="10"/>
                <w:color w:val="auto"/>
              </w:rPr>
              <w:t>Supplemental cash flow information related to leases is as follows: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4"/>
          </w:tcPr>
          <w:p>
            <w:pPr>
              <w:jc w:val="right"/>
              <w:ind w:right="13"/>
              <w:spacing w:after="0"/>
              <w:rPr>
                <w:sz w:val="20"/>
                <w:szCs w:val="20"/>
                <w:color w:val="auto"/>
              </w:rPr>
            </w:pPr>
            <w:r>
              <w:rPr>
                <w:rFonts w:ascii="Arial" w:cs="Arial" w:eastAsia="Arial" w:hAnsi="Arial"/>
                <w:sz w:val="8"/>
                <w:szCs w:val="8"/>
                <w:b w:val="1"/>
                <w:bCs w:val="1"/>
                <w:color w:val="auto"/>
              </w:rPr>
              <w:t>Nine Months Ended</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506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8"/>
                <w:szCs w:val="8"/>
                <w:b w:val="1"/>
                <w:bCs w:val="1"/>
                <w:color w:val="auto"/>
              </w:rPr>
              <w:t>September 30,</w:t>
            </w: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060" w:type="dxa"/>
            <w:vAlign w:val="bottom"/>
            <w:tcBorders>
              <w:bottom w:val="single" w:sz="8" w:color="auto"/>
            </w:tcBorders>
            <w:gridSpan w:val="2"/>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1020" w:type="dxa"/>
            <w:vAlign w:val="bottom"/>
            <w:tcBorders>
              <w:bottom w:val="single" w:sz="8" w:color="auto"/>
            </w:tcBorders>
            <w:gridSpan w:val="2"/>
          </w:tcPr>
          <w:p>
            <w:pPr>
              <w:jc w:val="center"/>
              <w:ind w:left="714"/>
              <w:spacing w:after="0"/>
              <w:rPr>
                <w:sz w:val="20"/>
                <w:szCs w:val="20"/>
                <w:color w:val="auto"/>
              </w:rPr>
            </w:pPr>
            <w:r>
              <w:rPr>
                <w:rFonts w:ascii="Arial" w:cs="Arial" w:eastAsia="Arial" w:hAnsi="Arial"/>
                <w:sz w:val="8"/>
                <w:szCs w:val="8"/>
                <w:b w:val="1"/>
                <w:bCs w:val="1"/>
                <w:color w:val="auto"/>
              </w:rPr>
              <w:t>2023</w:t>
            </w: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jc w:val="center"/>
              <w:ind w:left="356"/>
              <w:spacing w:after="0"/>
              <w:rPr>
                <w:sz w:val="20"/>
                <w:szCs w:val="20"/>
                <w:color w:val="auto"/>
              </w:rPr>
            </w:pPr>
            <w:r>
              <w:rPr>
                <w:rFonts w:ascii="Arial" w:cs="Arial" w:eastAsia="Arial" w:hAnsi="Arial"/>
                <w:sz w:val="8"/>
                <w:szCs w:val="8"/>
                <w:b w:val="1"/>
                <w:bCs w:val="1"/>
                <w:color w:val="auto"/>
              </w:rPr>
              <w:t>2022</w:t>
            </w: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060" w:type="dxa"/>
            <w:vAlign w:val="bottom"/>
            <w:gridSpan w:val="2"/>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Cash flows relating to lease cost</w:t>
            </w: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06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Cash paid for amounts included in the measurement of lease liabilities:</w:t>
            </w: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60" w:type="dxa"/>
            <w:vAlign w:val="bottom"/>
            <w:gridSpan w:val="2"/>
            <w:shd w:val="clear" w:color="auto" w:fill="CCEEFF"/>
          </w:tcPr>
          <w:p>
            <w:pPr>
              <w:ind w:left="120"/>
              <w:spacing w:after="0" w:line="105" w:lineRule="exact"/>
              <w:rPr>
                <w:sz w:val="20"/>
                <w:szCs w:val="20"/>
                <w:color w:val="auto"/>
              </w:rPr>
            </w:pPr>
            <w:r>
              <w:rPr>
                <w:rFonts w:ascii="Arial" w:cs="Arial" w:eastAsia="Arial" w:hAnsi="Arial"/>
                <w:sz w:val="10"/>
                <w:szCs w:val="10"/>
                <w:color w:val="auto"/>
              </w:rPr>
              <w:t>Operating cash flows for finance leases</w:t>
            </w: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754"/>
              <w:spacing w:after="0" w:line="105" w:lineRule="exact"/>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26</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120"/>
              <w:spacing w:after="0" w:line="105"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60" w:type="dxa"/>
            <w:vAlign w:val="bottom"/>
            <w:gridSpan w:val="2"/>
          </w:tcPr>
          <w:p>
            <w:pPr>
              <w:ind w:left="120"/>
              <w:spacing w:after="0" w:line="105" w:lineRule="exact"/>
              <w:rPr>
                <w:sz w:val="20"/>
                <w:szCs w:val="20"/>
                <w:color w:val="auto"/>
              </w:rPr>
            </w:pPr>
            <w:r>
              <w:rPr>
                <w:rFonts w:ascii="Arial" w:cs="Arial" w:eastAsia="Arial" w:hAnsi="Arial"/>
                <w:sz w:val="10"/>
                <w:szCs w:val="10"/>
                <w:color w:val="auto"/>
              </w:rPr>
              <w:t>Operating cash flows for operating leases</w:t>
            </w: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24,944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jc w:val="right"/>
              <w:spacing w:after="0" w:line="105" w:lineRule="exact"/>
              <w:rPr>
                <w:sz w:val="20"/>
                <w:szCs w:val="20"/>
                <w:color w:val="auto"/>
              </w:rPr>
            </w:pPr>
            <w:r>
              <w:rPr>
                <w:rFonts w:ascii="Arial" w:cs="Arial" w:eastAsia="Arial" w:hAnsi="Arial"/>
                <w:sz w:val="10"/>
                <w:szCs w:val="10"/>
                <w:color w:val="auto"/>
              </w:rPr>
              <w:t>26,034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6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Right-of-use assets obtained in exchange for new operating lease liabilities</w:t>
            </w: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1,578</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6,720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0"/>
                <w:szCs w:val="10"/>
                <w:color w:val="auto"/>
              </w:rPr>
              <w:t>Supplemental balance sheet information related to leases is as follows: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left="434"/>
              <w:spacing w:after="0"/>
              <w:rPr>
                <w:sz w:val="20"/>
                <w:szCs w:val="20"/>
                <w:color w:val="auto"/>
              </w:rPr>
            </w:pPr>
            <w:r>
              <w:rPr>
                <w:rFonts w:ascii="Arial" w:cs="Arial" w:eastAsia="Arial" w:hAnsi="Arial"/>
                <w:sz w:val="8"/>
                <w:szCs w:val="8"/>
                <w:b w:val="1"/>
                <w:bCs w:val="1"/>
                <w:color w:val="auto"/>
              </w:rPr>
              <w:t>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100"/>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8"/>
                <w:szCs w:val="8"/>
                <w:i w:val="1"/>
                <w:iCs w:val="1"/>
                <w:color w:val="auto"/>
              </w:rPr>
              <w:t>(Dollars in thousands)</w:t>
            </w: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1020" w:type="dxa"/>
            <w:vAlign w:val="bottom"/>
            <w:tcBorders>
              <w:bottom w:val="single" w:sz="8" w:color="auto"/>
            </w:tcBorders>
            <w:gridSpan w:val="2"/>
          </w:tcPr>
          <w:p>
            <w:pPr>
              <w:jc w:val="center"/>
              <w:ind w:left="714"/>
              <w:spacing w:after="0"/>
              <w:rPr>
                <w:sz w:val="20"/>
                <w:szCs w:val="20"/>
                <w:color w:val="auto"/>
              </w:rPr>
            </w:pPr>
            <w:r>
              <w:rPr>
                <w:rFonts w:ascii="Arial" w:cs="Arial" w:eastAsia="Arial" w:hAnsi="Arial"/>
                <w:sz w:val="8"/>
                <w:szCs w:val="8"/>
                <w:b w:val="1"/>
                <w:bCs w:val="1"/>
                <w:color w:val="auto"/>
              </w:rPr>
              <w:t>2023</w:t>
            </w: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jc w:val="center"/>
              <w:ind w:left="356"/>
              <w:spacing w:after="0"/>
              <w:rPr>
                <w:sz w:val="20"/>
                <w:szCs w:val="20"/>
                <w:color w:val="auto"/>
              </w:rPr>
            </w:pPr>
            <w:r>
              <w:rPr>
                <w:rFonts w:ascii="Arial" w:cs="Arial" w:eastAsia="Arial" w:hAnsi="Arial"/>
                <w:sz w:val="8"/>
                <w:szCs w:val="8"/>
                <w:b w:val="1"/>
                <w:bCs w:val="1"/>
                <w:color w:val="auto"/>
              </w:rPr>
              <w:t>2022</w:t>
            </w: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060" w:type="dxa"/>
            <w:vAlign w:val="bottom"/>
            <w:gridSpan w:val="2"/>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Operating leases</w:t>
            </w: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06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auto"/>
              </w:rPr>
              <w:t>Operating lease right-of-use assets</w:t>
            </w: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jc w:val="right"/>
              <w:ind w:right="754"/>
              <w:spacing w:after="0" w:line="105" w:lineRule="exact"/>
              <w:rPr>
                <w:sz w:val="20"/>
                <w:szCs w:val="20"/>
                <w:color w:val="auto"/>
              </w:rPr>
            </w:pPr>
            <w:r>
              <w:rPr>
                <w:rFonts w:ascii="Arial" w:cs="Arial" w:eastAsia="Arial" w:hAnsi="Arial"/>
                <w:sz w:val="10"/>
                <w:szCs w:val="10"/>
                <w:b w:val="1"/>
                <w:bCs w:val="1"/>
                <w:color w:val="auto"/>
                <w:w w:val="71"/>
              </w:rPr>
              <w:t>$</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0"/>
                <w:szCs w:val="10"/>
                <w:b w:val="1"/>
                <w:bCs w:val="1"/>
                <w:color w:val="auto"/>
              </w:rPr>
              <w:t>180,718</w:t>
            </w:r>
          </w:p>
        </w:tc>
        <w:tc>
          <w:tcPr>
            <w:tcW w:w="100" w:type="dxa"/>
            <w:vAlign w:val="bottom"/>
          </w:tcPr>
          <w:p>
            <w:pPr>
              <w:spacing w:after="0"/>
              <w:rPr>
                <w:sz w:val="9"/>
                <w:szCs w:val="9"/>
                <w:color w:val="auto"/>
              </w:rPr>
            </w:pPr>
          </w:p>
        </w:tc>
        <w:tc>
          <w:tcPr>
            <w:tcW w:w="440" w:type="dxa"/>
            <w:vAlign w:val="bottom"/>
            <w:gridSpan w:val="2"/>
          </w:tcPr>
          <w:p>
            <w:pPr>
              <w:ind w:left="120"/>
              <w:spacing w:after="0" w:line="105"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jc w:val="right"/>
              <w:spacing w:after="0" w:line="105" w:lineRule="exact"/>
              <w:rPr>
                <w:sz w:val="20"/>
                <w:szCs w:val="20"/>
                <w:color w:val="auto"/>
              </w:rPr>
            </w:pPr>
            <w:r>
              <w:rPr>
                <w:rFonts w:ascii="Arial" w:cs="Arial" w:eastAsia="Arial" w:hAnsi="Arial"/>
                <w:sz w:val="10"/>
                <w:szCs w:val="10"/>
                <w:b w:val="1"/>
                <w:bCs w:val="1"/>
                <w:color w:val="auto"/>
              </w:rPr>
              <w:t>200,417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5060" w:type="dxa"/>
            <w:vAlign w:val="bottom"/>
            <w:tcBorders>
              <w:top w:val="single" w:sz="8" w:color="CCEEFF"/>
            </w:tcBorders>
            <w:gridSpan w:val="2"/>
            <w:shd w:val="clear" w:color="auto" w:fill="CCEEFF"/>
          </w:tcPr>
          <w:p>
            <w:pPr>
              <w:ind w:left="40"/>
              <w:spacing w:after="0" w:line="93" w:lineRule="exact"/>
              <w:rPr>
                <w:sz w:val="20"/>
                <w:szCs w:val="20"/>
                <w:color w:val="auto"/>
              </w:rPr>
            </w:pPr>
            <w:r>
              <w:rPr>
                <w:rFonts w:ascii="Arial" w:cs="Arial" w:eastAsia="Arial" w:hAnsi="Arial"/>
                <w:sz w:val="10"/>
                <w:szCs w:val="10"/>
                <w:color w:val="auto"/>
              </w:rPr>
              <w:t>Operating lease liabilities - current portion</w:t>
            </w:r>
          </w:p>
        </w:tc>
        <w:tc>
          <w:tcPr>
            <w:tcW w:w="12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22,977</w:t>
            </w: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23,971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060" w:type="dxa"/>
            <w:vAlign w:val="bottom"/>
            <w:tcBorders>
              <w:bottom w:val="single" w:sz="8" w:color="CCEEFF"/>
            </w:tcBorders>
            <w:gridSpan w:val="2"/>
          </w:tcPr>
          <w:p>
            <w:pPr>
              <w:ind w:left="40"/>
              <w:spacing w:after="0" w:line="105" w:lineRule="exact"/>
              <w:rPr>
                <w:sz w:val="20"/>
                <w:szCs w:val="20"/>
                <w:color w:val="auto"/>
              </w:rPr>
            </w:pPr>
            <w:r>
              <w:rPr>
                <w:rFonts w:ascii="Arial" w:cs="Arial" w:eastAsia="Arial" w:hAnsi="Arial"/>
                <w:sz w:val="10"/>
                <w:szCs w:val="10"/>
                <w:color w:val="auto"/>
              </w:rPr>
              <w:t>Operating lease liabilities - non-current portion</w:t>
            </w:r>
          </w:p>
        </w:tc>
        <w:tc>
          <w:tcPr>
            <w:tcW w:w="120" w:type="dxa"/>
            <w:vAlign w:val="bottom"/>
            <w:tcBorders>
              <w:bottom w:val="single" w:sz="8" w:color="CCEEFF"/>
            </w:tcBorders>
          </w:tcPr>
          <w:p>
            <w:pPr>
              <w:spacing w:after="0"/>
              <w:rPr>
                <w:sz w:val="9"/>
                <w:szCs w:val="9"/>
                <w:color w:val="auto"/>
              </w:rPr>
            </w:pPr>
          </w:p>
        </w:tc>
        <w:tc>
          <w:tcPr>
            <w:tcW w:w="114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180,002</w:t>
            </w: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200,037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060" w:type="dxa"/>
            <w:vAlign w:val="bottom"/>
            <w:tcBorders>
              <w:bottom w:val="single" w:sz="8" w:color="CCEEFF"/>
            </w:tcBorders>
            <w:gridSpan w:val="2"/>
            <w:shd w:val="clear" w:color="auto" w:fill="CCEEFF"/>
          </w:tcPr>
          <w:p>
            <w:pPr>
              <w:ind w:left="40"/>
              <w:spacing w:after="0" w:line="93" w:lineRule="exact"/>
              <w:rPr>
                <w:sz w:val="20"/>
                <w:szCs w:val="20"/>
                <w:color w:val="auto"/>
              </w:rPr>
            </w:pPr>
            <w:r>
              <w:rPr>
                <w:rFonts w:ascii="Arial" w:cs="Arial" w:eastAsia="Arial" w:hAnsi="Arial"/>
                <w:sz w:val="10"/>
                <w:szCs w:val="10"/>
                <w:b w:val="1"/>
                <w:bCs w:val="1"/>
                <w:color w:val="auto"/>
              </w:rPr>
              <w:t>Total operating lease liabilities</w:t>
            </w:r>
          </w:p>
        </w:tc>
        <w:tc>
          <w:tcPr>
            <w:tcW w:w="1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ind w:right="754"/>
              <w:spacing w:after="0" w:line="93" w:lineRule="exact"/>
              <w:rPr>
                <w:sz w:val="20"/>
                <w:szCs w:val="20"/>
                <w:color w:val="auto"/>
              </w:rPr>
            </w:pPr>
            <w:r>
              <w:rPr>
                <w:rFonts w:ascii="Arial" w:cs="Arial" w:eastAsia="Arial" w:hAnsi="Arial"/>
                <w:sz w:val="10"/>
                <w:szCs w:val="10"/>
                <w:b w:val="1"/>
                <w:bCs w:val="1"/>
                <w:color w:val="auto"/>
                <w:w w:val="71"/>
              </w:rPr>
              <w:t>$</w:t>
            </w:r>
          </w:p>
        </w:tc>
        <w:tc>
          <w:tcPr>
            <w:tcW w:w="160" w:type="dxa"/>
            <w:vAlign w:val="bottom"/>
            <w:tcBorders>
              <w:bottom w:val="single" w:sz="8" w:color="auto"/>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202,979</w:t>
            </w: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w:t>
            </w:r>
          </w:p>
        </w:tc>
        <w:tc>
          <w:tcPr>
            <w:tcW w:w="1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224,008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060" w:type="dxa"/>
            <w:vAlign w:val="bottom"/>
            <w:gridSpan w:val="2"/>
          </w:tcPr>
          <w:p>
            <w:pPr>
              <w:spacing w:after="0" w:line="80" w:lineRule="exact"/>
              <w:rPr>
                <w:sz w:val="20"/>
                <w:szCs w:val="20"/>
                <w:color w:val="auto"/>
              </w:rPr>
            </w:pPr>
            <w:r>
              <w:rPr>
                <w:rFonts w:ascii="Arial" w:cs="Arial" w:eastAsia="Arial" w:hAnsi="Arial"/>
                <w:sz w:val="9"/>
                <w:szCs w:val="9"/>
                <w:b w:val="1"/>
                <w:bCs w:val="1"/>
                <w:color w:val="auto"/>
              </w:rPr>
              <w:t>Finance leases</w:t>
            </w: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506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Property plant and equipment, gross</w:t>
            </w: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356</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363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6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Accumulated depreciation</w:t>
            </w: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(353)</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jc w:val="right"/>
              <w:spacing w:after="0" w:line="105" w:lineRule="exact"/>
              <w:rPr>
                <w:sz w:val="20"/>
                <w:szCs w:val="20"/>
                <w:color w:val="auto"/>
              </w:rPr>
            </w:pPr>
            <w:r>
              <w:rPr>
                <w:rFonts w:ascii="Arial" w:cs="Arial" w:eastAsia="Arial" w:hAnsi="Arial"/>
                <w:sz w:val="10"/>
                <w:szCs w:val="10"/>
                <w:color w:val="auto"/>
              </w:rPr>
              <w:t>(338)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060" w:type="dxa"/>
            <w:vAlign w:val="bottom"/>
            <w:tcBorders>
              <w:top w:val="single" w:sz="8" w:color="CCEEFF"/>
              <w:bottom w:val="single" w:sz="8" w:color="CCEEFF"/>
            </w:tcBorders>
            <w:gridSpan w:val="2"/>
            <w:shd w:val="clear" w:color="auto" w:fill="CCEEFF"/>
          </w:tcPr>
          <w:p>
            <w:pPr>
              <w:ind w:left="40"/>
              <w:spacing w:after="0" w:line="93" w:lineRule="exact"/>
              <w:rPr>
                <w:sz w:val="20"/>
                <w:szCs w:val="20"/>
                <w:color w:val="auto"/>
              </w:rPr>
            </w:pPr>
            <w:r>
              <w:rPr>
                <w:rFonts w:ascii="Arial" w:cs="Arial" w:eastAsia="Arial" w:hAnsi="Arial"/>
                <w:sz w:val="10"/>
                <w:szCs w:val="10"/>
                <w:b w:val="1"/>
                <w:bCs w:val="1"/>
                <w:color w:val="auto"/>
              </w:rPr>
              <w:t>Property plant and equipment, net</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14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CCEEFF"/>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860" w:type="dxa"/>
            <w:vAlign w:val="bottom"/>
            <w:tcBorders>
              <w:top w:val="single" w:sz="8" w:color="auto"/>
              <w:bottom w:val="single" w:sz="8" w:color="auto"/>
            </w:tcBorders>
            <w:shd w:val="clear" w:color="auto" w:fill="CCEEFF"/>
          </w:tcPr>
          <w:p>
            <w:pPr>
              <w:jc w:val="right"/>
              <w:ind w:right="754"/>
              <w:spacing w:after="0" w:line="93" w:lineRule="exact"/>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260" w:type="dxa"/>
            <w:vAlign w:val="bottom"/>
            <w:tcBorders>
              <w:top w:val="single" w:sz="8" w:color="auto"/>
              <w:bottom w:val="single" w:sz="8" w:color="auto"/>
            </w:tcBorders>
            <w:shd w:val="clear" w:color="auto" w:fill="CCEEFF"/>
          </w:tcPr>
          <w:p>
            <w:pPr>
              <w:spacing w:after="0"/>
              <w:rPr>
                <w:sz w:val="9"/>
                <w:szCs w:val="9"/>
                <w:color w:val="auto"/>
              </w:rPr>
            </w:pPr>
          </w:p>
        </w:tc>
        <w:tc>
          <w:tcPr>
            <w:tcW w:w="48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320" w:type="dxa"/>
            <w:vAlign w:val="bottom"/>
            <w:tcBorders>
              <w:top w:val="single" w:sz="8" w:color="auto"/>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w:t>
            </w: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060" w:type="dxa"/>
            <w:vAlign w:val="bottom"/>
            <w:tcBorders>
              <w:bottom w:val="single" w:sz="8" w:color="CCEEFF"/>
            </w:tcBorders>
            <w:gridSpan w:val="2"/>
          </w:tcPr>
          <w:p>
            <w:pPr>
              <w:ind w:left="40"/>
              <w:spacing w:after="0" w:line="80" w:lineRule="exact"/>
              <w:rPr>
                <w:sz w:val="20"/>
                <w:szCs w:val="20"/>
                <w:color w:val="auto"/>
              </w:rPr>
            </w:pPr>
            <w:r>
              <w:rPr>
                <w:rFonts w:ascii="Arial" w:cs="Arial" w:eastAsia="Arial" w:hAnsi="Arial"/>
                <w:sz w:val="9"/>
                <w:szCs w:val="9"/>
                <w:color w:val="auto"/>
              </w:rPr>
              <w:t>Other current liabilities</w:t>
            </w:r>
          </w:p>
        </w:tc>
        <w:tc>
          <w:tcPr>
            <w:tcW w:w="120" w:type="dxa"/>
            <w:vAlign w:val="bottom"/>
            <w:tcBorders>
              <w:bottom w:val="single" w:sz="8" w:color="CCEEFF"/>
            </w:tcBorders>
          </w:tcPr>
          <w:p>
            <w:pPr>
              <w:spacing w:after="0"/>
              <w:rPr>
                <w:sz w:val="6"/>
                <w:szCs w:val="6"/>
                <w:color w:val="auto"/>
              </w:rPr>
            </w:pPr>
          </w:p>
        </w:tc>
        <w:tc>
          <w:tcPr>
            <w:tcW w:w="114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jc w:val="right"/>
              <w:spacing w:after="0" w:line="80" w:lineRule="exact"/>
              <w:rPr>
                <w:sz w:val="20"/>
                <w:szCs w:val="20"/>
                <w:color w:val="auto"/>
              </w:rPr>
            </w:pPr>
            <w:r>
              <w:rPr>
                <w:rFonts w:ascii="Arial" w:cs="Arial" w:eastAsia="Arial" w:hAnsi="Arial"/>
                <w:sz w:val="9"/>
                <w:szCs w:val="9"/>
                <w:color w:val="auto"/>
              </w:rPr>
              <w:t>3</w:t>
            </w: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jc w:val="right"/>
              <w:spacing w:after="0" w:line="80" w:lineRule="exact"/>
              <w:rPr>
                <w:sz w:val="20"/>
                <w:szCs w:val="20"/>
                <w:color w:val="auto"/>
              </w:rPr>
            </w:pPr>
            <w:r>
              <w:rPr>
                <w:rFonts w:ascii="Arial" w:cs="Arial" w:eastAsia="Arial" w:hAnsi="Arial"/>
                <w:sz w:val="9"/>
                <w:szCs w:val="9"/>
                <w:color w:val="auto"/>
              </w:rPr>
              <w:t>28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5060" w:type="dxa"/>
            <w:vAlign w:val="bottom"/>
            <w:tcBorders>
              <w:bottom w:val="single" w:sz="8" w:color="CCEEFF"/>
            </w:tcBorders>
            <w:gridSpan w:val="2"/>
            <w:shd w:val="clear" w:color="auto" w:fill="CCEEFF"/>
          </w:tcPr>
          <w:p>
            <w:pPr>
              <w:ind w:left="40"/>
              <w:spacing w:after="0" w:line="93" w:lineRule="exact"/>
              <w:rPr>
                <w:sz w:val="20"/>
                <w:szCs w:val="20"/>
                <w:color w:val="auto"/>
              </w:rPr>
            </w:pPr>
            <w:r>
              <w:rPr>
                <w:rFonts w:ascii="Arial" w:cs="Arial" w:eastAsia="Arial" w:hAnsi="Arial"/>
                <w:sz w:val="10"/>
                <w:szCs w:val="10"/>
                <w:b w:val="1"/>
                <w:bCs w:val="1"/>
                <w:color w:val="auto"/>
              </w:rPr>
              <w:t>Total finance lease liabilities</w:t>
            </w:r>
          </w:p>
        </w:tc>
        <w:tc>
          <w:tcPr>
            <w:tcW w:w="12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jc w:val="right"/>
              <w:ind w:right="754"/>
              <w:spacing w:after="0" w:line="93" w:lineRule="exact"/>
              <w:rPr>
                <w:sz w:val="20"/>
                <w:szCs w:val="20"/>
                <w:color w:val="auto"/>
              </w:rPr>
            </w:pPr>
            <w:r>
              <w:rPr>
                <w:rFonts w:ascii="Arial" w:cs="Arial" w:eastAsia="Arial" w:hAnsi="Arial"/>
                <w:sz w:val="10"/>
                <w:szCs w:val="10"/>
                <w:b w:val="1"/>
                <w:bCs w:val="1"/>
                <w:color w:val="auto"/>
                <w:w w:val="71"/>
              </w:rPr>
              <w:t>$</w:t>
            </w:r>
          </w:p>
        </w:tc>
        <w:tc>
          <w:tcPr>
            <w:tcW w:w="16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3</w:t>
            </w: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w:t>
            </w:r>
          </w:p>
        </w:tc>
        <w:tc>
          <w:tcPr>
            <w:tcW w:w="1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06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b w:val="1"/>
                <w:bCs w:val="1"/>
                <w:color w:val="auto"/>
              </w:rPr>
              <w:t>Other information</w:t>
            </w: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6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Weighted-average remaining lease term - finance leases</w:t>
            </w: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jc w:val="right"/>
              <w:spacing w:after="0" w:line="105"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6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Weighted-average remaining lease term - operating leases</w:t>
            </w: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6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Weighted-average discount rate - finance leases</w:t>
            </w: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5.21%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jc w:val="right"/>
              <w:spacing w:after="0" w:line="105" w:lineRule="exact"/>
              <w:rPr>
                <w:sz w:val="20"/>
                <w:szCs w:val="20"/>
                <w:color w:val="auto"/>
              </w:rPr>
            </w:pPr>
            <w:r>
              <w:rPr>
                <w:rFonts w:ascii="Arial" w:cs="Arial" w:eastAsia="Arial" w:hAnsi="Arial"/>
                <w:sz w:val="10"/>
                <w:szCs w:val="10"/>
                <w:color w:val="auto"/>
              </w:rPr>
              <w:t>5.21%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6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Weighted-average discount rate - operating leases</w:t>
            </w: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4.56%</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4.55%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0"/>
                <w:szCs w:val="10"/>
                <w:color w:val="auto"/>
              </w:rPr>
              <w:t>The maturities of our leases were as follows: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06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center"/>
              <w:ind w:left="414"/>
              <w:spacing w:after="0"/>
              <w:rPr>
                <w:sz w:val="20"/>
                <w:szCs w:val="20"/>
                <w:color w:val="auto"/>
              </w:rPr>
            </w:pPr>
            <w:r>
              <w:rPr>
                <w:rFonts w:ascii="Arial" w:cs="Arial" w:eastAsia="Arial" w:hAnsi="Arial"/>
                <w:sz w:val="8"/>
                <w:szCs w:val="8"/>
                <w:b w:val="1"/>
                <w:bCs w:val="1"/>
                <w:color w:val="auto"/>
              </w:rPr>
              <w:t>Operating</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8"/>
                <w:szCs w:val="8"/>
                <w:b w:val="1"/>
                <w:bCs w:val="1"/>
                <w:color w:val="auto"/>
              </w:rPr>
              <w:t>Finance</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5060" w:type="dxa"/>
            <w:vAlign w:val="bottom"/>
            <w:tcBorders>
              <w:bottom w:val="single" w:sz="8" w:color="auto"/>
            </w:tcBorders>
            <w:gridSpan w:val="2"/>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1020" w:type="dxa"/>
            <w:vAlign w:val="bottom"/>
            <w:tcBorders>
              <w:bottom w:val="single" w:sz="8" w:color="auto"/>
            </w:tcBorders>
            <w:gridSpan w:val="2"/>
          </w:tcPr>
          <w:p>
            <w:pPr>
              <w:jc w:val="center"/>
              <w:ind w:left="694"/>
              <w:spacing w:after="0"/>
              <w:rPr>
                <w:sz w:val="20"/>
                <w:szCs w:val="20"/>
                <w:color w:val="auto"/>
              </w:rPr>
            </w:pPr>
            <w:r>
              <w:rPr>
                <w:rFonts w:ascii="Arial" w:cs="Arial" w:eastAsia="Arial" w:hAnsi="Arial"/>
                <w:sz w:val="8"/>
                <w:szCs w:val="8"/>
                <w:b w:val="1"/>
                <w:bCs w:val="1"/>
                <w:color w:val="auto"/>
                <w:w w:val="97"/>
              </w:rPr>
              <w:t>leases​</w:t>
            </w: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left="203"/>
              <w:spacing w:after="0"/>
              <w:rPr>
                <w:sz w:val="20"/>
                <w:szCs w:val="20"/>
                <w:color w:val="auto"/>
              </w:rPr>
            </w:pPr>
            <w:r>
              <w:rPr>
                <w:rFonts w:ascii="Arial" w:cs="Arial" w:eastAsia="Arial" w:hAnsi="Arial"/>
                <w:sz w:val="8"/>
                <w:szCs w:val="8"/>
                <w:b w:val="1"/>
                <w:bCs w:val="1"/>
                <w:color w:val="auto"/>
              </w:rPr>
              <w:t>leases​</w:t>
            </w: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900" w:type="dxa"/>
            <w:vAlign w:val="bottom"/>
            <w:shd w:val="clear" w:color="auto" w:fill="CCEEFF"/>
          </w:tcPr>
          <w:p>
            <w:pPr>
              <w:spacing w:after="0" w:line="100" w:lineRule="exact"/>
              <w:rPr>
                <w:sz w:val="20"/>
                <w:szCs w:val="20"/>
                <w:color w:val="auto"/>
              </w:rPr>
            </w:pPr>
            <w:r>
              <w:rPr>
                <w:rFonts w:ascii="Arial" w:cs="Arial" w:eastAsia="Arial" w:hAnsi="Arial"/>
                <w:sz w:val="10"/>
                <w:szCs w:val="10"/>
                <w:color w:val="auto"/>
              </w:rPr>
              <w:t>2023</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54"/>
              <w:spacing w:after="0" w:line="100" w:lineRule="exact"/>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8,149</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line="100"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900" w:type="dxa"/>
            <w:vAlign w:val="bottom"/>
          </w:tcPr>
          <w:p>
            <w:pPr>
              <w:spacing w:after="0" w:line="105" w:lineRule="exact"/>
              <w:rPr>
                <w:sz w:val="20"/>
                <w:szCs w:val="20"/>
                <w:color w:val="auto"/>
              </w:rPr>
            </w:pPr>
            <w:r>
              <w:rPr>
                <w:rFonts w:ascii="Arial" w:cs="Arial" w:eastAsia="Arial" w:hAnsi="Arial"/>
                <w:sz w:val="10"/>
                <w:szCs w:val="10"/>
                <w:color w:val="auto"/>
              </w:rPr>
              <w:t>2024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31,198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90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2025</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29,159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900" w:type="dxa"/>
            <w:vAlign w:val="bottom"/>
          </w:tcPr>
          <w:p>
            <w:pPr>
              <w:spacing w:after="0" w:line="105" w:lineRule="exact"/>
              <w:rPr>
                <w:sz w:val="20"/>
                <w:szCs w:val="20"/>
                <w:color w:val="auto"/>
              </w:rPr>
            </w:pPr>
            <w:r>
              <w:rPr>
                <w:rFonts w:ascii="Arial" w:cs="Arial" w:eastAsia="Arial" w:hAnsi="Arial"/>
                <w:sz w:val="10"/>
                <w:szCs w:val="10"/>
                <w:color w:val="auto"/>
              </w:rPr>
              <w:t>2026</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27,283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90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2027</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24,977</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60" w:type="dxa"/>
            <w:vAlign w:val="bottom"/>
            <w:tcBorders>
              <w:bottom w:val="single" w:sz="8" w:color="CCEEFF"/>
            </w:tcBorders>
            <w:gridSpan w:val="2"/>
          </w:tcPr>
          <w:p>
            <w:pPr>
              <w:spacing w:after="0" w:line="105" w:lineRule="exact"/>
              <w:rPr>
                <w:sz w:val="20"/>
                <w:szCs w:val="20"/>
                <w:color w:val="auto"/>
              </w:rPr>
            </w:pPr>
            <w:r>
              <w:rPr>
                <w:rFonts w:ascii="Arial" w:cs="Arial" w:eastAsia="Arial" w:hAnsi="Arial"/>
                <w:sz w:val="10"/>
                <w:szCs w:val="10"/>
                <w:color w:val="auto"/>
              </w:rPr>
              <w:t>Thereafter</w:t>
            </w:r>
          </w:p>
        </w:tc>
        <w:tc>
          <w:tcPr>
            <w:tcW w:w="120" w:type="dxa"/>
            <w:vAlign w:val="bottom"/>
            <w:tcBorders>
              <w:bottom w:val="single" w:sz="8" w:color="CCEEFF"/>
            </w:tcBorders>
          </w:tcPr>
          <w:p>
            <w:pPr>
              <w:spacing w:after="0"/>
              <w:rPr>
                <w:sz w:val="9"/>
                <w:szCs w:val="9"/>
                <w:color w:val="auto"/>
              </w:rPr>
            </w:pPr>
          </w:p>
        </w:tc>
        <w:tc>
          <w:tcPr>
            <w:tcW w:w="114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139,619</w:t>
            </w: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5060" w:type="dxa"/>
            <w:vAlign w:val="bottom"/>
            <w:gridSpan w:val="2"/>
            <w:shd w:val="clear" w:color="auto" w:fill="CCEEFF"/>
          </w:tcPr>
          <w:p>
            <w:pPr>
              <w:ind w:left="40"/>
              <w:spacing w:after="0" w:line="93" w:lineRule="exact"/>
              <w:rPr>
                <w:sz w:val="20"/>
                <w:szCs w:val="20"/>
                <w:color w:val="auto"/>
              </w:rPr>
            </w:pPr>
            <w:r>
              <w:rPr>
                <w:rFonts w:ascii="Arial" w:cs="Arial" w:eastAsia="Arial" w:hAnsi="Arial"/>
                <w:sz w:val="10"/>
                <w:szCs w:val="10"/>
                <w:b w:val="1"/>
                <w:bCs w:val="1"/>
                <w:color w:val="auto"/>
              </w:rPr>
              <w:t>Total lease payments</w:t>
            </w: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jc w:val="right"/>
              <w:ind w:right="754"/>
              <w:spacing w:after="0" w:line="93" w:lineRule="exact"/>
              <w:rPr>
                <w:sz w:val="20"/>
                <w:szCs w:val="20"/>
                <w:color w:val="auto"/>
              </w:rPr>
            </w:pPr>
            <w:r>
              <w:rPr>
                <w:rFonts w:ascii="Arial" w:cs="Arial" w:eastAsia="Arial" w:hAnsi="Arial"/>
                <w:sz w:val="10"/>
                <w:szCs w:val="10"/>
                <w:b w:val="1"/>
                <w:bCs w:val="1"/>
                <w:color w:val="auto"/>
                <w:w w:val="71"/>
              </w:rPr>
              <w:t>$</w:t>
            </w:r>
          </w:p>
        </w:tc>
        <w:tc>
          <w:tcPr>
            <w:tcW w:w="16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260,385</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w:t>
            </w:r>
          </w:p>
        </w:tc>
        <w:tc>
          <w:tcPr>
            <w:tcW w:w="1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060" w:type="dxa"/>
            <w:vAlign w:val="bottom"/>
            <w:tcBorders>
              <w:bottom w:val="single" w:sz="8" w:color="CCEEFF"/>
            </w:tcBorders>
            <w:gridSpan w:val="2"/>
          </w:tcPr>
          <w:p>
            <w:pPr>
              <w:spacing w:after="0" w:line="93" w:lineRule="exact"/>
              <w:rPr>
                <w:sz w:val="20"/>
                <w:szCs w:val="20"/>
                <w:color w:val="auto"/>
              </w:rPr>
            </w:pPr>
            <w:r>
              <w:rPr>
                <w:rFonts w:ascii="Arial" w:cs="Arial" w:eastAsia="Arial" w:hAnsi="Arial"/>
                <w:sz w:val="10"/>
                <w:szCs w:val="10"/>
                <w:color w:val="auto"/>
              </w:rPr>
              <w:t>Less imputed interest</w:t>
            </w:r>
          </w:p>
        </w:tc>
        <w:tc>
          <w:tcPr>
            <w:tcW w:w="120" w:type="dxa"/>
            <w:vAlign w:val="bottom"/>
            <w:tcBorders>
              <w:bottom w:val="single" w:sz="8" w:color="CCEEFF"/>
            </w:tcBorders>
          </w:tcPr>
          <w:p>
            <w:pPr>
              <w:spacing w:after="0"/>
              <w:rPr>
                <w:sz w:val="8"/>
                <w:szCs w:val="8"/>
                <w:color w:val="auto"/>
              </w:rPr>
            </w:pPr>
          </w:p>
        </w:tc>
        <w:tc>
          <w:tcPr>
            <w:tcW w:w="114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(57,406)</w:t>
            </w: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060" w:type="dxa"/>
            <w:vAlign w:val="bottom"/>
            <w:tcBorders>
              <w:bottom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ind w:right="754"/>
              <w:spacing w:after="0" w:line="93" w:lineRule="exact"/>
              <w:rPr>
                <w:sz w:val="20"/>
                <w:szCs w:val="20"/>
                <w:color w:val="auto"/>
              </w:rPr>
            </w:pPr>
            <w:r>
              <w:rPr>
                <w:rFonts w:ascii="Arial" w:cs="Arial" w:eastAsia="Arial" w:hAnsi="Arial"/>
                <w:sz w:val="10"/>
                <w:szCs w:val="10"/>
                <w:b w:val="1"/>
                <w:bCs w:val="1"/>
                <w:color w:val="auto"/>
                <w:w w:val="71"/>
              </w:rPr>
              <w:t>$</w:t>
            </w:r>
          </w:p>
        </w:tc>
        <w:tc>
          <w:tcPr>
            <w:tcW w:w="160" w:type="dxa"/>
            <w:vAlign w:val="bottom"/>
            <w:tcBorders>
              <w:bottom w:val="single" w:sz="8" w:color="auto"/>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202,979</w:t>
            </w: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w:t>
            </w:r>
          </w:p>
        </w:tc>
        <w:tc>
          <w:tcPr>
            <w:tcW w:w="1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914"/>
              <w:spacing w:after="0"/>
              <w:rPr>
                <w:sz w:val="20"/>
                <w:szCs w:val="20"/>
                <w:color w:val="auto"/>
              </w:rPr>
            </w:pPr>
            <w:r>
              <w:rPr>
                <w:rFonts w:ascii="Arial" w:cs="Arial" w:eastAsia="Arial" w:hAnsi="Arial"/>
                <w:sz w:val="10"/>
                <w:szCs w:val="10"/>
                <w:color w:val="auto"/>
              </w:rPr>
              <w:t>13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900" w:type="dxa"/>
            <w:vAlign w:val="bottom"/>
            <w:tcBorders>
              <w:bottom w:val="single" w:sz="8" w:color="EEEEEE"/>
            </w:tcBorders>
          </w:tcPr>
          <w:p>
            <w:pPr>
              <w:spacing w:after="0"/>
              <w:rPr>
                <w:sz w:val="15"/>
                <w:szCs w:val="15"/>
                <w:color w:val="auto"/>
              </w:rPr>
            </w:pPr>
          </w:p>
        </w:tc>
        <w:tc>
          <w:tcPr>
            <w:tcW w:w="160" w:type="dxa"/>
            <w:vAlign w:val="bottom"/>
            <w:tcBorders>
              <w:bottom w:val="single" w:sz="8" w:color="EEEEEE"/>
            </w:tcBorders>
          </w:tcPr>
          <w:p>
            <w:pPr>
              <w:spacing w:after="0"/>
              <w:rPr>
                <w:sz w:val="15"/>
                <w:szCs w:val="15"/>
                <w:color w:val="auto"/>
              </w:rPr>
            </w:pPr>
          </w:p>
        </w:tc>
        <w:tc>
          <w:tcPr>
            <w:tcW w:w="120" w:type="dxa"/>
            <w:vAlign w:val="bottom"/>
            <w:tcBorders>
              <w:bottom w:val="single" w:sz="8" w:color="EEEEEE"/>
            </w:tcBorders>
          </w:tcPr>
          <w:p>
            <w:pPr>
              <w:spacing w:after="0"/>
              <w:rPr>
                <w:sz w:val="15"/>
                <w:szCs w:val="15"/>
                <w:color w:val="auto"/>
              </w:rPr>
            </w:pPr>
          </w:p>
        </w:tc>
        <w:tc>
          <w:tcPr>
            <w:tcW w:w="1140" w:type="dxa"/>
            <w:vAlign w:val="bottom"/>
            <w:tcBorders>
              <w:bottom w:val="single" w:sz="8" w:color="EEEEEE"/>
            </w:tcBorders>
          </w:tcPr>
          <w:p>
            <w:pPr>
              <w:spacing w:after="0"/>
              <w:rPr>
                <w:sz w:val="15"/>
                <w:szCs w:val="15"/>
                <w:color w:val="auto"/>
              </w:rPr>
            </w:pPr>
          </w:p>
        </w:tc>
        <w:tc>
          <w:tcPr>
            <w:tcW w:w="160" w:type="dxa"/>
            <w:vAlign w:val="bottom"/>
            <w:tcBorders>
              <w:bottom w:val="single" w:sz="8" w:color="EEEEEE"/>
            </w:tcBorders>
          </w:tcPr>
          <w:p>
            <w:pPr>
              <w:spacing w:after="0"/>
              <w:rPr>
                <w:sz w:val="15"/>
                <w:szCs w:val="15"/>
                <w:color w:val="auto"/>
              </w:rPr>
            </w:pPr>
          </w:p>
        </w:tc>
        <w:tc>
          <w:tcPr>
            <w:tcW w:w="200" w:type="dxa"/>
            <w:vAlign w:val="bottom"/>
            <w:tcBorders>
              <w:bottom w:val="single" w:sz="8" w:color="EEEEEE"/>
            </w:tcBorders>
          </w:tcPr>
          <w:p>
            <w:pPr>
              <w:spacing w:after="0"/>
              <w:rPr>
                <w:sz w:val="15"/>
                <w:szCs w:val="15"/>
                <w:color w:val="auto"/>
              </w:rPr>
            </w:pPr>
          </w:p>
        </w:tc>
        <w:tc>
          <w:tcPr>
            <w:tcW w:w="220" w:type="dxa"/>
            <w:vAlign w:val="bottom"/>
            <w:tcBorders>
              <w:bottom w:val="single" w:sz="8" w:color="EEEEEE"/>
            </w:tcBorders>
          </w:tcPr>
          <w:p>
            <w:pPr>
              <w:spacing w:after="0"/>
              <w:rPr>
                <w:sz w:val="15"/>
                <w:szCs w:val="15"/>
                <w:color w:val="auto"/>
              </w:rPr>
            </w:pPr>
          </w:p>
        </w:tc>
        <w:tc>
          <w:tcPr>
            <w:tcW w:w="860" w:type="dxa"/>
            <w:vAlign w:val="bottom"/>
            <w:tcBorders>
              <w:bottom w:val="single" w:sz="8" w:color="EEEEEE"/>
            </w:tcBorders>
          </w:tcPr>
          <w:p>
            <w:pPr>
              <w:spacing w:after="0"/>
              <w:rPr>
                <w:sz w:val="15"/>
                <w:szCs w:val="15"/>
                <w:color w:val="auto"/>
              </w:rPr>
            </w:pPr>
          </w:p>
        </w:tc>
        <w:tc>
          <w:tcPr>
            <w:tcW w:w="160" w:type="dxa"/>
            <w:vAlign w:val="bottom"/>
            <w:tcBorders>
              <w:bottom w:val="single" w:sz="8" w:color="EEEEEE"/>
            </w:tcBorders>
          </w:tcPr>
          <w:p>
            <w:pPr>
              <w:spacing w:after="0"/>
              <w:rPr>
                <w:sz w:val="15"/>
                <w:szCs w:val="15"/>
                <w:color w:val="auto"/>
              </w:rPr>
            </w:pPr>
          </w:p>
        </w:tc>
        <w:tc>
          <w:tcPr>
            <w:tcW w:w="260" w:type="dxa"/>
            <w:vAlign w:val="bottom"/>
            <w:tcBorders>
              <w:bottom w:val="single" w:sz="8" w:color="EEEEEE"/>
            </w:tcBorders>
          </w:tcPr>
          <w:p>
            <w:pPr>
              <w:spacing w:after="0"/>
              <w:rPr>
                <w:sz w:val="15"/>
                <w:szCs w:val="15"/>
                <w:color w:val="auto"/>
              </w:rPr>
            </w:pPr>
          </w:p>
        </w:tc>
        <w:tc>
          <w:tcPr>
            <w:tcW w:w="480" w:type="dxa"/>
            <w:vAlign w:val="bottom"/>
            <w:tcBorders>
              <w:bottom w:val="single" w:sz="8" w:color="EEEEEE"/>
            </w:tcBorders>
          </w:tcPr>
          <w:p>
            <w:pPr>
              <w:spacing w:after="0"/>
              <w:rPr>
                <w:sz w:val="15"/>
                <w:szCs w:val="15"/>
                <w:color w:val="auto"/>
              </w:rPr>
            </w:pPr>
          </w:p>
        </w:tc>
        <w:tc>
          <w:tcPr>
            <w:tcW w:w="100" w:type="dxa"/>
            <w:vAlign w:val="bottom"/>
            <w:tcBorders>
              <w:bottom w:val="single" w:sz="8" w:color="EEEEEE"/>
            </w:tcBorders>
          </w:tcPr>
          <w:p>
            <w:pPr>
              <w:spacing w:after="0"/>
              <w:rPr>
                <w:sz w:val="15"/>
                <w:szCs w:val="15"/>
                <w:color w:val="auto"/>
              </w:rPr>
            </w:pPr>
          </w:p>
        </w:tc>
        <w:tc>
          <w:tcPr>
            <w:tcW w:w="120" w:type="dxa"/>
            <w:vAlign w:val="bottom"/>
            <w:tcBorders>
              <w:bottom w:val="single" w:sz="8" w:color="EEEEEE"/>
            </w:tcBorders>
          </w:tcPr>
          <w:p>
            <w:pPr>
              <w:spacing w:after="0"/>
              <w:rPr>
                <w:sz w:val="15"/>
                <w:szCs w:val="15"/>
                <w:color w:val="auto"/>
              </w:rPr>
            </w:pPr>
          </w:p>
        </w:tc>
        <w:tc>
          <w:tcPr>
            <w:tcW w:w="320" w:type="dxa"/>
            <w:vAlign w:val="bottom"/>
            <w:tcBorders>
              <w:bottom w:val="single" w:sz="8" w:color="EEEEEE"/>
            </w:tcBorders>
          </w:tcPr>
          <w:p>
            <w:pPr>
              <w:spacing w:after="0"/>
              <w:rPr>
                <w:sz w:val="15"/>
                <w:szCs w:val="15"/>
                <w:color w:val="auto"/>
              </w:rPr>
            </w:pPr>
          </w:p>
        </w:tc>
        <w:tc>
          <w:tcPr>
            <w:tcW w:w="160" w:type="dxa"/>
            <w:vAlign w:val="bottom"/>
            <w:tcBorders>
              <w:bottom w:val="single" w:sz="8" w:color="EEEEEE"/>
            </w:tcBorders>
          </w:tcPr>
          <w:p>
            <w:pPr>
              <w:spacing w:after="0"/>
              <w:rPr>
                <w:sz w:val="15"/>
                <w:szCs w:val="15"/>
                <w:color w:val="auto"/>
              </w:rPr>
            </w:pPr>
          </w:p>
        </w:tc>
        <w:tc>
          <w:tcPr>
            <w:tcW w:w="540" w:type="dxa"/>
            <w:vAlign w:val="bottom"/>
            <w:tcBorders>
              <w:bottom w:val="single" w:sz="8" w:color="EEEEEE"/>
            </w:tcBorders>
          </w:tcPr>
          <w:p>
            <w:pPr>
              <w:spacing w:after="0"/>
              <w:rPr>
                <w:sz w:val="15"/>
                <w:szCs w:val="15"/>
                <w:color w:val="auto"/>
              </w:rPr>
            </w:pPr>
          </w:p>
        </w:tc>
        <w:tc>
          <w:tcPr>
            <w:tcW w:w="720" w:type="dxa"/>
            <w:vAlign w:val="bottom"/>
            <w:tcBorders>
              <w:bottom w:val="single" w:sz="8" w:color="EEEE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70" w:right="640" w:bottom="1440" w:gutter="0" w:footer="0" w:header="0"/>
        </w:sectPr>
      </w:pPr>
    </w:p>
    <w:bookmarkStart w:id="13" w:name="page14"/>
    <w:bookmarkEnd w:id="13"/>
    <w:p>
      <w:pPr>
        <w:spacing w:after="0"/>
        <w:rPr>
          <w:sz w:val="20"/>
          <w:szCs w:val="20"/>
          <w:color w:val="auto"/>
        </w:rPr>
      </w:pPr>
      <w:r>
        <w:rPr>
          <w:rFonts w:ascii="Arial" w:cs="Arial" w:eastAsia="Arial" w:hAnsi="Arial"/>
          <w:sz w:val="10"/>
          <w:szCs w:val="10"/>
          <w:b w:val="1"/>
          <w:bCs w:val="1"/>
          <w:i w:val="1"/>
          <w:iCs w:val="1"/>
          <w:color w:val="auto"/>
        </w:rPr>
        <w:t>As Lessor</w:t>
      </w:r>
    </w:p>
    <w:p>
      <w:pPr>
        <w:spacing w:after="0" w:line="101" w:lineRule="exact"/>
        <w:rPr>
          <w:sz w:val="20"/>
          <w:szCs w:val="20"/>
          <w:color w:val="auto"/>
        </w:rPr>
      </w:pPr>
    </w:p>
    <w:p>
      <w:pPr>
        <w:ind w:right="40"/>
        <w:spacing w:after="0" w:line="231" w:lineRule="auto"/>
        <w:rPr>
          <w:sz w:val="20"/>
          <w:szCs w:val="20"/>
          <w:color w:val="auto"/>
        </w:rPr>
      </w:pPr>
      <w:r>
        <w:rPr>
          <w:rFonts w:ascii="Arial" w:cs="Arial" w:eastAsia="Arial" w:hAnsi="Arial"/>
          <w:sz w:val="10"/>
          <w:szCs w:val="10"/>
          <w:color w:val="auto"/>
        </w:rPr>
        <w:t>We have entered into various leases as a lessor for our owned real estate properties. These leases vary in length between 1 and 20 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Lease income relating to operating lease payments was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gridSpan w:val="5"/>
          </w:tcPr>
          <w:p>
            <w:pPr>
              <w:ind w:left="760"/>
              <w:spacing w:after="0"/>
              <w:rPr>
                <w:sz w:val="20"/>
                <w:szCs w:val="20"/>
                <w:color w:val="auto"/>
              </w:rPr>
            </w:pPr>
            <w:r>
              <w:rPr>
                <w:rFonts w:ascii="Arial" w:cs="Arial" w:eastAsia="Arial" w:hAnsi="Arial"/>
                <w:sz w:val="8"/>
                <w:szCs w:val="8"/>
                <w:b w:val="1"/>
                <w:bCs w:val="1"/>
                <w:color w:val="auto"/>
              </w:rPr>
              <w:t>Quarter Ended</w:t>
            </w: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gridSpan w:val="5"/>
          </w:tcPr>
          <w:p>
            <w:pPr>
              <w:jc w:val="right"/>
              <w:spacing w:after="0"/>
              <w:rPr>
                <w:sz w:val="20"/>
                <w:szCs w:val="20"/>
                <w:color w:val="auto"/>
              </w:rPr>
            </w:pPr>
            <w:r>
              <w:rPr>
                <w:rFonts w:ascii="Arial" w:cs="Arial" w:eastAsia="Arial" w:hAnsi="Arial"/>
                <w:sz w:val="8"/>
                <w:szCs w:val="8"/>
                <w:b w:val="1"/>
                <w:bCs w:val="1"/>
                <w:color w:val="auto"/>
              </w:rPr>
              <w:t>Nine Months Ended</w:t>
            </w: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06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3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5"/>
          </w:tcPr>
          <w:p>
            <w:pPr>
              <w:ind w:left="760"/>
              <w:spacing w:after="0"/>
              <w:rPr>
                <w:sz w:val="20"/>
                <w:szCs w:val="20"/>
                <w:color w:val="auto"/>
              </w:rPr>
            </w:pPr>
            <w:r>
              <w:rPr>
                <w:rFonts w:ascii="Arial" w:cs="Arial" w:eastAsia="Arial" w:hAnsi="Arial"/>
                <w:sz w:val="8"/>
                <w:szCs w:val="8"/>
                <w:b w:val="1"/>
                <w:bCs w:val="1"/>
                <w:color w:val="auto"/>
              </w:rPr>
              <w:t>September 30,</w:t>
            </w:r>
          </w:p>
        </w:tc>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5"/>
          </w:tcPr>
          <w:p>
            <w:pPr>
              <w:jc w:val="right"/>
              <w:ind w:right="96"/>
              <w:spacing w:after="0"/>
              <w:rPr>
                <w:sz w:val="20"/>
                <w:szCs w:val="20"/>
                <w:color w:val="auto"/>
              </w:rPr>
            </w:pPr>
            <w:r>
              <w:rPr>
                <w:rFonts w:ascii="Arial" w:cs="Arial" w:eastAsia="Arial" w:hAnsi="Arial"/>
                <w:sz w:val="8"/>
                <w:szCs w:val="8"/>
                <w:b w:val="1"/>
                <w:bCs w:val="1"/>
                <w:color w:val="auto"/>
              </w:rPr>
              <w:t>September 30,</w:t>
            </w: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0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jc w:val="right"/>
              <w:ind w:right="435"/>
              <w:spacing w:after="0"/>
              <w:rPr>
                <w:sz w:val="20"/>
                <w:szCs w:val="20"/>
                <w:color w:val="auto"/>
              </w:rPr>
            </w:pPr>
            <w:r>
              <w:rPr>
                <w:rFonts w:ascii="Arial" w:cs="Arial" w:eastAsia="Arial" w:hAnsi="Arial"/>
                <w:sz w:val="8"/>
                <w:szCs w:val="8"/>
                <w:b w:val="1"/>
                <w:bCs w:val="1"/>
                <w:color w:val="auto"/>
              </w:rPr>
              <w:t>2023</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jc w:val="right"/>
              <w:ind w:right="453"/>
              <w:spacing w:after="0"/>
              <w:rPr>
                <w:sz w:val="20"/>
                <w:szCs w:val="20"/>
                <w:color w:val="auto"/>
              </w:rPr>
            </w:pPr>
            <w:r>
              <w:rPr>
                <w:rFonts w:ascii="Arial" w:cs="Arial" w:eastAsia="Arial" w:hAnsi="Arial"/>
                <w:sz w:val="8"/>
                <w:szCs w:val="8"/>
                <w:b w:val="1"/>
                <w:bCs w:val="1"/>
                <w:color w:val="auto"/>
              </w:rPr>
              <w:t>2022</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right"/>
              <w:ind w:right="474"/>
              <w:spacing w:after="0"/>
              <w:rPr>
                <w:sz w:val="20"/>
                <w:szCs w:val="20"/>
                <w:color w:val="auto"/>
              </w:rPr>
            </w:pPr>
            <w:r>
              <w:rPr>
                <w:rFonts w:ascii="Arial" w:cs="Arial" w:eastAsia="Arial" w:hAnsi="Arial"/>
                <w:sz w:val="8"/>
                <w:szCs w:val="8"/>
                <w:b w:val="1"/>
                <w:bCs w:val="1"/>
                <w:color w:val="auto"/>
              </w:rPr>
              <w:t>2023</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jc w:val="center"/>
              <w:ind w:right="273"/>
              <w:spacing w:after="0"/>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100"/>
        </w:trPr>
        <w:tc>
          <w:tcPr>
            <w:tcW w:w="490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Components of lease income</w:t>
            </w: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06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Lease payments</w:t>
            </w: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9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2,834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gridSpan w:val="2"/>
          </w:tcPr>
          <w:p>
            <w:pPr>
              <w:ind w:left="700"/>
              <w:spacing w:after="0" w:line="105" w:lineRule="exact"/>
              <w:rPr>
                <w:sz w:val="20"/>
                <w:szCs w:val="20"/>
                <w:color w:val="auto"/>
              </w:rPr>
            </w:pPr>
            <w:r>
              <w:rPr>
                <w:rFonts w:ascii="Arial" w:cs="Arial" w:eastAsia="Arial" w:hAnsi="Arial"/>
                <w:sz w:val="10"/>
                <w:szCs w:val="10"/>
                <w:color w:val="auto"/>
                <w:w w:val="95"/>
              </w:rPr>
              <w:t>2,046</w:t>
            </w:r>
          </w:p>
        </w:tc>
        <w:tc>
          <w:tcPr>
            <w:tcW w:w="360" w:type="dxa"/>
            <w:vAlign w:val="bottom"/>
            <w:gridSpan w:val="3"/>
          </w:tcPr>
          <w:p>
            <w:pPr>
              <w:jc w:val="right"/>
              <w:ind w:right="91"/>
              <w:spacing w:after="0" w:line="105" w:lineRule="exact"/>
              <w:rPr>
                <w:sz w:val="20"/>
                <w:szCs w:val="20"/>
                <w:color w:val="auto"/>
              </w:rPr>
            </w:pPr>
            <w:r>
              <w:rPr>
                <w:rFonts w:ascii="Arial" w:cs="Arial" w:eastAsia="Arial" w:hAnsi="Arial"/>
                <w:sz w:val="10"/>
                <w:szCs w:val="10"/>
                <w:color w:val="auto"/>
              </w:rPr>
              <w:t>$</w:t>
            </w:r>
          </w:p>
        </w:tc>
        <w:tc>
          <w:tcPr>
            <w:tcW w:w="10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8,271</w:t>
            </w:r>
          </w:p>
        </w:tc>
        <w:tc>
          <w:tcPr>
            <w:tcW w:w="480" w:type="dxa"/>
            <w:vAlign w:val="bottom"/>
            <w:gridSpan w:val="3"/>
          </w:tcPr>
          <w:p>
            <w:pPr>
              <w:jc w:val="right"/>
              <w:ind w:right="256"/>
              <w:spacing w:after="0" w:line="105" w:lineRule="exact"/>
              <w:rPr>
                <w:sz w:val="20"/>
                <w:szCs w:val="20"/>
                <w:color w:val="auto"/>
              </w:rPr>
            </w:pPr>
            <w:r>
              <w:rPr>
                <w:rFonts w:ascii="Arial" w:cs="Arial" w:eastAsia="Arial" w:hAnsi="Arial"/>
                <w:sz w:val="10"/>
                <w:szCs w:val="10"/>
                <w:color w:val="auto"/>
              </w:rPr>
              <w:t>$</w:t>
            </w:r>
          </w:p>
        </w:tc>
        <w:tc>
          <w:tcPr>
            <w:tcW w:w="940" w:type="dxa"/>
            <w:vAlign w:val="bottom"/>
          </w:tcPr>
          <w:p>
            <w:pPr>
              <w:jc w:val="right"/>
              <w:spacing w:after="0" w:line="105" w:lineRule="exact"/>
              <w:rPr>
                <w:sz w:val="20"/>
                <w:szCs w:val="20"/>
                <w:color w:val="auto"/>
              </w:rPr>
            </w:pPr>
            <w:r>
              <w:rPr>
                <w:rFonts w:ascii="Arial" w:cs="Arial" w:eastAsia="Arial" w:hAnsi="Arial"/>
                <w:sz w:val="10"/>
                <w:szCs w:val="10"/>
                <w:color w:val="auto"/>
              </w:rPr>
              <w:t>6,065</w:t>
            </w:r>
          </w:p>
        </w:tc>
        <w:tc>
          <w:tcPr>
            <w:tcW w:w="0" w:type="dxa"/>
            <w:vAlign w:val="bottom"/>
          </w:tcPr>
          <w:p>
            <w:pPr>
              <w:spacing w:after="0"/>
              <w:rPr>
                <w:sz w:val="1"/>
                <w:szCs w:val="1"/>
                <w:color w:val="auto"/>
              </w:rPr>
            </w:pPr>
          </w:p>
        </w:tc>
      </w:tr>
      <w:tr>
        <w:trPr>
          <w:trHeight w:val="105"/>
        </w:trPr>
        <w:tc>
          <w:tcPr>
            <w:tcW w:w="506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Variable lease payments</w:t>
            </w:r>
          </w:p>
        </w:tc>
        <w:tc>
          <w:tcPr>
            <w:tcW w:w="30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gridSpan w:val="2"/>
            <w:shd w:val="clear" w:color="auto" w:fill="CCEEFF"/>
          </w:tcPr>
          <w:p>
            <w:pPr>
              <w:ind w:left="780"/>
              <w:spacing w:after="0" w:line="105" w:lineRule="exact"/>
              <w:rPr>
                <w:sz w:val="20"/>
                <w:szCs w:val="20"/>
                <w:color w:val="auto"/>
              </w:rPr>
            </w:pPr>
            <w:r>
              <w:rPr>
                <w:rFonts w:ascii="Arial" w:cs="Arial" w:eastAsia="Arial" w:hAnsi="Arial"/>
                <w:sz w:val="10"/>
                <w:szCs w:val="10"/>
                <w:color w:val="auto"/>
                <w:w w:val="95"/>
              </w:rPr>
              <w:t>288</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333</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618</w:t>
            </w:r>
          </w:p>
        </w:tc>
        <w:tc>
          <w:tcPr>
            <w:tcW w:w="4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598</w:t>
            </w:r>
          </w:p>
        </w:tc>
        <w:tc>
          <w:tcPr>
            <w:tcW w:w="0" w:type="dxa"/>
            <w:vAlign w:val="bottom"/>
          </w:tcPr>
          <w:p>
            <w:pPr>
              <w:spacing w:after="0"/>
              <w:rPr>
                <w:sz w:val="1"/>
                <w:szCs w:val="1"/>
                <w:color w:val="auto"/>
              </w:rPr>
            </w:pPr>
          </w:p>
        </w:tc>
      </w:tr>
      <w:tr>
        <w:trPr>
          <w:trHeight w:val="93"/>
        </w:trPr>
        <w:tc>
          <w:tcPr>
            <w:tcW w:w="5060" w:type="dxa"/>
            <w:vAlign w:val="bottom"/>
            <w:gridSpan w:val="2"/>
          </w:tcPr>
          <w:p>
            <w:pPr>
              <w:spacing w:after="0" w:line="93" w:lineRule="exact"/>
              <w:rPr>
                <w:sz w:val="20"/>
                <w:szCs w:val="20"/>
                <w:color w:val="auto"/>
              </w:rPr>
            </w:pPr>
            <w:r>
              <w:rPr>
                <w:rFonts w:ascii="Arial" w:cs="Arial" w:eastAsia="Arial" w:hAnsi="Arial"/>
                <w:sz w:val="10"/>
                <w:szCs w:val="10"/>
                <w:b w:val="1"/>
                <w:bCs w:val="1"/>
                <w:color w:val="auto"/>
              </w:rPr>
              <w:t>Total lease income</w:t>
            </w:r>
          </w:p>
        </w:tc>
        <w:tc>
          <w:tcPr>
            <w:tcW w:w="300" w:type="dxa"/>
            <w:vAlign w:val="bottom"/>
            <w:tcBorders>
              <w:bottom w:val="single" w:sz="8" w:color="auto"/>
            </w:tcBorders>
          </w:tcPr>
          <w:p>
            <w:pPr>
              <w:jc w:val="right"/>
              <w:ind w:right="236"/>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gridSpan w:val="2"/>
          </w:tcPr>
          <w:p>
            <w:pPr>
              <w:jc w:val="right"/>
              <w:ind w:right="20"/>
              <w:spacing w:after="0" w:line="93" w:lineRule="exact"/>
              <w:rPr>
                <w:sz w:val="20"/>
                <w:szCs w:val="20"/>
                <w:color w:val="auto"/>
              </w:rPr>
            </w:pPr>
            <w:r>
              <w:rPr>
                <w:rFonts w:ascii="Arial" w:cs="Arial" w:eastAsia="Arial" w:hAnsi="Arial"/>
                <w:sz w:val="10"/>
                <w:szCs w:val="10"/>
                <w:b w:val="1"/>
                <w:bCs w:val="1"/>
                <w:color w:val="auto"/>
              </w:rPr>
              <w:t>3,122</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auto"/>
            </w:tcBorders>
          </w:tcPr>
          <w:p>
            <w:pPr>
              <w:jc w:val="right"/>
              <w:ind w:right="211"/>
              <w:spacing w:after="0" w:line="93"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gridSpan w:val="2"/>
          </w:tcPr>
          <w:p>
            <w:pPr>
              <w:jc w:val="right"/>
              <w:ind w:right="20"/>
              <w:spacing w:after="0" w:line="93" w:lineRule="exact"/>
              <w:rPr>
                <w:sz w:val="20"/>
                <w:szCs w:val="20"/>
                <w:color w:val="auto"/>
              </w:rPr>
            </w:pPr>
            <w:r>
              <w:rPr>
                <w:rFonts w:ascii="Arial" w:cs="Arial" w:eastAsia="Arial" w:hAnsi="Arial"/>
                <w:sz w:val="10"/>
                <w:szCs w:val="10"/>
                <w:b w:val="1"/>
                <w:bCs w:val="1"/>
                <w:color w:val="auto"/>
              </w:rPr>
              <w:t>2,379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jc w:val="right"/>
              <w:ind w:right="91"/>
              <w:spacing w:after="0" w:line="93" w:lineRule="exact"/>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gridSpan w:val="2"/>
          </w:tcPr>
          <w:p>
            <w:pPr>
              <w:jc w:val="right"/>
              <w:ind w:right="20"/>
              <w:spacing w:after="0" w:line="93" w:lineRule="exact"/>
              <w:rPr>
                <w:sz w:val="20"/>
                <w:szCs w:val="20"/>
                <w:color w:val="auto"/>
              </w:rPr>
            </w:pPr>
            <w:r>
              <w:rPr>
                <w:rFonts w:ascii="Arial" w:cs="Arial" w:eastAsia="Arial" w:hAnsi="Arial"/>
                <w:sz w:val="10"/>
                <w:szCs w:val="10"/>
                <w:b w:val="1"/>
                <w:bCs w:val="1"/>
                <w:color w:val="auto"/>
              </w:rPr>
              <w:t>8,889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auto"/>
            </w:tcBorders>
          </w:tcPr>
          <w:p>
            <w:pPr>
              <w:jc w:val="right"/>
              <w:ind w:right="256"/>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6,663</w:t>
            </w:r>
          </w:p>
        </w:tc>
        <w:tc>
          <w:tcPr>
            <w:tcW w:w="0" w:type="dxa"/>
            <w:vAlign w:val="bottom"/>
          </w:tcPr>
          <w:p>
            <w:pPr>
              <w:spacing w:after="0"/>
              <w:rPr>
                <w:sz w:val="1"/>
                <w:szCs w:val="1"/>
                <w:color w:val="auto"/>
              </w:rPr>
            </w:pPr>
          </w:p>
        </w:tc>
      </w:tr>
      <w:tr>
        <w:trPr>
          <w:trHeight w:val="218"/>
        </w:trPr>
        <w:tc>
          <w:tcPr>
            <w:tcW w:w="5060" w:type="dxa"/>
            <w:vAlign w:val="bottom"/>
            <w:gridSpan w:val="2"/>
          </w:tcPr>
          <w:p>
            <w:pPr>
              <w:spacing w:after="0"/>
              <w:rPr>
                <w:sz w:val="20"/>
                <w:szCs w:val="20"/>
                <w:color w:val="auto"/>
              </w:rPr>
            </w:pPr>
            <w:r>
              <w:rPr>
                <w:rFonts w:ascii="Arial" w:cs="Arial" w:eastAsia="Arial" w:hAnsi="Arial"/>
                <w:sz w:val="10"/>
                <w:szCs w:val="10"/>
                <w:color w:val="auto"/>
              </w:rPr>
              <w:t>The book value of underlying assets under operating leases from owned assets was as follows: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8"/>
                <w:szCs w:val="8"/>
                <w:b w:val="1"/>
                <w:bCs w:val="1"/>
                <w:color w:val="auto"/>
              </w:rPr>
              <w:t>September 30,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center"/>
              <w:ind w:right="273"/>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100"/>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8"/>
                <w:szCs w:val="8"/>
                <w:i w:val="1"/>
                <w:iCs w:val="1"/>
                <w:color w:val="auto"/>
              </w:rPr>
              <w:t>(Dollars in thousands)</w:t>
            </w: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8"/>
                <w:szCs w:val="8"/>
                <w:b w:val="1"/>
                <w:bCs w:val="1"/>
                <w:color w:val="auto"/>
              </w:rPr>
              <w:t>2023</w:t>
            </w: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center"/>
              <w:ind w:right="273"/>
              <w:spacing w:after="0"/>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100"/>
        </w:trPr>
        <w:tc>
          <w:tcPr>
            <w:tcW w:w="5060" w:type="dxa"/>
            <w:vAlign w:val="bottom"/>
            <w:gridSpan w:val="2"/>
            <w:shd w:val="clear" w:color="auto" w:fill="CCEEFF"/>
          </w:tcPr>
          <w:p>
            <w:pPr>
              <w:ind w:left="40"/>
              <w:spacing w:after="0" w:line="100" w:lineRule="exact"/>
              <w:rPr>
                <w:sz w:val="20"/>
                <w:szCs w:val="20"/>
                <w:color w:val="auto"/>
              </w:rPr>
            </w:pPr>
            <w:r>
              <w:rPr>
                <w:rFonts w:ascii="Arial" w:cs="Arial" w:eastAsia="Arial" w:hAnsi="Arial"/>
                <w:sz w:val="10"/>
                <w:szCs w:val="10"/>
                <w:b w:val="1"/>
                <w:bCs w:val="1"/>
                <w:color w:val="auto"/>
              </w:rPr>
              <w:t>Building and improvements</w:t>
            </w:r>
          </w:p>
        </w:tc>
        <w:tc>
          <w:tcPr>
            <w:tcW w:w="3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060" w:type="dxa"/>
            <w:vAlign w:val="bottom"/>
            <w:gridSpan w:val="2"/>
          </w:tcPr>
          <w:p>
            <w:pPr>
              <w:ind w:left="180"/>
              <w:spacing w:after="0" w:line="105" w:lineRule="exact"/>
              <w:rPr>
                <w:sz w:val="20"/>
                <w:szCs w:val="20"/>
                <w:color w:val="auto"/>
              </w:rPr>
            </w:pPr>
            <w:r>
              <w:rPr>
                <w:rFonts w:ascii="Arial" w:cs="Arial" w:eastAsia="Arial" w:hAnsi="Arial"/>
                <w:sz w:val="10"/>
                <w:szCs w:val="10"/>
                <w:color w:val="auto"/>
              </w:rPr>
              <w:t>Gross balance</w:t>
            </w: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gridSpan w:val="3"/>
          </w:tcPr>
          <w:p>
            <w:pPr>
              <w:jc w:val="right"/>
              <w:ind w:right="91"/>
              <w:spacing w:after="0" w:line="105" w:lineRule="exact"/>
              <w:rPr>
                <w:sz w:val="20"/>
                <w:szCs w:val="20"/>
                <w:color w:val="auto"/>
              </w:rPr>
            </w:pPr>
            <w:r>
              <w:rPr>
                <w:rFonts w:ascii="Arial" w:cs="Arial" w:eastAsia="Arial" w:hAnsi="Arial"/>
                <w:sz w:val="10"/>
                <w:szCs w:val="10"/>
                <w:color w:val="auto"/>
              </w:rPr>
              <w:t>$</w:t>
            </w:r>
          </w:p>
        </w:tc>
        <w:tc>
          <w:tcPr>
            <w:tcW w:w="1040" w:type="dxa"/>
            <w:vAlign w:val="bottom"/>
          </w:tcPr>
          <w:p>
            <w:pPr>
              <w:jc w:val="right"/>
              <w:spacing w:after="0" w:line="105" w:lineRule="exact"/>
              <w:rPr>
                <w:sz w:val="20"/>
                <w:szCs w:val="20"/>
                <w:color w:val="auto"/>
              </w:rPr>
            </w:pPr>
            <w:r>
              <w:rPr>
                <w:rFonts w:ascii="Arial" w:cs="Arial" w:eastAsia="Arial" w:hAnsi="Arial"/>
                <w:sz w:val="10"/>
                <w:szCs w:val="10"/>
                <w:color w:val="auto"/>
              </w:rPr>
              <w:t>132,000</w:t>
            </w:r>
          </w:p>
        </w:tc>
        <w:tc>
          <w:tcPr>
            <w:tcW w:w="40" w:type="dxa"/>
            <w:vAlign w:val="bottom"/>
          </w:tcPr>
          <w:p>
            <w:pPr>
              <w:spacing w:after="0"/>
              <w:rPr>
                <w:sz w:val="9"/>
                <w:szCs w:val="9"/>
                <w:color w:val="auto"/>
              </w:rPr>
            </w:pPr>
          </w:p>
        </w:tc>
        <w:tc>
          <w:tcPr>
            <w:tcW w:w="480" w:type="dxa"/>
            <w:vAlign w:val="bottom"/>
            <w:gridSpan w:val="3"/>
          </w:tcPr>
          <w:p>
            <w:pPr>
              <w:jc w:val="right"/>
              <w:ind w:right="256"/>
              <w:spacing w:after="0" w:line="105" w:lineRule="exact"/>
              <w:rPr>
                <w:sz w:val="20"/>
                <w:szCs w:val="20"/>
                <w:color w:val="auto"/>
              </w:rPr>
            </w:pPr>
            <w:r>
              <w:rPr>
                <w:rFonts w:ascii="Arial" w:cs="Arial" w:eastAsia="Arial" w:hAnsi="Arial"/>
                <w:sz w:val="10"/>
                <w:szCs w:val="10"/>
                <w:color w:val="auto"/>
              </w:rPr>
              <w:t>$</w:t>
            </w:r>
          </w:p>
        </w:tc>
        <w:tc>
          <w:tcPr>
            <w:tcW w:w="940" w:type="dxa"/>
            <w:vAlign w:val="bottom"/>
          </w:tcPr>
          <w:p>
            <w:pPr>
              <w:jc w:val="right"/>
              <w:spacing w:after="0" w:line="105" w:lineRule="exact"/>
              <w:rPr>
                <w:sz w:val="20"/>
                <w:szCs w:val="20"/>
                <w:color w:val="auto"/>
              </w:rPr>
            </w:pPr>
            <w:r>
              <w:rPr>
                <w:rFonts w:ascii="Arial" w:cs="Arial" w:eastAsia="Arial" w:hAnsi="Arial"/>
                <w:sz w:val="10"/>
                <w:szCs w:val="10"/>
                <w:color w:val="auto"/>
              </w:rPr>
              <w:t>136,749</w:t>
            </w:r>
          </w:p>
        </w:tc>
        <w:tc>
          <w:tcPr>
            <w:tcW w:w="0" w:type="dxa"/>
            <w:vAlign w:val="bottom"/>
          </w:tcPr>
          <w:p>
            <w:pPr>
              <w:spacing w:after="0"/>
              <w:rPr>
                <w:sz w:val="1"/>
                <w:szCs w:val="1"/>
                <w:color w:val="auto"/>
              </w:rPr>
            </w:pPr>
          </w:p>
        </w:tc>
      </w:tr>
      <w:tr>
        <w:trPr>
          <w:trHeight w:val="105"/>
        </w:trPr>
        <w:tc>
          <w:tcPr>
            <w:tcW w:w="5060" w:type="dxa"/>
            <w:vAlign w:val="bottom"/>
            <w:gridSpan w:val="2"/>
            <w:shd w:val="clear" w:color="auto" w:fill="CCEEFF"/>
          </w:tcPr>
          <w:p>
            <w:pPr>
              <w:ind w:left="180"/>
              <w:spacing w:after="0" w:line="105" w:lineRule="exact"/>
              <w:rPr>
                <w:sz w:val="20"/>
                <w:szCs w:val="20"/>
                <w:color w:val="auto"/>
              </w:rPr>
            </w:pPr>
            <w:r>
              <w:rPr>
                <w:rFonts w:ascii="Arial" w:cs="Arial" w:eastAsia="Arial" w:hAnsi="Arial"/>
                <w:sz w:val="10"/>
                <w:szCs w:val="10"/>
                <w:color w:val="auto"/>
              </w:rPr>
              <w:t>Accumulated depreciation</w:t>
            </w:r>
          </w:p>
        </w:tc>
        <w:tc>
          <w:tcPr>
            <w:tcW w:w="3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(27,234)</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(26,148)</w:t>
            </w:r>
          </w:p>
        </w:tc>
        <w:tc>
          <w:tcPr>
            <w:tcW w:w="0" w:type="dxa"/>
            <w:vAlign w:val="bottom"/>
          </w:tcPr>
          <w:p>
            <w:pPr>
              <w:spacing w:after="0"/>
              <w:rPr>
                <w:sz w:val="1"/>
                <w:szCs w:val="1"/>
                <w:color w:val="auto"/>
              </w:rPr>
            </w:pPr>
          </w:p>
        </w:tc>
      </w:tr>
      <w:tr>
        <w:trPr>
          <w:trHeight w:val="93"/>
        </w:trPr>
        <w:tc>
          <w:tcPr>
            <w:tcW w:w="5060" w:type="dxa"/>
            <w:vAlign w:val="bottom"/>
            <w:gridSpan w:val="2"/>
          </w:tcPr>
          <w:p>
            <w:pPr>
              <w:ind w:left="40"/>
              <w:spacing w:after="0" w:line="93" w:lineRule="exact"/>
              <w:rPr>
                <w:sz w:val="20"/>
                <w:szCs w:val="20"/>
                <w:color w:val="auto"/>
              </w:rPr>
            </w:pPr>
            <w:r>
              <w:rPr>
                <w:rFonts w:ascii="Arial" w:cs="Arial" w:eastAsia="Arial" w:hAnsi="Arial"/>
                <w:sz w:val="10"/>
                <w:szCs w:val="10"/>
                <w:b w:val="1"/>
                <w:bCs w:val="1"/>
                <w:color w:val="auto"/>
              </w:rPr>
              <w:t>Net Book Value</w:t>
            </w: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jc w:val="right"/>
              <w:ind w:right="91"/>
              <w:spacing w:after="0" w:line="93" w:lineRule="exact"/>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gridSpan w:val="2"/>
          </w:tcPr>
          <w:p>
            <w:pPr>
              <w:jc w:val="right"/>
              <w:ind w:right="40"/>
              <w:spacing w:after="0" w:line="93" w:lineRule="exact"/>
              <w:rPr>
                <w:sz w:val="20"/>
                <w:szCs w:val="20"/>
                <w:color w:val="auto"/>
              </w:rPr>
            </w:pPr>
            <w:r>
              <w:rPr>
                <w:rFonts w:ascii="Arial" w:cs="Arial" w:eastAsia="Arial" w:hAnsi="Arial"/>
                <w:sz w:val="10"/>
                <w:szCs w:val="10"/>
                <w:b w:val="1"/>
                <w:bCs w:val="1"/>
                <w:color w:val="auto"/>
              </w:rPr>
              <w:t>104,766</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auto"/>
            </w:tcBorders>
          </w:tcPr>
          <w:p>
            <w:pPr>
              <w:jc w:val="right"/>
              <w:ind w:right="256"/>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110,601</w:t>
            </w:r>
          </w:p>
        </w:tc>
        <w:tc>
          <w:tcPr>
            <w:tcW w:w="0" w:type="dxa"/>
            <w:vAlign w:val="bottom"/>
          </w:tcPr>
          <w:p>
            <w:pPr>
              <w:spacing w:after="0"/>
              <w:rPr>
                <w:sz w:val="1"/>
                <w:szCs w:val="1"/>
                <w:color w:val="auto"/>
              </w:rPr>
            </w:pPr>
          </w:p>
        </w:tc>
      </w:tr>
      <w:tr>
        <w:trPr>
          <w:trHeight w:val="218"/>
        </w:trPr>
        <w:tc>
          <w:tcPr>
            <w:tcW w:w="5060" w:type="dxa"/>
            <w:vAlign w:val="bottom"/>
            <w:gridSpan w:val="2"/>
          </w:tcPr>
          <w:p>
            <w:pPr>
              <w:spacing w:after="0"/>
              <w:rPr>
                <w:sz w:val="20"/>
                <w:szCs w:val="20"/>
                <w:color w:val="auto"/>
              </w:rPr>
            </w:pPr>
            <w:r>
              <w:rPr>
                <w:rFonts w:ascii="Arial" w:cs="Arial" w:eastAsia="Arial" w:hAnsi="Arial"/>
                <w:sz w:val="10"/>
                <w:szCs w:val="10"/>
                <w:color w:val="auto"/>
              </w:rPr>
              <w:t>The Maturity of our leases were as follows: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06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center"/>
              <w:ind w:right="293"/>
              <w:spacing w:after="0"/>
              <w:rPr>
                <w:sz w:val="20"/>
                <w:szCs w:val="20"/>
                <w:color w:val="auto"/>
              </w:rPr>
            </w:pPr>
            <w:r>
              <w:rPr>
                <w:rFonts w:ascii="Arial" w:cs="Arial" w:eastAsia="Arial" w:hAnsi="Arial"/>
                <w:sz w:val="8"/>
                <w:szCs w:val="8"/>
                <w:b w:val="1"/>
                <w:bCs w:val="1"/>
                <w:color w:val="auto"/>
              </w:rPr>
              <w:t>Operating</w:t>
            </w:r>
          </w:p>
        </w:tc>
        <w:tc>
          <w:tcPr>
            <w:tcW w:w="0" w:type="dxa"/>
            <w:vAlign w:val="bottom"/>
          </w:tcPr>
          <w:p>
            <w:pPr>
              <w:spacing w:after="0"/>
              <w:rPr>
                <w:sz w:val="1"/>
                <w:szCs w:val="1"/>
                <w:color w:val="auto"/>
              </w:rPr>
            </w:pPr>
          </w:p>
        </w:tc>
      </w:tr>
      <w:tr>
        <w:trPr>
          <w:trHeight w:val="98"/>
        </w:trPr>
        <w:tc>
          <w:tcPr>
            <w:tcW w:w="5060" w:type="dxa"/>
            <w:vAlign w:val="bottom"/>
            <w:tcBorders>
              <w:bottom w:val="single" w:sz="8" w:color="auto"/>
            </w:tcBorders>
            <w:gridSpan w:val="2"/>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center"/>
              <w:ind w:right="273"/>
              <w:spacing w:after="0"/>
              <w:rPr>
                <w:sz w:val="20"/>
                <w:szCs w:val="20"/>
                <w:color w:val="auto"/>
              </w:rPr>
            </w:pPr>
            <w:r>
              <w:rPr>
                <w:rFonts w:ascii="Arial" w:cs="Arial" w:eastAsia="Arial" w:hAnsi="Arial"/>
                <w:sz w:val="8"/>
                <w:szCs w:val="8"/>
                <w:b w:val="1"/>
                <w:bCs w:val="1"/>
                <w:color w:val="auto"/>
              </w:rPr>
              <w:t>leases​</w:t>
            </w:r>
          </w:p>
        </w:tc>
        <w:tc>
          <w:tcPr>
            <w:tcW w:w="0" w:type="dxa"/>
            <w:vAlign w:val="bottom"/>
          </w:tcPr>
          <w:p>
            <w:pPr>
              <w:spacing w:after="0"/>
              <w:rPr>
                <w:sz w:val="1"/>
                <w:szCs w:val="1"/>
                <w:color w:val="auto"/>
              </w:rPr>
            </w:pPr>
          </w:p>
        </w:tc>
      </w:tr>
      <w:tr>
        <w:trPr>
          <w:trHeight w:val="100"/>
        </w:trPr>
        <w:tc>
          <w:tcPr>
            <w:tcW w:w="4900" w:type="dxa"/>
            <w:vAlign w:val="bottom"/>
            <w:shd w:val="clear" w:color="auto" w:fill="CCEEFF"/>
          </w:tcPr>
          <w:p>
            <w:pPr>
              <w:spacing w:after="0" w:line="100" w:lineRule="exact"/>
              <w:rPr>
                <w:sz w:val="20"/>
                <w:szCs w:val="20"/>
                <w:color w:val="auto"/>
              </w:rPr>
            </w:pPr>
            <w:r>
              <w:rPr>
                <w:rFonts w:ascii="Arial" w:cs="Arial" w:eastAsia="Arial" w:hAnsi="Arial"/>
                <w:sz w:val="10"/>
                <w:szCs w:val="10"/>
                <w:color w:val="auto"/>
              </w:rPr>
              <w:t>2023</w:t>
            </w: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3"/>
            <w:shd w:val="clear" w:color="auto" w:fill="CCEEFF"/>
          </w:tcPr>
          <w:p>
            <w:pPr>
              <w:jc w:val="right"/>
              <w:ind w:right="256"/>
              <w:spacing w:after="0" w:line="100" w:lineRule="exact"/>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2,345</w:t>
            </w:r>
          </w:p>
        </w:tc>
        <w:tc>
          <w:tcPr>
            <w:tcW w:w="0" w:type="dxa"/>
            <w:vAlign w:val="bottom"/>
          </w:tcPr>
          <w:p>
            <w:pPr>
              <w:spacing w:after="0"/>
              <w:rPr>
                <w:sz w:val="1"/>
                <w:szCs w:val="1"/>
                <w:color w:val="auto"/>
              </w:rPr>
            </w:pPr>
          </w:p>
        </w:tc>
      </w:tr>
      <w:tr>
        <w:trPr>
          <w:trHeight w:val="105"/>
        </w:trPr>
        <w:tc>
          <w:tcPr>
            <w:tcW w:w="4900" w:type="dxa"/>
            <w:vAlign w:val="bottom"/>
          </w:tcPr>
          <w:p>
            <w:pPr>
              <w:spacing w:after="0" w:line="105" w:lineRule="exact"/>
              <w:rPr>
                <w:sz w:val="20"/>
                <w:szCs w:val="20"/>
                <w:color w:val="auto"/>
              </w:rPr>
            </w:pPr>
            <w:r>
              <w:rPr>
                <w:rFonts w:ascii="Arial" w:cs="Arial" w:eastAsia="Arial" w:hAnsi="Arial"/>
                <w:sz w:val="10"/>
                <w:szCs w:val="10"/>
                <w:color w:val="auto"/>
              </w:rPr>
              <w:t>2024</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Arial" w:cs="Arial" w:eastAsia="Arial" w:hAnsi="Arial"/>
                <w:sz w:val="10"/>
                <w:szCs w:val="10"/>
                <w:color w:val="auto"/>
              </w:rPr>
              <w:t>9,083</w:t>
            </w:r>
          </w:p>
        </w:tc>
        <w:tc>
          <w:tcPr>
            <w:tcW w:w="0" w:type="dxa"/>
            <w:vAlign w:val="bottom"/>
          </w:tcPr>
          <w:p>
            <w:pPr>
              <w:spacing w:after="0"/>
              <w:rPr>
                <w:sz w:val="1"/>
                <w:szCs w:val="1"/>
                <w:color w:val="auto"/>
              </w:rPr>
            </w:pPr>
          </w:p>
        </w:tc>
      </w:tr>
      <w:tr>
        <w:trPr>
          <w:trHeight w:val="105"/>
        </w:trPr>
        <w:tc>
          <w:tcPr>
            <w:tcW w:w="490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2025</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8,696</w:t>
            </w:r>
          </w:p>
        </w:tc>
        <w:tc>
          <w:tcPr>
            <w:tcW w:w="0" w:type="dxa"/>
            <w:vAlign w:val="bottom"/>
          </w:tcPr>
          <w:p>
            <w:pPr>
              <w:spacing w:after="0"/>
              <w:rPr>
                <w:sz w:val="1"/>
                <w:szCs w:val="1"/>
                <w:color w:val="auto"/>
              </w:rPr>
            </w:pPr>
          </w:p>
        </w:tc>
      </w:tr>
      <w:tr>
        <w:trPr>
          <w:trHeight w:val="105"/>
        </w:trPr>
        <w:tc>
          <w:tcPr>
            <w:tcW w:w="4900" w:type="dxa"/>
            <w:vAlign w:val="bottom"/>
          </w:tcPr>
          <w:p>
            <w:pPr>
              <w:spacing w:after="0" w:line="105" w:lineRule="exact"/>
              <w:rPr>
                <w:sz w:val="20"/>
                <w:szCs w:val="20"/>
                <w:color w:val="auto"/>
              </w:rPr>
            </w:pPr>
            <w:r>
              <w:rPr>
                <w:rFonts w:ascii="Arial" w:cs="Arial" w:eastAsia="Arial" w:hAnsi="Arial"/>
                <w:sz w:val="10"/>
                <w:szCs w:val="10"/>
                <w:color w:val="auto"/>
              </w:rPr>
              <w:t>2026</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Arial" w:cs="Arial" w:eastAsia="Arial" w:hAnsi="Arial"/>
                <w:sz w:val="10"/>
                <w:szCs w:val="10"/>
                <w:color w:val="auto"/>
              </w:rPr>
              <w:t>7,225</w:t>
            </w:r>
          </w:p>
        </w:tc>
        <w:tc>
          <w:tcPr>
            <w:tcW w:w="0" w:type="dxa"/>
            <w:vAlign w:val="bottom"/>
          </w:tcPr>
          <w:p>
            <w:pPr>
              <w:spacing w:after="0"/>
              <w:rPr>
                <w:sz w:val="1"/>
                <w:szCs w:val="1"/>
                <w:color w:val="auto"/>
              </w:rPr>
            </w:pPr>
          </w:p>
        </w:tc>
      </w:tr>
      <w:tr>
        <w:trPr>
          <w:trHeight w:val="105"/>
        </w:trPr>
        <w:tc>
          <w:tcPr>
            <w:tcW w:w="490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2027</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6,541</w:t>
            </w:r>
          </w:p>
        </w:tc>
        <w:tc>
          <w:tcPr>
            <w:tcW w:w="0" w:type="dxa"/>
            <w:vAlign w:val="bottom"/>
          </w:tcPr>
          <w:p>
            <w:pPr>
              <w:spacing w:after="0"/>
              <w:rPr>
                <w:sz w:val="1"/>
                <w:szCs w:val="1"/>
                <w:color w:val="auto"/>
              </w:rPr>
            </w:pPr>
          </w:p>
        </w:tc>
      </w:tr>
      <w:tr>
        <w:trPr>
          <w:trHeight w:val="105"/>
        </w:trPr>
        <w:tc>
          <w:tcPr>
            <w:tcW w:w="5060" w:type="dxa"/>
            <w:vAlign w:val="bottom"/>
            <w:tcBorders>
              <w:bottom w:val="single" w:sz="8" w:color="CCEEFF"/>
            </w:tcBorders>
            <w:gridSpan w:val="2"/>
          </w:tcPr>
          <w:p>
            <w:pPr>
              <w:spacing w:after="0" w:line="105" w:lineRule="exact"/>
              <w:rPr>
                <w:sz w:val="20"/>
                <w:szCs w:val="20"/>
                <w:color w:val="auto"/>
              </w:rPr>
            </w:pPr>
            <w:r>
              <w:rPr>
                <w:rFonts w:ascii="Arial" w:cs="Arial" w:eastAsia="Arial" w:hAnsi="Arial"/>
                <w:sz w:val="10"/>
                <w:szCs w:val="10"/>
                <w:color w:val="auto"/>
              </w:rPr>
              <w:t>Thereafter</w:t>
            </w:r>
          </w:p>
        </w:tc>
        <w:tc>
          <w:tcPr>
            <w:tcW w:w="300" w:type="dxa"/>
            <w:vAlign w:val="bottom"/>
            <w:tcBorders>
              <w:bottom w:val="single" w:sz="8" w:color="CCEEFF"/>
            </w:tcBorders>
          </w:tcPr>
          <w:p>
            <w:pPr>
              <w:spacing w:after="0"/>
              <w:rPr>
                <w:sz w:val="9"/>
                <w:szCs w:val="9"/>
                <w:color w:val="auto"/>
              </w:rPr>
            </w:pPr>
          </w:p>
        </w:tc>
        <w:tc>
          <w:tcPr>
            <w:tcW w:w="9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0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28,045</w:t>
            </w:r>
          </w:p>
        </w:tc>
        <w:tc>
          <w:tcPr>
            <w:tcW w:w="0" w:type="dxa"/>
            <w:vAlign w:val="bottom"/>
          </w:tcPr>
          <w:p>
            <w:pPr>
              <w:spacing w:after="0"/>
              <w:rPr>
                <w:sz w:val="1"/>
                <w:szCs w:val="1"/>
                <w:color w:val="auto"/>
              </w:rPr>
            </w:pPr>
          </w:p>
        </w:tc>
      </w:tr>
      <w:tr>
        <w:trPr>
          <w:trHeight w:val="113"/>
        </w:trPr>
        <w:tc>
          <w:tcPr>
            <w:tcW w:w="5060" w:type="dxa"/>
            <w:vAlign w:val="bottom"/>
            <w:tcBorders>
              <w:bottom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w:t>
            </w:r>
          </w:p>
        </w:tc>
        <w:tc>
          <w:tcPr>
            <w:tcW w:w="30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04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61,935</w:t>
            </w:r>
          </w:p>
        </w:tc>
        <w:tc>
          <w:tcPr>
            <w:tcW w:w="0" w:type="dxa"/>
            <w:vAlign w:val="bottom"/>
          </w:tcPr>
          <w:p>
            <w:pPr>
              <w:spacing w:after="0"/>
              <w:rPr>
                <w:sz w:val="1"/>
                <w:szCs w:val="1"/>
                <w:color w:val="auto"/>
              </w:rPr>
            </w:pPr>
          </w:p>
        </w:tc>
      </w:tr>
      <w:tr>
        <w:trPr>
          <w:trHeight w:val="206"/>
        </w:trPr>
        <w:tc>
          <w:tcPr>
            <w:tcW w:w="5060" w:type="dxa"/>
            <w:vAlign w:val="bottom"/>
            <w:gridSpan w:val="2"/>
          </w:tcPr>
          <w:p>
            <w:pPr>
              <w:spacing w:after="0"/>
              <w:rPr>
                <w:sz w:val="20"/>
                <w:szCs w:val="20"/>
                <w:color w:val="auto"/>
              </w:rPr>
            </w:pPr>
            <w:r>
              <w:rPr>
                <w:rFonts w:ascii="Arial" w:cs="Arial" w:eastAsia="Arial" w:hAnsi="Arial"/>
                <w:sz w:val="10"/>
                <w:szCs w:val="10"/>
                <w:b w:val="1"/>
                <w:bCs w:val="1"/>
                <w:color w:val="auto"/>
              </w:rPr>
              <w:t>Note 8 – Goodwill and Intangible Assets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60" w:type="dxa"/>
            <w:vAlign w:val="bottom"/>
            <w:gridSpan w:val="2"/>
          </w:tcPr>
          <w:p>
            <w:pPr>
              <w:spacing w:after="0"/>
              <w:rPr>
                <w:sz w:val="20"/>
                <w:szCs w:val="20"/>
                <w:color w:val="auto"/>
              </w:rPr>
            </w:pPr>
            <w:r>
              <w:rPr>
                <w:rFonts w:ascii="Arial" w:cs="Arial" w:eastAsia="Arial" w:hAnsi="Arial"/>
                <w:sz w:val="10"/>
                <w:szCs w:val="10"/>
                <w:color w:val="auto"/>
              </w:rPr>
              <w:t>The table below summarizes goodwill by business segment as of September 30, 2023, and December 31, 2022.</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60" w:type="dxa"/>
            <w:vAlign w:val="bottom"/>
            <w:gridSpan w:val="2"/>
          </w:tcPr>
          <w:p>
            <w:pPr>
              <w:spacing w:after="0"/>
              <w:rPr>
                <w:sz w:val="20"/>
                <w:szCs w:val="20"/>
                <w:color w:val="auto"/>
              </w:rPr>
            </w:pPr>
            <w:r>
              <w:rPr>
                <w:rFonts w:ascii="Arial" w:cs="Arial" w:eastAsia="Arial" w:hAnsi="Arial"/>
                <w:sz w:val="8"/>
                <w:szCs w:val="8"/>
                <w:i w:val="1"/>
                <w:iCs w:val="1"/>
                <w:color w:val="auto"/>
              </w:rPr>
              <w:t>(Dollars in thousands)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8"/>
                <w:szCs w:val="8"/>
                <w:b w:val="1"/>
                <w:bCs w:val="1"/>
                <w:color w:val="auto"/>
              </w:rPr>
              <w:t>Cinema</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8"/>
                <w:szCs w:val="8"/>
                <w:b w:val="1"/>
                <w:bCs w:val="1"/>
                <w:color w:val="auto"/>
              </w:rPr>
              <w:t>Real Estate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493"/>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00"/>
        </w:trPr>
        <w:tc>
          <w:tcPr>
            <w:tcW w:w="5060" w:type="dxa"/>
            <w:vAlign w:val="bottom"/>
            <w:tcBorders>
              <w:top w:val="single" w:sz="8" w:color="auto"/>
            </w:tcBorders>
            <w:gridSpan w:val="2"/>
            <w:shd w:val="clear" w:color="auto" w:fill="CCEEFF"/>
          </w:tcPr>
          <w:p>
            <w:pPr>
              <w:spacing w:after="0" w:line="100" w:lineRule="exact"/>
              <w:rPr>
                <w:sz w:val="20"/>
                <w:szCs w:val="20"/>
                <w:color w:val="auto"/>
              </w:rPr>
            </w:pPr>
            <w:r>
              <w:rPr>
                <w:rFonts w:ascii="Arial" w:cs="Arial" w:eastAsia="Arial" w:hAnsi="Arial"/>
                <w:sz w:val="10"/>
                <w:szCs w:val="10"/>
                <w:color w:val="auto"/>
              </w:rPr>
              <w:t>Balance at December 31, 2022</w:t>
            </w:r>
          </w:p>
        </w:tc>
        <w:tc>
          <w:tcPr>
            <w:tcW w:w="30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20,280</w:t>
            </w: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gridSpan w:val="2"/>
            <w:shd w:val="clear" w:color="auto" w:fill="CCEEFF"/>
          </w:tcPr>
          <w:p>
            <w:pPr>
              <w:jc w:val="right"/>
              <w:ind w:right="151"/>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5,224</w:t>
            </w: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gridSpan w:val="2"/>
            <w:shd w:val="clear" w:color="auto" w:fill="CCEEFF"/>
          </w:tcPr>
          <w:p>
            <w:pPr>
              <w:jc w:val="right"/>
              <w:ind w:right="276"/>
              <w:spacing w:after="0" w:line="100" w:lineRule="exact"/>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25,504</w:t>
            </w:r>
          </w:p>
        </w:tc>
        <w:tc>
          <w:tcPr>
            <w:tcW w:w="0" w:type="dxa"/>
            <w:vAlign w:val="bottom"/>
          </w:tcPr>
          <w:p>
            <w:pPr>
              <w:spacing w:after="0"/>
              <w:rPr>
                <w:sz w:val="1"/>
                <w:szCs w:val="1"/>
                <w:color w:val="auto"/>
              </w:rPr>
            </w:pPr>
          </w:p>
        </w:tc>
      </w:tr>
      <w:tr>
        <w:trPr>
          <w:trHeight w:val="105"/>
        </w:trPr>
        <w:tc>
          <w:tcPr>
            <w:tcW w:w="5060" w:type="dxa"/>
            <w:vAlign w:val="bottom"/>
            <w:gridSpan w:val="2"/>
          </w:tcPr>
          <w:p>
            <w:pPr>
              <w:spacing w:after="0" w:line="105" w:lineRule="exact"/>
              <w:rPr>
                <w:sz w:val="20"/>
                <w:szCs w:val="20"/>
                <w:color w:val="auto"/>
              </w:rPr>
            </w:pPr>
            <w:r>
              <w:rPr>
                <w:rFonts w:ascii="Arial" w:cs="Arial" w:eastAsia="Arial" w:hAnsi="Arial"/>
                <w:sz w:val="10"/>
                <w:szCs w:val="10"/>
                <w:color w:val="auto"/>
              </w:rPr>
              <w:t>Foreign currency translation adjustment</w:t>
            </w: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gridSpan w:val="2"/>
          </w:tcPr>
          <w:p>
            <w:pPr>
              <w:ind w:left="680"/>
              <w:spacing w:after="0" w:line="105" w:lineRule="exact"/>
              <w:rPr>
                <w:sz w:val="20"/>
                <w:szCs w:val="20"/>
                <w:color w:val="auto"/>
              </w:rPr>
            </w:pPr>
            <w:r>
              <w:rPr>
                <w:rFonts w:ascii="Arial" w:cs="Arial" w:eastAsia="Arial" w:hAnsi="Arial"/>
                <w:sz w:val="10"/>
                <w:szCs w:val="10"/>
                <w:color w:val="auto"/>
              </w:rPr>
              <w:t>(907)</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Arial" w:cs="Arial" w:eastAsia="Arial" w:hAnsi="Arial"/>
                <w:sz w:val="10"/>
                <w:szCs w:val="10"/>
                <w:color w:val="auto"/>
              </w:rPr>
              <w:t>(907)</w:t>
            </w:r>
          </w:p>
        </w:tc>
        <w:tc>
          <w:tcPr>
            <w:tcW w:w="0" w:type="dxa"/>
            <w:vAlign w:val="bottom"/>
          </w:tcPr>
          <w:p>
            <w:pPr>
              <w:spacing w:after="0"/>
              <w:rPr>
                <w:sz w:val="1"/>
                <w:szCs w:val="1"/>
                <w:color w:val="auto"/>
              </w:rPr>
            </w:pPr>
          </w:p>
        </w:tc>
      </w:tr>
      <w:tr>
        <w:trPr>
          <w:trHeight w:val="93"/>
        </w:trPr>
        <w:tc>
          <w:tcPr>
            <w:tcW w:w="5060" w:type="dxa"/>
            <w:vAlign w:val="bottom"/>
            <w:tcBorders>
              <w:top w:val="single" w:sz="8" w:color="CCEEFF"/>
              <w:bottom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 at September 30, 2023</w:t>
            </w:r>
          </w:p>
        </w:tc>
        <w:tc>
          <w:tcPr>
            <w:tcW w:w="300" w:type="dxa"/>
            <w:vAlign w:val="bottom"/>
            <w:tcBorders>
              <w:top w:val="single" w:sz="8" w:color="CCEEFF"/>
              <w:bottom w:val="single" w:sz="8" w:color="CCEEFF"/>
            </w:tcBorders>
            <w:shd w:val="clear" w:color="auto" w:fill="CCEEFF"/>
          </w:tcPr>
          <w:p>
            <w:pPr>
              <w:spacing w:after="0"/>
              <w:rPr>
                <w:sz w:val="8"/>
                <w:szCs w:val="8"/>
                <w:color w:val="auto"/>
              </w:rPr>
            </w:pPr>
          </w:p>
        </w:tc>
        <w:tc>
          <w:tcPr>
            <w:tcW w:w="9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shd w:val="clear" w:color="auto" w:fill="CCEEFF"/>
          </w:tcPr>
          <w:p>
            <w:pPr>
              <w:spacing w:after="0"/>
              <w:rPr>
                <w:sz w:val="8"/>
                <w:szCs w:val="8"/>
                <w:color w:val="auto"/>
              </w:rPr>
            </w:pPr>
          </w:p>
        </w:tc>
        <w:tc>
          <w:tcPr>
            <w:tcW w:w="92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19,373</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gridSpan w:val="2"/>
            <w:shd w:val="clear" w:color="auto" w:fill="CCEEFF"/>
          </w:tcPr>
          <w:p>
            <w:pPr>
              <w:jc w:val="right"/>
              <w:ind w:right="151"/>
              <w:spacing w:after="0"/>
              <w:rPr>
                <w:sz w:val="20"/>
                <w:szCs w:val="20"/>
                <w:color w:val="auto"/>
              </w:rPr>
            </w:pPr>
            <w:r>
              <w:rPr>
                <w:rFonts w:ascii="Arial" w:cs="Arial" w:eastAsia="Arial" w:hAnsi="Arial"/>
                <w:sz w:val="5"/>
                <w:szCs w:val="5"/>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5,224</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360" w:type="dxa"/>
            <w:vAlign w:val="bottom"/>
            <w:tcBorders>
              <w:top w:val="single" w:sz="8" w:color="auto"/>
              <w:bottom w:val="single" w:sz="8" w:color="auto"/>
            </w:tcBorders>
            <w:gridSpan w:val="2"/>
            <w:shd w:val="clear" w:color="auto" w:fill="CCEEFF"/>
          </w:tcPr>
          <w:p>
            <w:pPr>
              <w:jc w:val="right"/>
              <w:ind w:right="276"/>
              <w:spacing w:after="0" w:line="93" w:lineRule="exact"/>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24,597</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right="20"/>
        <w:spacing w:after="0" w:line="228" w:lineRule="auto"/>
        <w:rPr>
          <w:sz w:val="20"/>
          <w:szCs w:val="20"/>
          <w:color w:val="auto"/>
        </w:rPr>
      </w:pPr>
      <w:r>
        <w:rPr>
          <w:rFonts w:ascii="Arial" w:cs="Arial" w:eastAsia="Arial" w:hAnsi="Arial"/>
          <w:sz w:val="10"/>
          <w:szCs w:val="10"/>
          <w:color w:val="auto"/>
        </w:rPr>
        <w:t xml:space="preserve">Our Company is required to test goodwill and other intangible assets for impairment on an annual basis and, if current events or circumstances require them, on an interim basis. Our next annual evaluation of goodwill and other intangible assets is scheduled during the fourth quarter of 2023. To test the impairment of goodwill, our Company compares the fair value of each reporting unit to its carrying amount, including the goodwill, to determine if there is potential goodwill impairment. A reporting unit is generally one level below the operating segment. As of September 30, 2023, we were not aware that any events indicating potential impairment of goodwill had occurred outside of those described at </w:t>
      </w:r>
      <w:r>
        <w:rPr>
          <w:rFonts w:ascii="Arial" w:cs="Arial" w:eastAsia="Arial" w:hAnsi="Arial"/>
          <w:sz w:val="10"/>
          <w:szCs w:val="10"/>
          <w:i w:val="1"/>
          <w:iCs w:val="1"/>
          <w:color w:val="auto"/>
        </w:rPr>
        <w:t>Note 3 – Impact of COVID-19</w:t>
      </w:r>
      <w:r>
        <w:rPr>
          <w:rFonts w:ascii="Arial" w:cs="Arial" w:eastAsia="Arial" w:hAnsi="Arial"/>
          <w:sz w:val="10"/>
          <w:szCs w:val="10"/>
          <w:color w:val="auto"/>
        </w:rPr>
        <w:t xml:space="preserve"> </w:t>
      </w:r>
      <w:r>
        <w:rPr>
          <w:rFonts w:ascii="Arial" w:cs="Arial" w:eastAsia="Arial" w:hAnsi="Arial"/>
          <w:sz w:val="10"/>
          <w:szCs w:val="10"/>
          <w:i w:val="1"/>
          <w:iCs w:val="1"/>
          <w:color w:val="auto"/>
        </w:rPr>
        <w:t>Pandemic and Liquidity</w:t>
      </w:r>
      <w:r>
        <w:rPr>
          <w:rFonts w:ascii="Arial" w:cs="Arial" w:eastAsia="Arial" w:hAnsi="Arial"/>
          <w:sz w:val="10"/>
          <w:szCs w:val="10"/>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4" w:right="640" w:bottom="1440" w:gutter="0" w:footer="0" w:header="0"/>
        </w:sectPr>
      </w:pPr>
    </w:p>
    <w:bookmarkStart w:id="14" w:name="page15"/>
    <w:bookmarkEnd w:id="14"/>
    <w:p>
      <w:pPr>
        <w:spacing w:after="0"/>
        <w:rPr>
          <w:sz w:val="20"/>
          <w:szCs w:val="20"/>
          <w:color w:val="auto"/>
        </w:rPr>
      </w:pPr>
      <w:r>
        <w:rPr>
          <w:rFonts w:ascii="Arial" w:cs="Arial" w:eastAsia="Arial" w:hAnsi="Arial"/>
          <w:sz w:val="10"/>
          <w:szCs w:val="10"/>
          <w:color w:val="auto"/>
        </w:rPr>
        <w:t>The tables below summarize intangible assets other than goodwill, as of September 30, 2023, and December 31, 2022, respectively.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00"/>
        </w:trPr>
        <w:tc>
          <w:tcPr>
            <w:tcW w:w="4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gridSpan w:val="3"/>
          </w:tcPr>
          <w:p>
            <w:pPr>
              <w:ind w:left="80"/>
              <w:spacing w:after="0"/>
              <w:rPr>
                <w:sz w:val="20"/>
                <w:szCs w:val="20"/>
                <w:color w:val="auto"/>
              </w:rPr>
            </w:pPr>
            <w:r>
              <w:rPr>
                <w:rFonts w:ascii="Arial" w:cs="Arial" w:eastAsia="Arial" w:hAnsi="Arial"/>
                <w:sz w:val="8"/>
                <w:szCs w:val="8"/>
                <w:b w:val="1"/>
                <w:bCs w:val="1"/>
                <w:color w:val="auto"/>
              </w:rPr>
              <w:t>As of September 30, 2023</w:t>
            </w:r>
          </w:p>
        </w:tc>
        <w:tc>
          <w:tcPr>
            <w:tcW w:w="1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4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Beneficial</w:t>
            </w:r>
          </w:p>
        </w:tc>
        <w:tc>
          <w:tcPr>
            <w:tcW w:w="160" w:type="dxa"/>
            <w:vAlign w:val="bottom"/>
          </w:tcPr>
          <w:p>
            <w:pPr>
              <w:spacing w:after="0"/>
              <w:rPr>
                <w:sz w:val="5"/>
                <w:szCs w:val="5"/>
                <w:color w:val="auto"/>
              </w:rPr>
            </w:pPr>
          </w:p>
        </w:tc>
        <w:tc>
          <w:tcPr>
            <w:tcW w:w="800" w:type="dxa"/>
            <w:vAlign w:val="bottom"/>
            <w:vMerge w:val="restart"/>
          </w:tcPr>
          <w:p>
            <w:pPr>
              <w:ind w:left="520"/>
              <w:spacing w:after="0"/>
              <w:rPr>
                <w:sz w:val="20"/>
                <w:szCs w:val="20"/>
                <w:color w:val="auto"/>
              </w:rPr>
            </w:pPr>
            <w:r>
              <w:rPr>
                <w:rFonts w:ascii="Arial" w:cs="Arial" w:eastAsia="Arial" w:hAnsi="Arial"/>
                <w:sz w:val="8"/>
                <w:szCs w:val="8"/>
                <w:b w:val="1"/>
                <w:bCs w:val="1"/>
                <w:color w:val="auto"/>
              </w:rPr>
              <w:t>Trade</w:t>
            </w: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ind w:left="540"/>
              <w:spacing w:after="0" w:line="63" w:lineRule="exact"/>
              <w:rPr>
                <w:sz w:val="20"/>
                <w:szCs w:val="20"/>
                <w:color w:val="auto"/>
              </w:rPr>
            </w:pPr>
            <w:r>
              <w:rPr>
                <w:rFonts w:ascii="Arial" w:cs="Arial" w:eastAsia="Arial" w:hAnsi="Arial"/>
                <w:sz w:val="7"/>
                <w:szCs w:val="7"/>
                <w:b w:val="1"/>
                <w:bCs w:val="1"/>
                <w:color w:val="auto"/>
              </w:rPr>
              <w:t>Other</w:t>
            </w:r>
          </w:p>
        </w:tc>
        <w:tc>
          <w:tcPr>
            <w:tcW w:w="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4840" w:type="dxa"/>
            <w:vAlign w:val="bottom"/>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160" w:type="dxa"/>
            <w:vAlign w:val="bottom"/>
            <w:vMerge w:val="restart"/>
          </w:tcPr>
          <w:p>
            <w:pPr>
              <w:spacing w:after="0"/>
              <w:rPr>
                <w:sz w:val="7"/>
                <w:szCs w:val="7"/>
                <w:color w:val="auto"/>
              </w:rPr>
            </w:pPr>
          </w:p>
        </w:tc>
        <w:tc>
          <w:tcPr>
            <w:tcW w:w="12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​Intangible</w:t>
            </w:r>
          </w:p>
        </w:tc>
        <w:tc>
          <w:tcPr>
            <w:tcW w:w="140" w:type="dxa"/>
            <w:vAlign w:val="bottom"/>
          </w:tcPr>
          <w:p>
            <w:pPr>
              <w:spacing w:after="0"/>
              <w:rPr>
                <w:sz w:val="7"/>
                <w:szCs w:val="7"/>
                <w:color w:val="auto"/>
              </w:rPr>
            </w:pPr>
          </w:p>
        </w:tc>
        <w:tc>
          <w:tcPr>
            <w:tcW w:w="1300" w:type="dxa"/>
            <w:vAlign w:val="bottom"/>
            <w:vMerge w:val="restart"/>
          </w:tcPr>
          <w:p>
            <w:pPr>
              <w:ind w:left="560"/>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98"/>
        </w:trPr>
        <w:tc>
          <w:tcPr>
            <w:tcW w:w="484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Leases​</w:t>
            </w:r>
          </w:p>
        </w:tc>
        <w:tc>
          <w:tcPr>
            <w:tcW w:w="160" w:type="dxa"/>
            <w:vAlign w:val="bottom"/>
          </w:tcPr>
          <w:p>
            <w:pPr>
              <w:spacing w:after="0"/>
              <w:rPr>
                <w:sz w:val="8"/>
                <w:szCs w:val="8"/>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8"/>
                <w:szCs w:val="8"/>
                <w:b w:val="1"/>
                <w:bCs w:val="1"/>
                <w:color w:val="auto"/>
              </w:rPr>
              <w:t>Name​</w:t>
            </w:r>
          </w:p>
        </w:tc>
        <w:tc>
          <w:tcPr>
            <w:tcW w:w="4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8"/>
              </w:rPr>
              <w:t>​Assets</w:t>
            </w:r>
          </w:p>
        </w:tc>
        <w:tc>
          <w:tcPr>
            <w:tcW w:w="140" w:type="dxa"/>
            <w:vAlign w:val="bottom"/>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6753225" cy="71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53225" cy="717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1"/>
        </w:trPr>
        <w:tc>
          <w:tcPr>
            <w:tcW w:w="5000" w:type="dxa"/>
            <w:vAlign w:val="bottom"/>
            <w:gridSpan w:val="2"/>
          </w:tcPr>
          <w:p>
            <w:pPr>
              <w:spacing w:after="0" w:line="101" w:lineRule="exact"/>
              <w:rPr>
                <w:sz w:val="20"/>
                <w:szCs w:val="20"/>
                <w:color w:val="auto"/>
              </w:rPr>
            </w:pPr>
            <w:r>
              <w:rPr>
                <w:rFonts w:ascii="Arial" w:cs="Arial" w:eastAsia="Arial" w:hAnsi="Arial"/>
                <w:sz w:val="10"/>
                <w:szCs w:val="10"/>
                <w:color w:val="auto"/>
              </w:rPr>
              <w:t>Gross carrying amount</w:t>
            </w:r>
          </w:p>
        </w:tc>
        <w:tc>
          <w:tcPr>
            <w:tcW w:w="880" w:type="dxa"/>
            <w:vAlign w:val="bottom"/>
            <w:gridSpan w:val="2"/>
          </w:tcPr>
          <w:p>
            <w:pPr>
              <w:spacing w:after="0" w:line="101"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1" w:lineRule="exact"/>
              <w:rPr>
                <w:sz w:val="20"/>
                <w:szCs w:val="20"/>
                <w:color w:val="auto"/>
              </w:rPr>
            </w:pPr>
            <w:r>
              <w:rPr>
                <w:rFonts w:ascii="Arial" w:cs="Arial" w:eastAsia="Arial" w:hAnsi="Arial"/>
                <w:sz w:val="10"/>
                <w:szCs w:val="10"/>
                <w:color w:val="auto"/>
              </w:rPr>
              <w:t>11,237</w:t>
            </w:r>
          </w:p>
        </w:tc>
        <w:tc>
          <w:tcPr>
            <w:tcW w:w="160" w:type="dxa"/>
            <w:vAlign w:val="bottom"/>
          </w:tcPr>
          <w:p>
            <w:pPr>
              <w:spacing w:after="0"/>
              <w:rPr>
                <w:sz w:val="8"/>
                <w:szCs w:val="8"/>
                <w:color w:val="auto"/>
              </w:rPr>
            </w:pPr>
          </w:p>
        </w:tc>
        <w:tc>
          <w:tcPr>
            <w:tcW w:w="820" w:type="dxa"/>
            <w:vAlign w:val="bottom"/>
            <w:gridSpan w:val="2"/>
          </w:tcPr>
          <w:p>
            <w:pPr>
              <w:spacing w:after="0" w:line="101"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01" w:lineRule="exact"/>
              <w:rPr>
                <w:sz w:val="20"/>
                <w:szCs w:val="20"/>
                <w:color w:val="auto"/>
              </w:rPr>
            </w:pPr>
            <w:r>
              <w:rPr>
                <w:rFonts w:ascii="Arial" w:cs="Arial" w:eastAsia="Arial" w:hAnsi="Arial"/>
                <w:sz w:val="10"/>
                <w:szCs w:val="10"/>
                <w:color w:val="auto"/>
              </w:rPr>
              <w:t>9,058</w:t>
            </w:r>
          </w:p>
        </w:tc>
        <w:tc>
          <w:tcPr>
            <w:tcW w:w="160" w:type="dxa"/>
            <w:vAlign w:val="bottom"/>
          </w:tcPr>
          <w:p>
            <w:pPr>
              <w:spacing w:after="0"/>
              <w:rPr>
                <w:sz w:val="8"/>
                <w:szCs w:val="8"/>
                <w:color w:val="auto"/>
              </w:rPr>
            </w:pPr>
          </w:p>
        </w:tc>
        <w:tc>
          <w:tcPr>
            <w:tcW w:w="440" w:type="dxa"/>
            <w:vAlign w:val="bottom"/>
          </w:tcPr>
          <w:p>
            <w:pPr>
              <w:jc w:val="right"/>
              <w:ind w:right="331"/>
              <w:spacing w:after="0" w:line="101" w:lineRule="exact"/>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01" w:lineRule="exact"/>
              <w:rPr>
                <w:sz w:val="20"/>
                <w:szCs w:val="20"/>
                <w:color w:val="auto"/>
              </w:rPr>
            </w:pPr>
            <w:r>
              <w:rPr>
                <w:rFonts w:ascii="Arial" w:cs="Arial" w:eastAsia="Arial" w:hAnsi="Arial"/>
                <w:sz w:val="10"/>
                <w:szCs w:val="10"/>
                <w:color w:val="auto"/>
              </w:rPr>
              <w:t>4,829</w:t>
            </w:r>
          </w:p>
        </w:tc>
        <w:tc>
          <w:tcPr>
            <w:tcW w:w="140" w:type="dxa"/>
            <w:vAlign w:val="bottom"/>
          </w:tcPr>
          <w:p>
            <w:pPr>
              <w:spacing w:after="0"/>
              <w:rPr>
                <w:sz w:val="8"/>
                <w:szCs w:val="8"/>
                <w:color w:val="auto"/>
              </w:rPr>
            </w:pPr>
          </w:p>
        </w:tc>
        <w:tc>
          <w:tcPr>
            <w:tcW w:w="320" w:type="dxa"/>
            <w:vAlign w:val="bottom"/>
          </w:tcPr>
          <w:p>
            <w:pPr>
              <w:jc w:val="right"/>
              <w:ind w:right="211"/>
              <w:spacing w:after="0" w:line="101" w:lineRule="exact"/>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01" w:lineRule="exact"/>
              <w:rPr>
                <w:sz w:val="20"/>
                <w:szCs w:val="20"/>
                <w:color w:val="auto"/>
              </w:rPr>
            </w:pPr>
            <w:r>
              <w:rPr>
                <w:rFonts w:ascii="Arial" w:cs="Arial" w:eastAsia="Arial" w:hAnsi="Arial"/>
                <w:sz w:val="10"/>
                <w:szCs w:val="10"/>
                <w:color w:val="auto"/>
              </w:rPr>
              <w:t>25,124</w:t>
            </w:r>
          </w:p>
        </w:tc>
        <w:tc>
          <w:tcPr>
            <w:tcW w:w="0" w:type="dxa"/>
            <w:vAlign w:val="bottom"/>
          </w:tcPr>
          <w:p>
            <w:pPr>
              <w:spacing w:after="0"/>
              <w:rPr>
                <w:sz w:val="1"/>
                <w:szCs w:val="1"/>
                <w:color w:val="auto"/>
              </w:rPr>
            </w:pPr>
          </w:p>
        </w:tc>
      </w:tr>
      <w:tr>
        <w:trPr>
          <w:trHeight w:val="109"/>
        </w:trPr>
        <w:tc>
          <w:tcPr>
            <w:tcW w:w="5000" w:type="dxa"/>
            <w:vAlign w:val="bottom"/>
            <w:gridSpan w:val="2"/>
          </w:tcPr>
          <w:p>
            <w:pPr>
              <w:spacing w:after="0" w:line="109" w:lineRule="exact"/>
              <w:rPr>
                <w:sz w:val="20"/>
                <w:szCs w:val="20"/>
                <w:color w:val="auto"/>
              </w:rPr>
            </w:pPr>
            <w:r>
              <w:rPr>
                <w:rFonts w:ascii="Arial" w:cs="Arial" w:eastAsia="Arial" w:hAnsi="Arial"/>
                <w:sz w:val="10"/>
                <w:szCs w:val="10"/>
                <w:color w:val="auto"/>
              </w:rPr>
              <w:t>Less: Accumulated amortization</w:t>
            </w: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jc w:val="right"/>
              <w:spacing w:after="0" w:line="109" w:lineRule="exact"/>
              <w:rPr>
                <w:sz w:val="20"/>
                <w:szCs w:val="20"/>
                <w:color w:val="auto"/>
              </w:rPr>
            </w:pPr>
            <w:r>
              <w:rPr>
                <w:rFonts w:ascii="Arial" w:cs="Arial" w:eastAsia="Arial" w:hAnsi="Arial"/>
                <w:sz w:val="10"/>
                <w:szCs w:val="10"/>
                <w:color w:val="auto"/>
              </w:rPr>
              <w:t>(11,030)</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gridSpan w:val="2"/>
          </w:tcPr>
          <w:p>
            <w:pPr>
              <w:jc w:val="right"/>
              <w:ind w:right="160"/>
              <w:spacing w:after="0" w:line="109" w:lineRule="exact"/>
              <w:rPr>
                <w:sz w:val="20"/>
                <w:szCs w:val="20"/>
                <w:color w:val="auto"/>
              </w:rPr>
            </w:pPr>
            <w:r>
              <w:rPr>
                <w:rFonts w:ascii="Arial" w:cs="Arial" w:eastAsia="Arial" w:hAnsi="Arial"/>
                <w:sz w:val="10"/>
                <w:szCs w:val="10"/>
                <w:color w:val="auto"/>
              </w:rPr>
              <w:t>(7,956)</w:t>
            </w:r>
          </w:p>
        </w:tc>
        <w:tc>
          <w:tcPr>
            <w:tcW w:w="440" w:type="dxa"/>
            <w:vAlign w:val="bottom"/>
          </w:tcPr>
          <w:p>
            <w:pPr>
              <w:spacing w:after="0"/>
              <w:rPr>
                <w:sz w:val="9"/>
                <w:szCs w:val="9"/>
                <w:color w:val="auto"/>
              </w:rPr>
            </w:pPr>
          </w:p>
        </w:tc>
        <w:tc>
          <w:tcPr>
            <w:tcW w:w="100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(4,020)</w:t>
            </w:r>
          </w:p>
        </w:tc>
        <w:tc>
          <w:tcPr>
            <w:tcW w:w="320" w:type="dxa"/>
            <w:vAlign w:val="bottom"/>
          </w:tcPr>
          <w:p>
            <w:pPr>
              <w:spacing w:after="0"/>
              <w:rPr>
                <w:sz w:val="9"/>
                <w:szCs w:val="9"/>
                <w:color w:val="auto"/>
              </w:rPr>
            </w:pPr>
          </w:p>
        </w:tc>
        <w:tc>
          <w:tcPr>
            <w:tcW w:w="980" w:type="dxa"/>
            <w:vAlign w:val="bottom"/>
          </w:tcPr>
          <w:p>
            <w:pPr>
              <w:jc w:val="right"/>
              <w:spacing w:after="0" w:line="109" w:lineRule="exact"/>
              <w:rPr>
                <w:sz w:val="20"/>
                <w:szCs w:val="20"/>
                <w:color w:val="auto"/>
              </w:rPr>
            </w:pPr>
            <w:r>
              <w:rPr>
                <w:rFonts w:ascii="Arial" w:cs="Arial" w:eastAsia="Arial" w:hAnsi="Arial"/>
                <w:sz w:val="10"/>
                <w:szCs w:val="10"/>
                <w:color w:val="auto"/>
              </w:rPr>
              <w:t>(23,006)</w:t>
            </w:r>
          </w:p>
        </w:tc>
        <w:tc>
          <w:tcPr>
            <w:tcW w:w="0" w:type="dxa"/>
            <w:vAlign w:val="bottom"/>
          </w:tcPr>
          <w:p>
            <w:pPr>
              <w:spacing w:after="0"/>
              <w:rPr>
                <w:sz w:val="1"/>
                <w:szCs w:val="1"/>
                <w:color w:val="auto"/>
              </w:rPr>
            </w:pPr>
          </w:p>
        </w:tc>
      </w:tr>
      <w:tr>
        <w:trPr>
          <w:trHeight w:val="105"/>
        </w:trPr>
        <w:tc>
          <w:tcPr>
            <w:tcW w:w="500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Less: Impairments</w:t>
            </w:r>
          </w:p>
        </w:tc>
        <w:tc>
          <w:tcPr>
            <w:tcW w:w="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0"/>
              <w:spacing w:after="0" w:line="105"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5" w:lineRule="exact"/>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(8)</w:t>
            </w: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93"/>
        </w:trPr>
        <w:tc>
          <w:tcPr>
            <w:tcW w:w="5000" w:type="dxa"/>
            <w:vAlign w:val="bottom"/>
            <w:gridSpan w:val="2"/>
          </w:tcPr>
          <w:p>
            <w:pPr>
              <w:spacing w:after="0" w:line="93" w:lineRule="exact"/>
              <w:rPr>
                <w:sz w:val="20"/>
                <w:szCs w:val="20"/>
                <w:color w:val="auto"/>
              </w:rPr>
            </w:pPr>
            <w:r>
              <w:rPr>
                <w:rFonts w:ascii="Arial" w:cs="Arial" w:eastAsia="Arial" w:hAnsi="Arial"/>
                <w:sz w:val="10"/>
                <w:szCs w:val="10"/>
                <w:b w:val="1"/>
                <w:bCs w:val="1"/>
                <w:color w:val="auto"/>
              </w:rPr>
              <w:t>Net intangible assets other than goodwill</w:t>
            </w:r>
          </w:p>
        </w:tc>
        <w:tc>
          <w:tcPr>
            <w:tcW w:w="880" w:type="dxa"/>
            <w:vAlign w:val="bottom"/>
            <w:tcBorders>
              <w:top w:val="single" w:sz="8" w:color="auto"/>
              <w:bottom w:val="single" w:sz="8" w:color="auto"/>
            </w:tcBorders>
            <w:gridSpan w:val="2"/>
          </w:tcPr>
          <w:p>
            <w:pPr>
              <w:spacing w:after="0" w:line="93" w:lineRule="exact"/>
              <w:rPr>
                <w:sz w:val="20"/>
                <w:szCs w:val="20"/>
                <w:color w:val="auto"/>
              </w:rPr>
            </w:pPr>
            <w:r>
              <w:rPr>
                <w:rFonts w:ascii="Arial" w:cs="Arial" w:eastAsia="Arial" w:hAnsi="Arial"/>
                <w:sz w:val="10"/>
                <w:szCs w:val="10"/>
                <w:b w:val="1"/>
                <w:bCs w:val="1"/>
                <w:color w:val="auto"/>
              </w:rPr>
              <w:t>$</w:t>
            </w:r>
          </w:p>
        </w:tc>
        <w:tc>
          <w:tcPr>
            <w:tcW w:w="40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207</w:t>
            </w:r>
          </w:p>
        </w:tc>
        <w:tc>
          <w:tcPr>
            <w:tcW w:w="160" w:type="dxa"/>
            <w:vAlign w:val="bottom"/>
          </w:tcPr>
          <w:p>
            <w:pPr>
              <w:spacing w:after="0"/>
              <w:rPr>
                <w:sz w:val="8"/>
                <w:szCs w:val="8"/>
                <w:color w:val="auto"/>
              </w:rPr>
            </w:pPr>
          </w:p>
        </w:tc>
        <w:tc>
          <w:tcPr>
            <w:tcW w:w="820" w:type="dxa"/>
            <w:vAlign w:val="bottom"/>
            <w:tcBorders>
              <w:top w:val="single" w:sz="8" w:color="auto"/>
              <w:bottom w:val="single" w:sz="8" w:color="auto"/>
            </w:tcBorders>
            <w:gridSpan w:val="2"/>
          </w:tcPr>
          <w:p>
            <w:pPr>
              <w:spacing w:after="0" w:line="93" w:lineRule="exact"/>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1,102</w:t>
            </w:r>
          </w:p>
        </w:tc>
        <w:tc>
          <w:tcPr>
            <w:tcW w:w="160" w:type="dxa"/>
            <w:vAlign w:val="bottom"/>
          </w:tcPr>
          <w:p>
            <w:pPr>
              <w:spacing w:after="0"/>
              <w:rPr>
                <w:sz w:val="8"/>
                <w:szCs w:val="8"/>
                <w:color w:val="auto"/>
              </w:rPr>
            </w:pPr>
          </w:p>
        </w:tc>
        <w:tc>
          <w:tcPr>
            <w:tcW w:w="440" w:type="dxa"/>
            <w:vAlign w:val="bottom"/>
            <w:tcBorders>
              <w:top w:val="single" w:sz="8" w:color="auto"/>
              <w:bottom w:val="single" w:sz="8" w:color="auto"/>
            </w:tcBorders>
          </w:tcPr>
          <w:p>
            <w:pPr>
              <w:jc w:val="right"/>
              <w:ind w:right="331"/>
              <w:spacing w:after="0" w:line="93" w:lineRule="exact"/>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801</w:t>
            </w:r>
          </w:p>
        </w:tc>
        <w:tc>
          <w:tcPr>
            <w:tcW w:w="140" w:type="dxa"/>
            <w:vAlign w:val="bottom"/>
          </w:tcPr>
          <w:p>
            <w:pPr>
              <w:spacing w:after="0"/>
              <w:rPr>
                <w:sz w:val="8"/>
                <w:szCs w:val="8"/>
                <w:color w:val="auto"/>
              </w:rPr>
            </w:pPr>
          </w:p>
        </w:tc>
        <w:tc>
          <w:tcPr>
            <w:tcW w:w="320" w:type="dxa"/>
            <w:vAlign w:val="bottom"/>
            <w:tcBorders>
              <w:top w:val="single" w:sz="8" w:color="auto"/>
              <w:bottom w:val="single" w:sz="8" w:color="auto"/>
            </w:tcBorders>
          </w:tcPr>
          <w:p>
            <w:pPr>
              <w:jc w:val="right"/>
              <w:ind w:right="211"/>
              <w:spacing w:after="0" w:line="93"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2,110</w:t>
            </w:r>
          </w:p>
        </w:tc>
        <w:tc>
          <w:tcPr>
            <w:tcW w:w="0" w:type="dxa"/>
            <w:vAlign w:val="bottom"/>
          </w:tcPr>
          <w:p>
            <w:pPr>
              <w:spacing w:after="0"/>
              <w:rPr>
                <w:sz w:val="1"/>
                <w:szCs w:val="1"/>
                <w:color w:val="auto"/>
              </w:rPr>
            </w:pPr>
          </w:p>
        </w:tc>
      </w:tr>
      <w:tr>
        <w:trPr>
          <w:trHeight w:val="220"/>
        </w:trPr>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As of December 31, 2022</w:t>
            </w: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4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restart"/>
          </w:tcPr>
          <w:p>
            <w:pPr>
              <w:jc w:val="center"/>
              <w:ind w:left="335"/>
              <w:spacing w:after="0"/>
              <w:rPr>
                <w:sz w:val="20"/>
                <w:szCs w:val="20"/>
                <w:color w:val="auto"/>
              </w:rPr>
            </w:pPr>
            <w:r>
              <w:rPr>
                <w:rFonts w:ascii="Arial" w:cs="Arial" w:eastAsia="Arial" w:hAnsi="Arial"/>
                <w:sz w:val="8"/>
                <w:szCs w:val="8"/>
                <w:b w:val="1"/>
                <w:bCs w:val="1"/>
                <w:color w:val="auto"/>
              </w:rPr>
              <w:t>Beneficial</w:t>
            </w: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restart"/>
          </w:tcPr>
          <w:p>
            <w:pPr>
              <w:ind w:left="500"/>
              <w:spacing w:after="0"/>
              <w:rPr>
                <w:sz w:val="20"/>
                <w:szCs w:val="20"/>
                <w:color w:val="auto"/>
              </w:rPr>
            </w:pPr>
            <w:r>
              <w:rPr>
                <w:rFonts w:ascii="Arial" w:cs="Arial" w:eastAsia="Arial" w:hAnsi="Arial"/>
                <w:sz w:val="8"/>
                <w:szCs w:val="8"/>
                <w:b w:val="1"/>
                <w:bCs w:val="1"/>
                <w:color w:val="auto"/>
              </w:rPr>
              <w:t>Trade</w:t>
            </w: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gridSpan w:val="2"/>
          </w:tcPr>
          <w:p>
            <w:pPr>
              <w:jc w:val="center"/>
              <w:ind w:right="580"/>
              <w:spacing w:after="0" w:line="63" w:lineRule="exact"/>
              <w:rPr>
                <w:sz w:val="20"/>
                <w:szCs w:val="20"/>
                <w:color w:val="auto"/>
              </w:rPr>
            </w:pPr>
            <w:r>
              <w:rPr>
                <w:rFonts w:ascii="Arial" w:cs="Arial" w:eastAsia="Arial" w:hAnsi="Arial"/>
                <w:sz w:val="7"/>
                <w:szCs w:val="7"/>
                <w:b w:val="1"/>
                <w:bCs w:val="1"/>
                <w:color w:val="auto"/>
              </w:rPr>
              <w:t>Other</w:t>
            </w: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500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gridSpan w:val="2"/>
          </w:tcPr>
          <w:p>
            <w:pPr>
              <w:jc w:val="center"/>
              <w:ind w:right="580"/>
              <w:spacing w:after="0" w:line="83" w:lineRule="exact"/>
              <w:rPr>
                <w:sz w:val="20"/>
                <w:szCs w:val="20"/>
                <w:color w:val="auto"/>
              </w:rPr>
            </w:pPr>
            <w:r>
              <w:rPr>
                <w:rFonts w:ascii="Arial" w:cs="Arial" w:eastAsia="Arial" w:hAnsi="Arial"/>
                <w:sz w:val="8"/>
                <w:szCs w:val="8"/>
                <w:b w:val="1"/>
                <w:bCs w:val="1"/>
                <w:color w:val="auto"/>
              </w:rPr>
              <w:t>​Intangible</w:t>
            </w:r>
          </w:p>
        </w:tc>
        <w:tc>
          <w:tcPr>
            <w:tcW w:w="320" w:type="dxa"/>
            <w:vAlign w:val="bottom"/>
          </w:tcPr>
          <w:p>
            <w:pPr>
              <w:spacing w:after="0"/>
              <w:rPr>
                <w:sz w:val="7"/>
                <w:szCs w:val="7"/>
                <w:color w:val="auto"/>
              </w:rPr>
            </w:pPr>
          </w:p>
        </w:tc>
        <w:tc>
          <w:tcPr>
            <w:tcW w:w="980" w:type="dxa"/>
            <w:vAlign w:val="bottom"/>
            <w:vMerge w:val="restart"/>
          </w:tcPr>
          <w:p>
            <w:pPr>
              <w:jc w:val="right"/>
              <w:ind w:right="49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98"/>
        </w:trPr>
        <w:tc>
          <w:tcPr>
            <w:tcW w:w="50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jc w:val="center"/>
              <w:ind w:left="335"/>
              <w:spacing w:after="0"/>
              <w:rPr>
                <w:sz w:val="20"/>
                <w:szCs w:val="20"/>
                <w:color w:val="auto"/>
              </w:rPr>
            </w:pPr>
            <w:r>
              <w:rPr>
                <w:rFonts w:ascii="Arial" w:cs="Arial" w:eastAsia="Arial" w:hAnsi="Arial"/>
                <w:sz w:val="8"/>
                <w:szCs w:val="8"/>
                <w:b w:val="1"/>
                <w:bCs w:val="1"/>
                <w:color w:val="auto"/>
              </w:rPr>
              <w:t>Leases​</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ind w:left="500"/>
              <w:spacing w:after="0"/>
              <w:rPr>
                <w:sz w:val="20"/>
                <w:szCs w:val="20"/>
                <w:color w:val="auto"/>
              </w:rPr>
            </w:pPr>
            <w:r>
              <w:rPr>
                <w:rFonts w:ascii="Arial" w:cs="Arial" w:eastAsia="Arial" w:hAnsi="Arial"/>
                <w:sz w:val="8"/>
                <w:szCs w:val="8"/>
                <w:b w:val="1"/>
                <w:bCs w:val="1"/>
                <w:color w:val="auto"/>
              </w:rPr>
              <w:t>Name​</w:t>
            </w: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8"/>
                <w:szCs w:val="8"/>
                <w:b w:val="1"/>
                <w:bCs w:val="1"/>
                <w:color w:val="auto"/>
                <w:w w:val="98"/>
              </w:rPr>
              <w:t>​Assets</w:t>
            </w:r>
          </w:p>
        </w:tc>
        <w:tc>
          <w:tcPr>
            <w:tcW w:w="3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84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color w:val="auto"/>
              </w:rPr>
              <w:t>Gross carrying amount</w:t>
            </w: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color w:val="auto"/>
              </w:rPr>
              <w:t>$</w:t>
            </w:r>
          </w:p>
        </w:tc>
        <w:tc>
          <w:tcPr>
            <w:tcW w:w="40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12,216</w:t>
            </w: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9,058</w:t>
            </w:r>
          </w:p>
        </w:tc>
        <w:tc>
          <w:tcPr>
            <w:tcW w:w="1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right"/>
              <w:ind w:right="331"/>
              <w:spacing w:after="0" w:line="100" w:lineRule="exact"/>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4,915</w:t>
            </w:r>
          </w:p>
        </w:tc>
        <w:tc>
          <w:tcPr>
            <w:tcW w:w="1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ind w:right="211"/>
              <w:spacing w:after="0" w:line="100" w:lineRule="exact"/>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26,189</w:t>
            </w:r>
          </w:p>
        </w:tc>
        <w:tc>
          <w:tcPr>
            <w:tcW w:w="0" w:type="dxa"/>
            <w:vAlign w:val="bottom"/>
          </w:tcPr>
          <w:p>
            <w:pPr>
              <w:spacing w:after="0"/>
              <w:rPr>
                <w:sz w:val="1"/>
                <w:szCs w:val="1"/>
                <w:color w:val="auto"/>
              </w:rPr>
            </w:pPr>
          </w:p>
        </w:tc>
      </w:tr>
      <w:tr>
        <w:trPr>
          <w:trHeight w:val="105"/>
        </w:trPr>
        <w:tc>
          <w:tcPr>
            <w:tcW w:w="5000" w:type="dxa"/>
            <w:vAlign w:val="bottom"/>
            <w:gridSpan w:val="2"/>
          </w:tcPr>
          <w:p>
            <w:pPr>
              <w:spacing w:after="0" w:line="105" w:lineRule="exact"/>
              <w:rPr>
                <w:sz w:val="20"/>
                <w:szCs w:val="20"/>
                <w:color w:val="auto"/>
              </w:rPr>
            </w:pPr>
            <w:r>
              <w:rPr>
                <w:rFonts w:ascii="Arial" w:cs="Arial" w:eastAsia="Arial" w:hAnsi="Arial"/>
                <w:sz w:val="10"/>
                <w:szCs w:val="10"/>
                <w:color w:val="auto"/>
              </w:rPr>
              <w:t>Less: Accumulated amortization</w:t>
            </w: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(11,964)</w:t>
            </w: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(7,838)</w:t>
            </w:r>
          </w:p>
        </w:tc>
        <w:tc>
          <w:tcPr>
            <w:tcW w:w="440" w:type="dxa"/>
            <w:vAlign w:val="bottom"/>
          </w:tcPr>
          <w:p>
            <w:pPr>
              <w:spacing w:after="0"/>
              <w:rPr>
                <w:sz w:val="9"/>
                <w:szCs w:val="9"/>
                <w:color w:val="auto"/>
              </w:rPr>
            </w:pPr>
          </w:p>
        </w:tc>
        <w:tc>
          <w:tcPr>
            <w:tcW w:w="100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(3,956)</w:t>
            </w:r>
          </w:p>
        </w:tc>
        <w:tc>
          <w:tcPr>
            <w:tcW w:w="32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0"/>
                <w:szCs w:val="10"/>
                <w:color w:val="auto"/>
              </w:rPr>
              <w:t>(23,758)</w:t>
            </w:r>
          </w:p>
        </w:tc>
        <w:tc>
          <w:tcPr>
            <w:tcW w:w="0" w:type="dxa"/>
            <w:vAlign w:val="bottom"/>
          </w:tcPr>
          <w:p>
            <w:pPr>
              <w:spacing w:after="0"/>
              <w:rPr>
                <w:sz w:val="1"/>
                <w:szCs w:val="1"/>
                <w:color w:val="auto"/>
              </w:rPr>
            </w:pPr>
          </w:p>
        </w:tc>
      </w:tr>
      <w:tr>
        <w:trPr>
          <w:trHeight w:val="105"/>
        </w:trPr>
        <w:tc>
          <w:tcPr>
            <w:tcW w:w="500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Less: Impairments</w:t>
            </w:r>
          </w:p>
        </w:tc>
        <w:tc>
          <w:tcPr>
            <w:tcW w:w="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0"/>
              <w:spacing w:after="0" w:line="105"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5" w:lineRule="exact"/>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(40)</w:t>
            </w: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(40)</w:t>
            </w:r>
          </w:p>
        </w:tc>
        <w:tc>
          <w:tcPr>
            <w:tcW w:w="0" w:type="dxa"/>
            <w:vAlign w:val="bottom"/>
          </w:tcPr>
          <w:p>
            <w:pPr>
              <w:spacing w:after="0"/>
              <w:rPr>
                <w:sz w:val="1"/>
                <w:szCs w:val="1"/>
                <w:color w:val="auto"/>
              </w:rPr>
            </w:pPr>
          </w:p>
        </w:tc>
      </w:tr>
      <w:tr>
        <w:trPr>
          <w:trHeight w:val="93"/>
        </w:trPr>
        <w:tc>
          <w:tcPr>
            <w:tcW w:w="5000" w:type="dxa"/>
            <w:vAlign w:val="bottom"/>
            <w:gridSpan w:val="2"/>
          </w:tcPr>
          <w:p>
            <w:pPr>
              <w:spacing w:after="0" w:line="93" w:lineRule="exact"/>
              <w:rPr>
                <w:sz w:val="20"/>
                <w:szCs w:val="20"/>
                <w:color w:val="auto"/>
              </w:rPr>
            </w:pPr>
            <w:r>
              <w:rPr>
                <w:rFonts w:ascii="Arial" w:cs="Arial" w:eastAsia="Arial" w:hAnsi="Arial"/>
                <w:sz w:val="10"/>
                <w:szCs w:val="10"/>
                <w:b w:val="1"/>
                <w:bCs w:val="1"/>
                <w:color w:val="auto"/>
              </w:rPr>
              <w:t>Net intangible assets other than goodwill</w:t>
            </w:r>
          </w:p>
        </w:tc>
        <w:tc>
          <w:tcPr>
            <w:tcW w:w="20" w:type="dxa"/>
            <w:vAlign w:val="bottom"/>
          </w:tcPr>
          <w:p>
            <w:pPr>
              <w:spacing w:after="0"/>
              <w:rPr>
                <w:sz w:val="8"/>
                <w:szCs w:val="8"/>
                <w:color w:val="auto"/>
              </w:rPr>
            </w:pPr>
          </w:p>
        </w:tc>
        <w:tc>
          <w:tcPr>
            <w:tcW w:w="860" w:type="dxa"/>
            <w:vAlign w:val="bottom"/>
            <w:tcBorders>
              <w:top w:val="single" w:sz="8" w:color="auto"/>
              <w:bottom w:val="single" w:sz="8" w:color="auto"/>
            </w:tcBorders>
          </w:tcPr>
          <w:p>
            <w:pPr>
              <w:spacing w:after="0" w:line="93" w:lineRule="exact"/>
              <w:rPr>
                <w:sz w:val="20"/>
                <w:szCs w:val="20"/>
                <w:color w:val="auto"/>
              </w:rPr>
            </w:pPr>
            <w:r>
              <w:rPr>
                <w:rFonts w:ascii="Arial" w:cs="Arial" w:eastAsia="Arial" w:hAnsi="Arial"/>
                <w:sz w:val="10"/>
                <w:szCs w:val="10"/>
                <w:b w:val="1"/>
                <w:bCs w:val="1"/>
                <w:color w:val="auto"/>
              </w:rPr>
              <w:t>$</w:t>
            </w:r>
          </w:p>
        </w:tc>
        <w:tc>
          <w:tcPr>
            <w:tcW w:w="40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252</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top w:val="single" w:sz="8" w:color="auto"/>
              <w:bottom w:val="single" w:sz="8" w:color="auto"/>
            </w:tcBorders>
          </w:tcPr>
          <w:p>
            <w:pPr>
              <w:spacing w:after="0" w:line="93" w:lineRule="exact"/>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1,220</w:t>
            </w:r>
          </w:p>
        </w:tc>
        <w:tc>
          <w:tcPr>
            <w:tcW w:w="160" w:type="dxa"/>
            <w:vAlign w:val="bottom"/>
          </w:tcPr>
          <w:p>
            <w:pPr>
              <w:spacing w:after="0"/>
              <w:rPr>
                <w:sz w:val="8"/>
                <w:szCs w:val="8"/>
                <w:color w:val="auto"/>
              </w:rPr>
            </w:pPr>
          </w:p>
        </w:tc>
        <w:tc>
          <w:tcPr>
            <w:tcW w:w="440" w:type="dxa"/>
            <w:vAlign w:val="bottom"/>
            <w:tcBorders>
              <w:top w:val="single" w:sz="8" w:color="auto"/>
              <w:bottom w:val="single" w:sz="8" w:color="auto"/>
            </w:tcBorders>
          </w:tcPr>
          <w:p>
            <w:pPr>
              <w:jc w:val="right"/>
              <w:ind w:right="331"/>
              <w:spacing w:after="0" w:line="93" w:lineRule="exact"/>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919</w:t>
            </w:r>
          </w:p>
        </w:tc>
        <w:tc>
          <w:tcPr>
            <w:tcW w:w="140" w:type="dxa"/>
            <w:vAlign w:val="bottom"/>
          </w:tcPr>
          <w:p>
            <w:pPr>
              <w:spacing w:after="0"/>
              <w:rPr>
                <w:sz w:val="8"/>
                <w:szCs w:val="8"/>
                <w:color w:val="auto"/>
              </w:rPr>
            </w:pPr>
          </w:p>
        </w:tc>
        <w:tc>
          <w:tcPr>
            <w:tcW w:w="320" w:type="dxa"/>
            <w:vAlign w:val="bottom"/>
            <w:tcBorders>
              <w:top w:val="single" w:sz="8" w:color="auto"/>
              <w:bottom w:val="single" w:sz="8" w:color="auto"/>
            </w:tcBorders>
          </w:tcPr>
          <w:p>
            <w:pPr>
              <w:jc w:val="right"/>
              <w:ind w:right="211"/>
              <w:spacing w:after="0" w:line="93"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2,391</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right="260"/>
        <w:spacing w:after="0" w:line="231" w:lineRule="auto"/>
        <w:rPr>
          <w:sz w:val="20"/>
          <w:szCs w:val="20"/>
          <w:color w:val="auto"/>
        </w:rPr>
      </w:pPr>
      <w:r>
        <w:rPr>
          <w:rFonts w:ascii="Arial" w:cs="Arial" w:eastAsia="Arial" w:hAnsi="Arial"/>
          <w:sz w:val="10"/>
          <w:szCs w:val="10"/>
          <w:color w:val="auto"/>
        </w:rPr>
        <w:t>Beneficial leases obtained in business combinations where we are the landlord are amortized over the life of the relevant leases. Trade names are amortized based on the accelerated amortization method over their estimated useful life of 30 years, and other intangible assets are amortized over their estimated useful lives of up to 30 years (except for transferrable liquor licenses, which are indefinite-lived assets). The table below summarizes the amortization expense of intangible assets for the quarter and nine months ended September 30,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00" w:type="dxa"/>
            <w:vAlign w:val="bottom"/>
            <w:gridSpan w:val="5"/>
          </w:tcPr>
          <w:p>
            <w:pPr>
              <w:ind w:left="780"/>
              <w:spacing w:after="0"/>
              <w:rPr>
                <w:sz w:val="20"/>
                <w:szCs w:val="20"/>
                <w:color w:val="auto"/>
              </w:rPr>
            </w:pPr>
            <w:r>
              <w:rPr>
                <w:rFonts w:ascii="Arial" w:cs="Arial" w:eastAsia="Arial" w:hAnsi="Arial"/>
                <w:sz w:val="8"/>
                <w:szCs w:val="8"/>
                <w:b w:val="1"/>
                <w:bCs w:val="1"/>
                <w:color w:val="auto"/>
              </w:rPr>
              <w:t>Quarter Ended</w:t>
            </w: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40" w:type="dxa"/>
            <w:vAlign w:val="bottom"/>
            <w:gridSpan w:val="5"/>
          </w:tcPr>
          <w:p>
            <w:pPr>
              <w:jc w:val="right"/>
              <w:ind w:right="16"/>
              <w:spacing w:after="0"/>
              <w:rPr>
                <w:sz w:val="20"/>
                <w:szCs w:val="20"/>
                <w:color w:val="auto"/>
              </w:rPr>
            </w:pPr>
            <w:r>
              <w:rPr>
                <w:rFonts w:ascii="Arial" w:cs="Arial" w:eastAsia="Arial" w:hAnsi="Arial"/>
                <w:sz w:val="8"/>
                <w:szCs w:val="8"/>
                <w:b w:val="1"/>
                <w:bCs w:val="1"/>
                <w:color w:val="auto"/>
              </w:rPr>
              <w:t>Nine Months Ended</w:t>
            </w: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00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3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5"/>
          </w:tcPr>
          <w:p>
            <w:pPr>
              <w:ind w:left="780"/>
              <w:spacing w:after="0"/>
              <w:rPr>
                <w:sz w:val="20"/>
                <w:szCs w:val="20"/>
                <w:color w:val="auto"/>
              </w:rPr>
            </w:pPr>
            <w:r>
              <w:rPr>
                <w:rFonts w:ascii="Arial" w:cs="Arial" w:eastAsia="Arial" w:hAnsi="Arial"/>
                <w:sz w:val="8"/>
                <w:szCs w:val="8"/>
                <w:b w:val="1"/>
                <w:bCs w:val="1"/>
                <w:color w:val="auto"/>
              </w:rPr>
              <w:t>September 30,</w:t>
            </w: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5"/>
          </w:tcPr>
          <w:p>
            <w:pPr>
              <w:ind w:left="140"/>
              <w:spacing w:after="0"/>
              <w:rPr>
                <w:sz w:val="20"/>
                <w:szCs w:val="20"/>
                <w:color w:val="auto"/>
              </w:rPr>
            </w:pPr>
            <w:r>
              <w:rPr>
                <w:rFonts w:ascii="Arial" w:cs="Arial" w:eastAsia="Arial" w:hAnsi="Arial"/>
                <w:sz w:val="8"/>
                <w:szCs w:val="8"/>
                <w:b w:val="1"/>
                <w:bCs w:val="1"/>
                <w:color w:val="auto"/>
              </w:rPr>
              <w:t>September 30,</w:t>
            </w: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0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jc w:val="right"/>
              <w:ind w:right="515"/>
              <w:spacing w:after="0" w:line="78" w:lineRule="exact"/>
              <w:rPr>
                <w:sz w:val="20"/>
                <w:szCs w:val="20"/>
                <w:color w:val="auto"/>
              </w:rPr>
            </w:pPr>
            <w:r>
              <w:rPr>
                <w:rFonts w:ascii="Arial" w:cs="Arial" w:eastAsia="Arial" w:hAnsi="Arial"/>
                <w:sz w:val="8"/>
                <w:szCs w:val="8"/>
                <w:b w:val="1"/>
                <w:bCs w:val="1"/>
                <w:color w:val="auto"/>
              </w:rPr>
              <w:t>2023</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jc w:val="center"/>
              <w:ind w:right="293"/>
              <w:spacing w:after="0" w:line="78" w:lineRule="exact"/>
              <w:rPr>
                <w:sz w:val="20"/>
                <w:szCs w:val="20"/>
                <w:color w:val="auto"/>
              </w:rPr>
            </w:pPr>
            <w:r>
              <w:rPr>
                <w:rFonts w:ascii="Arial" w:cs="Arial" w:eastAsia="Arial" w:hAnsi="Arial"/>
                <w:sz w:val="8"/>
                <w:szCs w:val="8"/>
                <w:b w:val="1"/>
                <w:bCs w:val="1"/>
                <w:color w:val="auto"/>
              </w:rPr>
              <w:t>2022</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jc w:val="center"/>
              <w:ind w:left="295"/>
              <w:spacing w:after="0" w:line="78" w:lineRule="exact"/>
              <w:rPr>
                <w:sz w:val="20"/>
                <w:szCs w:val="20"/>
                <w:color w:val="auto"/>
              </w:rPr>
            </w:pPr>
            <w:r>
              <w:rPr>
                <w:rFonts w:ascii="Arial" w:cs="Arial" w:eastAsia="Arial" w:hAnsi="Arial"/>
                <w:sz w:val="8"/>
                <w:szCs w:val="8"/>
                <w:b w:val="1"/>
                <w:bCs w:val="1"/>
                <w:color w:val="auto"/>
              </w:rPr>
              <w:t>2023</w:t>
            </w: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jc w:val="right"/>
              <w:ind w:right="514"/>
              <w:spacing w:after="0" w:line="78" w:lineRule="exact"/>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100"/>
        </w:trPr>
        <w:tc>
          <w:tcPr>
            <w:tcW w:w="484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color w:val="auto"/>
              </w:rPr>
              <w:t>Beneficial lease amortization</w:t>
            </w: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21</w:t>
            </w: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21</w:t>
            </w:r>
          </w:p>
        </w:tc>
        <w:tc>
          <w:tcPr>
            <w:tcW w:w="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jc w:val="right"/>
              <w:ind w:right="855"/>
              <w:spacing w:after="0" w:line="100"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43</w:t>
            </w:r>
          </w:p>
        </w:tc>
        <w:tc>
          <w:tcPr>
            <w:tcW w:w="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65</w:t>
            </w:r>
          </w:p>
        </w:tc>
        <w:tc>
          <w:tcPr>
            <w:tcW w:w="0" w:type="dxa"/>
            <w:vAlign w:val="bottom"/>
          </w:tcPr>
          <w:p>
            <w:pPr>
              <w:spacing w:after="0"/>
              <w:rPr>
                <w:sz w:val="1"/>
                <w:szCs w:val="1"/>
                <w:color w:val="auto"/>
              </w:rPr>
            </w:pPr>
          </w:p>
        </w:tc>
      </w:tr>
      <w:tr>
        <w:trPr>
          <w:trHeight w:val="105"/>
        </w:trPr>
        <w:tc>
          <w:tcPr>
            <w:tcW w:w="5000" w:type="dxa"/>
            <w:vAlign w:val="bottom"/>
            <w:tcBorders>
              <w:bottom w:val="single" w:sz="8" w:color="CCEEFF"/>
            </w:tcBorders>
            <w:gridSpan w:val="2"/>
          </w:tcPr>
          <w:p>
            <w:pPr>
              <w:spacing w:after="0" w:line="105" w:lineRule="exact"/>
              <w:rPr>
                <w:sz w:val="20"/>
                <w:szCs w:val="20"/>
                <w:color w:val="auto"/>
              </w:rPr>
            </w:pPr>
            <w:r>
              <w:rPr>
                <w:rFonts w:ascii="Arial" w:cs="Arial" w:eastAsia="Arial" w:hAnsi="Arial"/>
                <w:sz w:val="10"/>
                <w:szCs w:val="10"/>
                <w:color w:val="auto"/>
              </w:rPr>
              <w:t>Other amortization</w:t>
            </w: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ind w:left="780"/>
              <w:spacing w:after="0" w:line="105" w:lineRule="exact"/>
              <w:rPr>
                <w:sz w:val="20"/>
                <w:szCs w:val="20"/>
                <w:color w:val="auto"/>
              </w:rPr>
            </w:pPr>
            <w:r>
              <w:rPr>
                <w:rFonts w:ascii="Arial" w:cs="Arial" w:eastAsia="Arial" w:hAnsi="Arial"/>
                <w:sz w:val="10"/>
                <w:szCs w:val="10"/>
                <w:color w:val="auto"/>
              </w:rPr>
              <w:t>129</w:t>
            </w:r>
          </w:p>
        </w:tc>
        <w:tc>
          <w:tcPr>
            <w:tcW w:w="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286</w:t>
            </w: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182</w:t>
            </w: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396</w:t>
            </w:r>
          </w:p>
        </w:tc>
        <w:tc>
          <w:tcPr>
            <w:tcW w:w="0" w:type="dxa"/>
            <w:vAlign w:val="bottom"/>
          </w:tcPr>
          <w:p>
            <w:pPr>
              <w:spacing w:after="0"/>
              <w:rPr>
                <w:sz w:val="1"/>
                <w:szCs w:val="1"/>
                <w:color w:val="auto"/>
              </w:rPr>
            </w:pPr>
          </w:p>
        </w:tc>
      </w:tr>
      <w:tr>
        <w:trPr>
          <w:trHeight w:val="113"/>
        </w:trPr>
        <w:tc>
          <w:tcPr>
            <w:tcW w:w="5000" w:type="dxa"/>
            <w:vAlign w:val="bottom"/>
            <w:tcBorders>
              <w:bottom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 intangible assets amortization</w:t>
            </w:r>
          </w:p>
        </w:tc>
        <w:tc>
          <w:tcPr>
            <w:tcW w:w="3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150</w:t>
            </w:r>
          </w:p>
        </w:tc>
        <w:tc>
          <w:tcPr>
            <w:tcW w:w="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307</w:t>
            </w:r>
          </w:p>
        </w:tc>
        <w:tc>
          <w:tcPr>
            <w:tcW w:w="2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jc w:val="right"/>
              <w:ind w:right="855"/>
              <w:spacing w:after="0" w:line="93" w:lineRule="exact"/>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225</w:t>
            </w:r>
          </w:p>
        </w:tc>
        <w:tc>
          <w:tcPr>
            <w:tcW w:w="2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461</w:t>
            </w:r>
          </w:p>
        </w:tc>
        <w:tc>
          <w:tcPr>
            <w:tcW w:w="0" w:type="dxa"/>
            <w:vAlign w:val="bottom"/>
          </w:tcPr>
          <w:p>
            <w:pPr>
              <w:spacing w:after="0"/>
              <w:rPr>
                <w:sz w:val="1"/>
                <w:szCs w:val="1"/>
                <w:color w:val="auto"/>
              </w:rPr>
            </w:pPr>
          </w:p>
        </w:tc>
      </w:tr>
      <w:tr>
        <w:trPr>
          <w:trHeight w:val="206"/>
        </w:trPr>
        <w:tc>
          <w:tcPr>
            <w:tcW w:w="5000" w:type="dxa"/>
            <w:vAlign w:val="bottom"/>
            <w:gridSpan w:val="2"/>
          </w:tcPr>
          <w:p>
            <w:pPr>
              <w:spacing w:after="0"/>
              <w:rPr>
                <w:sz w:val="20"/>
                <w:szCs w:val="20"/>
                <w:color w:val="auto"/>
              </w:rPr>
            </w:pPr>
            <w:r>
              <w:rPr>
                <w:rFonts w:ascii="Arial" w:cs="Arial" w:eastAsia="Arial" w:hAnsi="Arial"/>
                <w:sz w:val="10"/>
                <w:szCs w:val="10"/>
                <w:b w:val="1"/>
                <w:bCs w:val="1"/>
                <w:color w:val="auto"/>
              </w:rPr>
              <w:t>Note 9 – Investments in Unconsolidated Joint Ventures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00" w:type="dxa"/>
            <w:vAlign w:val="bottom"/>
            <w:gridSpan w:val="2"/>
          </w:tcPr>
          <w:p>
            <w:pPr>
              <w:spacing w:after="0"/>
              <w:rPr>
                <w:sz w:val="20"/>
                <w:szCs w:val="20"/>
                <w:color w:val="auto"/>
              </w:rPr>
            </w:pPr>
            <w:r>
              <w:rPr>
                <w:rFonts w:ascii="Arial" w:cs="Arial" w:eastAsia="Arial" w:hAnsi="Arial"/>
                <w:sz w:val="10"/>
                <w:szCs w:val="10"/>
                <w:color w:val="auto"/>
              </w:rPr>
              <w:t>Our investments in unconsolidated joint ventures are accounted for under the equity method of accounting.</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0" w:type="dxa"/>
            <w:vAlign w:val="bottom"/>
            <w:gridSpan w:val="8"/>
          </w:tcPr>
          <w:p>
            <w:pPr>
              <w:spacing w:after="0"/>
              <w:rPr>
                <w:sz w:val="20"/>
                <w:szCs w:val="20"/>
                <w:color w:val="auto"/>
              </w:rPr>
            </w:pPr>
            <w:r>
              <w:rPr>
                <w:rFonts w:ascii="Arial" w:cs="Arial" w:eastAsia="Arial" w:hAnsi="Arial"/>
                <w:sz w:val="10"/>
                <w:szCs w:val="10"/>
                <w:color w:val="auto"/>
              </w:rPr>
              <w:t>The table below summarizes our active investment holdings in two (2) unconsolidated joint ventures as of September 30, 2023, and December 31, 2022:</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0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8"/>
                <w:szCs w:val="8"/>
                <w:b w:val="1"/>
                <w:bCs w:val="1"/>
                <w:color w:val="auto"/>
              </w:rPr>
              <w:t>Interest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center"/>
              <w:ind w:left="275"/>
              <w:spacing w:after="0"/>
              <w:rPr>
                <w:sz w:val="20"/>
                <w:szCs w:val="20"/>
                <w:color w:val="auto"/>
              </w:rPr>
            </w:pPr>
            <w:r>
              <w:rPr>
                <w:rFonts w:ascii="Arial" w:cs="Arial" w:eastAsia="Arial" w:hAnsi="Arial"/>
                <w:sz w:val="8"/>
                <w:szCs w:val="8"/>
                <w:b w:val="1"/>
                <w:bCs w:val="1"/>
                <w:color w:val="auto"/>
              </w:rPr>
              <w:t>September 30,</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334"/>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98"/>
        </w:trPr>
        <w:tc>
          <w:tcPr>
            <w:tcW w:w="50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120" w:type="dxa"/>
            <w:vAlign w:val="bottom"/>
            <w:gridSpan w:val="3"/>
          </w:tcPr>
          <w:p>
            <w:pPr>
              <w:jc w:val="center"/>
              <w:ind w:left="419"/>
              <w:spacing w:after="0"/>
              <w:rPr>
                <w:sz w:val="20"/>
                <w:szCs w:val="20"/>
                <w:color w:val="auto"/>
              </w:rPr>
            </w:pPr>
            <w:r>
              <w:rPr>
                <w:rFonts w:ascii="Arial" w:cs="Arial" w:eastAsia="Arial" w:hAnsi="Arial"/>
                <w:sz w:val="8"/>
                <w:szCs w:val="8"/>
                <w:b w:val="1"/>
                <w:bCs w:val="1"/>
                <w:color w:val="auto"/>
              </w:rPr>
              <w:t>2023</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jc w:val="right"/>
              <w:ind w:right="514"/>
              <w:spacing w:after="0"/>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100"/>
        </w:trPr>
        <w:tc>
          <w:tcPr>
            <w:tcW w:w="5000" w:type="dxa"/>
            <w:vAlign w:val="bottom"/>
            <w:tcBorders>
              <w:top w:val="single" w:sz="8" w:color="auto"/>
            </w:tcBorders>
            <w:gridSpan w:val="2"/>
            <w:shd w:val="clear" w:color="auto" w:fill="CCEEFF"/>
          </w:tcPr>
          <w:p>
            <w:pPr>
              <w:spacing w:after="0" w:line="100" w:lineRule="exact"/>
              <w:rPr>
                <w:sz w:val="20"/>
                <w:szCs w:val="20"/>
                <w:color w:val="auto"/>
              </w:rPr>
            </w:pPr>
            <w:r>
              <w:rPr>
                <w:rFonts w:ascii="Arial" w:cs="Arial" w:eastAsia="Arial" w:hAnsi="Arial"/>
                <w:sz w:val="10"/>
                <w:szCs w:val="10"/>
                <w:color w:val="auto"/>
              </w:rPr>
              <w:t>Rialto Cinemas</w:t>
            </w:r>
          </w:p>
        </w:tc>
        <w:tc>
          <w:tcPr>
            <w:tcW w:w="30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jc w:val="center"/>
              <w:ind w:right="273"/>
              <w:spacing w:after="0" w:line="100" w:lineRule="exact"/>
              <w:rPr>
                <w:sz w:val="20"/>
                <w:szCs w:val="20"/>
                <w:color w:val="auto"/>
              </w:rPr>
            </w:pPr>
            <w:r>
              <w:rPr>
                <w:rFonts w:ascii="Arial" w:cs="Arial" w:eastAsia="Arial" w:hAnsi="Arial"/>
                <w:sz w:val="10"/>
                <w:szCs w:val="10"/>
                <w:color w:val="auto"/>
                <w:w w:val="91"/>
              </w:rPr>
              <w:t>50.0%</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auto"/>
            </w:tcBorders>
            <w:gridSpan w:val="2"/>
            <w:shd w:val="clear" w:color="auto" w:fill="CCEEFF"/>
          </w:tcPr>
          <w:p>
            <w:pPr>
              <w:jc w:val="right"/>
              <w:ind w:right="875"/>
              <w:spacing w:after="0" w:line="100"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ind w:left="120"/>
              <w:spacing w:after="0" w:line="100" w:lineRule="exact"/>
              <w:rPr>
                <w:sz w:val="20"/>
                <w:szCs w:val="20"/>
                <w:color w:val="auto"/>
              </w:rPr>
            </w:pPr>
            <w:r>
              <w:rPr>
                <w:rFonts w:ascii="Arial" w:cs="Arial" w:eastAsia="Arial" w:hAnsi="Arial"/>
                <w:sz w:val="10"/>
                <w:szCs w:val="10"/>
                <w:color w:val="auto"/>
              </w:rPr>
              <w:t>860</w:t>
            </w:r>
          </w:p>
        </w:tc>
        <w:tc>
          <w:tcPr>
            <w:tcW w:w="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gridSpan w:val="3"/>
            <w:shd w:val="clear" w:color="auto" w:fill="CCEEFF"/>
          </w:tcPr>
          <w:p>
            <w:pPr>
              <w:jc w:val="right"/>
              <w:ind w:right="276"/>
              <w:spacing w:after="0" w:line="100" w:lineRule="exact"/>
              <w:rPr>
                <w:sz w:val="20"/>
                <w:szCs w:val="20"/>
                <w:color w:val="auto"/>
              </w:rPr>
            </w:pPr>
            <w:r>
              <w:rPr>
                <w:rFonts w:ascii="Arial" w:cs="Arial" w:eastAsia="Arial" w:hAnsi="Arial"/>
                <w:sz w:val="10"/>
                <w:szCs w:val="10"/>
                <w:color w:val="auto"/>
              </w:rPr>
              <w:t>$</w:t>
            </w:r>
          </w:p>
        </w:tc>
        <w:tc>
          <w:tcPr>
            <w:tcW w:w="94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920</w:t>
            </w:r>
          </w:p>
        </w:tc>
        <w:tc>
          <w:tcPr>
            <w:tcW w:w="0" w:type="dxa"/>
            <w:vAlign w:val="bottom"/>
          </w:tcPr>
          <w:p>
            <w:pPr>
              <w:spacing w:after="0"/>
              <w:rPr>
                <w:sz w:val="1"/>
                <w:szCs w:val="1"/>
                <w:color w:val="auto"/>
              </w:rPr>
            </w:pPr>
          </w:p>
        </w:tc>
      </w:tr>
      <w:tr>
        <w:trPr>
          <w:trHeight w:val="105"/>
        </w:trPr>
        <w:tc>
          <w:tcPr>
            <w:tcW w:w="5000" w:type="dxa"/>
            <w:vAlign w:val="bottom"/>
            <w:tcBorders>
              <w:bottom w:val="single" w:sz="8" w:color="CCEEFF"/>
            </w:tcBorders>
            <w:gridSpan w:val="2"/>
          </w:tcPr>
          <w:p>
            <w:pPr>
              <w:spacing w:after="0" w:line="105" w:lineRule="exact"/>
              <w:rPr>
                <w:sz w:val="20"/>
                <w:szCs w:val="20"/>
                <w:color w:val="auto"/>
              </w:rPr>
            </w:pPr>
            <w:r>
              <w:rPr>
                <w:rFonts w:ascii="Arial" w:cs="Arial" w:eastAsia="Arial" w:hAnsi="Arial"/>
                <w:sz w:val="10"/>
                <w:szCs w:val="10"/>
                <w:color w:val="auto"/>
              </w:rPr>
              <w:t>Mt. Gravatt</w:t>
            </w:r>
          </w:p>
        </w:tc>
        <w:tc>
          <w:tcPr>
            <w:tcW w:w="3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900" w:type="dxa"/>
            <w:vAlign w:val="bottom"/>
            <w:tcBorders>
              <w:bottom w:val="single" w:sz="8" w:color="CCEEFF"/>
            </w:tcBorders>
          </w:tcPr>
          <w:p>
            <w:pPr>
              <w:jc w:val="center"/>
              <w:ind w:right="273"/>
              <w:spacing w:after="0" w:line="105" w:lineRule="exact"/>
              <w:rPr>
                <w:sz w:val="20"/>
                <w:szCs w:val="20"/>
                <w:color w:val="auto"/>
              </w:rPr>
            </w:pPr>
            <w:r>
              <w:rPr>
                <w:rFonts w:ascii="Arial" w:cs="Arial" w:eastAsia="Arial" w:hAnsi="Arial"/>
                <w:sz w:val="10"/>
                <w:szCs w:val="10"/>
                <w:color w:val="auto"/>
                <w:w w:val="91"/>
              </w:rPr>
              <w:t>33.3%</w:t>
            </w:r>
          </w:p>
        </w:tc>
        <w:tc>
          <w:tcPr>
            <w:tcW w:w="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3,628</w:t>
            </w:r>
          </w:p>
        </w:tc>
        <w:tc>
          <w:tcPr>
            <w:tcW w:w="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3,836</w:t>
            </w:r>
          </w:p>
        </w:tc>
        <w:tc>
          <w:tcPr>
            <w:tcW w:w="0" w:type="dxa"/>
            <w:vAlign w:val="bottom"/>
          </w:tcPr>
          <w:p>
            <w:pPr>
              <w:spacing w:after="0"/>
              <w:rPr>
                <w:sz w:val="1"/>
                <w:szCs w:val="1"/>
                <w:color w:val="auto"/>
              </w:rPr>
            </w:pPr>
          </w:p>
        </w:tc>
      </w:tr>
      <w:tr>
        <w:trPr>
          <w:trHeight w:val="93"/>
        </w:trPr>
        <w:tc>
          <w:tcPr>
            <w:tcW w:w="5000" w:type="dxa"/>
            <w:vAlign w:val="bottom"/>
            <w:tcBorders>
              <w:bottom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 investments</w:t>
            </w:r>
          </w:p>
        </w:tc>
        <w:tc>
          <w:tcPr>
            <w:tcW w:w="30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auto"/>
            </w:tcBorders>
            <w:gridSpan w:val="2"/>
            <w:shd w:val="clear" w:color="auto" w:fill="CCEEFF"/>
          </w:tcPr>
          <w:p>
            <w:pPr>
              <w:jc w:val="right"/>
              <w:ind w:right="875"/>
              <w:spacing w:after="0" w:line="93" w:lineRule="exact"/>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4,488</w:t>
            </w:r>
          </w:p>
        </w:tc>
        <w:tc>
          <w:tcPr>
            <w:tcW w:w="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auto"/>
            </w:tcBorders>
            <w:gridSpan w:val="2"/>
            <w:shd w:val="clear" w:color="auto" w:fill="CCEEFF"/>
          </w:tcPr>
          <w:p>
            <w:pPr>
              <w:jc w:val="right"/>
              <w:ind w:right="276"/>
              <w:spacing w:after="0" w:line="93" w:lineRule="exact"/>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4,756</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For the quarter and nine months ended September 30, 2023 and 2022, the recognized share of equity earnings from our investments in unconsolidated joint ventures are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gridSpan w:val="3"/>
          </w:tcPr>
          <w:p>
            <w:pPr>
              <w:ind w:left="920"/>
              <w:spacing w:after="0"/>
              <w:rPr>
                <w:sz w:val="20"/>
                <w:szCs w:val="20"/>
                <w:color w:val="auto"/>
              </w:rPr>
            </w:pPr>
            <w:r>
              <w:rPr>
                <w:rFonts w:ascii="Arial" w:cs="Arial" w:eastAsia="Arial" w:hAnsi="Arial"/>
                <w:sz w:val="8"/>
                <w:szCs w:val="8"/>
                <w:b w:val="1"/>
                <w:bCs w:val="1"/>
                <w:color w:val="auto"/>
              </w:rPr>
              <w:t>Quarter Ended</w:t>
            </w: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gridSpan w:val="3"/>
          </w:tcPr>
          <w:p>
            <w:pPr>
              <w:ind w:left="680"/>
              <w:spacing w:after="0"/>
              <w:rPr>
                <w:sz w:val="20"/>
                <w:szCs w:val="20"/>
                <w:color w:val="auto"/>
              </w:rPr>
            </w:pPr>
            <w:r>
              <w:rPr>
                <w:rFonts w:ascii="Arial" w:cs="Arial" w:eastAsia="Arial" w:hAnsi="Arial"/>
                <w:sz w:val="8"/>
                <w:szCs w:val="8"/>
                <w:b w:val="1"/>
                <w:bCs w:val="1"/>
                <w:color w:val="auto"/>
              </w:rPr>
              <w:t>Nine Months Ended</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00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1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3"/>
          </w:tcPr>
          <w:p>
            <w:pPr>
              <w:ind w:left="920"/>
              <w:spacing w:after="0"/>
              <w:rPr>
                <w:sz w:val="20"/>
                <w:szCs w:val="20"/>
                <w:color w:val="auto"/>
              </w:rPr>
            </w:pPr>
            <w:r>
              <w:rPr>
                <w:rFonts w:ascii="Arial" w:cs="Arial" w:eastAsia="Arial" w:hAnsi="Arial"/>
                <w:sz w:val="8"/>
                <w:szCs w:val="8"/>
                <w:b w:val="1"/>
                <w:bCs w:val="1"/>
                <w:color w:val="auto"/>
              </w:rPr>
              <w:t>September 30,</w:t>
            </w: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3"/>
          </w:tcPr>
          <w:p>
            <w:pPr>
              <w:ind w:left="800"/>
              <w:spacing w:after="0"/>
              <w:rPr>
                <w:sz w:val="20"/>
                <w:szCs w:val="20"/>
                <w:color w:val="auto"/>
              </w:rPr>
            </w:pPr>
            <w:r>
              <w:rPr>
                <w:rFonts w:ascii="Arial" w:cs="Arial" w:eastAsia="Arial" w:hAnsi="Arial"/>
                <w:sz w:val="8"/>
                <w:szCs w:val="8"/>
                <w:b w:val="1"/>
                <w:bCs w:val="1"/>
                <w:color w:val="auto"/>
              </w:rPr>
              <w:t>September 30,</w:t>
            </w: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jc w:val="right"/>
              <w:ind w:right="514"/>
              <w:spacing w:after="0" w:line="78" w:lineRule="exact"/>
              <w:rPr>
                <w:sz w:val="20"/>
                <w:szCs w:val="20"/>
                <w:color w:val="auto"/>
              </w:rPr>
            </w:pPr>
            <w:r>
              <w:rPr>
                <w:rFonts w:ascii="Arial" w:cs="Arial" w:eastAsia="Arial" w:hAnsi="Arial"/>
                <w:sz w:val="8"/>
                <w:szCs w:val="8"/>
                <w:b w:val="1"/>
                <w:bCs w:val="1"/>
                <w:color w:val="auto"/>
              </w:rPr>
              <w:t>2023</w:t>
            </w: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00" w:type="dxa"/>
            <w:vAlign w:val="bottom"/>
          </w:tcPr>
          <w:p>
            <w:pPr>
              <w:jc w:val="right"/>
              <w:ind w:right="493"/>
              <w:spacing w:after="0" w:line="78" w:lineRule="exact"/>
              <w:rPr>
                <w:sz w:val="20"/>
                <w:szCs w:val="20"/>
                <w:color w:val="auto"/>
              </w:rPr>
            </w:pPr>
            <w:r>
              <w:rPr>
                <w:rFonts w:ascii="Arial" w:cs="Arial" w:eastAsia="Arial" w:hAnsi="Arial"/>
                <w:sz w:val="8"/>
                <w:szCs w:val="8"/>
                <w:b w:val="1"/>
                <w:bCs w:val="1"/>
                <w:color w:val="auto"/>
              </w:rPr>
              <w:t>2022</w:t>
            </w: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jc w:val="right"/>
              <w:ind w:right="515"/>
              <w:spacing w:after="0" w:line="78" w:lineRule="exact"/>
              <w:rPr>
                <w:sz w:val="20"/>
                <w:szCs w:val="20"/>
                <w:color w:val="auto"/>
              </w:rPr>
            </w:pPr>
            <w:r>
              <w:rPr>
                <w:rFonts w:ascii="Arial" w:cs="Arial" w:eastAsia="Arial" w:hAnsi="Arial"/>
                <w:sz w:val="8"/>
                <w:szCs w:val="8"/>
                <w:b w:val="1"/>
                <w:bCs w:val="1"/>
                <w:color w:val="auto"/>
              </w:rPr>
              <w:t>2023</w:t>
            </w: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jc w:val="right"/>
              <w:ind w:right="513"/>
              <w:spacing w:after="0" w:line="78" w:lineRule="exact"/>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100"/>
        </w:trPr>
        <w:tc>
          <w:tcPr>
            <w:tcW w:w="484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color w:val="auto"/>
              </w:rPr>
              <w:t>Rialto Cinemas</w:t>
            </w:r>
          </w:p>
        </w:tc>
        <w:tc>
          <w:tcPr>
            <w:tcW w:w="1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25</w:t>
            </w:r>
          </w:p>
        </w:tc>
        <w:tc>
          <w:tcPr>
            <w:tcW w:w="1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(15)</w:t>
            </w: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91"/>
              <w:spacing w:after="0" w:line="100" w:lineRule="exact"/>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(14)</w:t>
            </w:r>
          </w:p>
        </w:tc>
        <w:tc>
          <w:tcPr>
            <w:tcW w:w="1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right"/>
              <w:ind w:right="331"/>
              <w:spacing w:after="0" w:line="100" w:lineRule="exact"/>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(68)</w:t>
            </w:r>
          </w:p>
        </w:tc>
        <w:tc>
          <w:tcPr>
            <w:tcW w:w="0" w:type="dxa"/>
            <w:vAlign w:val="bottom"/>
          </w:tcPr>
          <w:p>
            <w:pPr>
              <w:spacing w:after="0"/>
              <w:rPr>
                <w:sz w:val="1"/>
                <w:szCs w:val="1"/>
                <w:color w:val="auto"/>
              </w:rPr>
            </w:pPr>
          </w:p>
        </w:tc>
      </w:tr>
      <w:tr>
        <w:trPr>
          <w:trHeight w:val="105"/>
        </w:trPr>
        <w:tc>
          <w:tcPr>
            <w:tcW w:w="5000" w:type="dxa"/>
            <w:vAlign w:val="bottom"/>
            <w:tcBorders>
              <w:bottom w:val="single" w:sz="8" w:color="CCEEFF"/>
            </w:tcBorders>
            <w:gridSpan w:val="2"/>
          </w:tcPr>
          <w:p>
            <w:pPr>
              <w:spacing w:after="0" w:line="105" w:lineRule="exact"/>
              <w:rPr>
                <w:sz w:val="20"/>
                <w:szCs w:val="20"/>
                <w:color w:val="auto"/>
              </w:rPr>
            </w:pPr>
            <w:r>
              <w:rPr>
                <w:rFonts w:ascii="Arial" w:cs="Arial" w:eastAsia="Arial" w:hAnsi="Arial"/>
                <w:sz w:val="10"/>
                <w:szCs w:val="10"/>
                <w:color w:val="auto"/>
              </w:rPr>
              <w:t>Mt. Gravatt</w:t>
            </w: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ind w:left="920"/>
              <w:spacing w:after="0" w:line="105" w:lineRule="exact"/>
              <w:rPr>
                <w:sz w:val="20"/>
                <w:szCs w:val="20"/>
                <w:color w:val="auto"/>
              </w:rPr>
            </w:pPr>
            <w:r>
              <w:rPr>
                <w:rFonts w:ascii="Arial" w:cs="Arial" w:eastAsia="Arial" w:hAnsi="Arial"/>
                <w:sz w:val="10"/>
                <w:szCs w:val="10"/>
                <w:color w:val="auto"/>
              </w:rPr>
              <w:t>192</w:t>
            </w:r>
          </w:p>
        </w:tc>
        <w:tc>
          <w:tcPr>
            <w:tcW w:w="16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76</w:t>
            </w:r>
          </w:p>
        </w:tc>
        <w:tc>
          <w:tcPr>
            <w:tcW w:w="16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ind w:left="800"/>
              <w:spacing w:after="0" w:line="105" w:lineRule="exact"/>
              <w:rPr>
                <w:sz w:val="20"/>
                <w:szCs w:val="20"/>
                <w:color w:val="auto"/>
              </w:rPr>
            </w:pPr>
            <w:r>
              <w:rPr>
                <w:rFonts w:ascii="Arial" w:cs="Arial" w:eastAsia="Arial" w:hAnsi="Arial"/>
                <w:sz w:val="10"/>
                <w:szCs w:val="10"/>
                <w:color w:val="auto"/>
              </w:rPr>
              <w:t>457</w:t>
            </w:r>
          </w:p>
        </w:tc>
        <w:tc>
          <w:tcPr>
            <w:tcW w:w="14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301</w:t>
            </w:r>
          </w:p>
        </w:tc>
        <w:tc>
          <w:tcPr>
            <w:tcW w:w="0" w:type="dxa"/>
            <w:vAlign w:val="bottom"/>
          </w:tcPr>
          <w:p>
            <w:pPr>
              <w:spacing w:after="0"/>
              <w:rPr>
                <w:sz w:val="1"/>
                <w:szCs w:val="1"/>
                <w:color w:val="auto"/>
              </w:rPr>
            </w:pPr>
          </w:p>
        </w:tc>
      </w:tr>
      <w:tr>
        <w:trPr>
          <w:trHeight w:val="93"/>
        </w:trPr>
        <w:tc>
          <w:tcPr>
            <w:tcW w:w="5000" w:type="dxa"/>
            <w:vAlign w:val="bottom"/>
            <w:tcBorders>
              <w:bottom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 equity earnings</w:t>
            </w:r>
          </w:p>
        </w:tc>
        <w:tc>
          <w:tcPr>
            <w:tcW w:w="1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5"/>
                <w:szCs w:val="5"/>
                <w:b w:val="1"/>
                <w:bCs w:val="1"/>
                <w:color w:val="auto"/>
                <w:w w:val="70"/>
              </w:rPr>
              <w:t>$</w:t>
            </w:r>
          </w:p>
        </w:tc>
        <w:tc>
          <w:tcPr>
            <w:tcW w:w="112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217</w:t>
            </w: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61</w:t>
            </w:r>
          </w:p>
        </w:tc>
        <w:tc>
          <w:tcPr>
            <w:tcW w:w="16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ind w:right="191"/>
              <w:spacing w:after="0" w:line="93" w:lineRule="exact"/>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443</w:t>
            </w:r>
          </w:p>
        </w:tc>
        <w:tc>
          <w:tcPr>
            <w:tcW w:w="14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ind w:right="331"/>
              <w:spacing w:after="0" w:line="93" w:lineRule="exact"/>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233</w:t>
            </w:r>
          </w:p>
        </w:tc>
        <w:tc>
          <w:tcPr>
            <w:tcW w:w="0" w:type="dxa"/>
            <w:vAlign w:val="bottom"/>
          </w:tcPr>
          <w:p>
            <w:pPr>
              <w:spacing w:after="0"/>
              <w:rPr>
                <w:sz w:val="1"/>
                <w:szCs w:val="1"/>
                <w:color w:val="auto"/>
              </w:rPr>
            </w:pPr>
          </w:p>
        </w:tc>
      </w:tr>
      <w:tr>
        <w:trPr>
          <w:trHeight w:val="323"/>
        </w:trPr>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874"/>
              <w:spacing w:after="0"/>
              <w:rPr>
                <w:sz w:val="20"/>
                <w:szCs w:val="20"/>
                <w:color w:val="auto"/>
              </w:rPr>
            </w:pPr>
            <w:r>
              <w:rPr>
                <w:rFonts w:ascii="Arial" w:cs="Arial" w:eastAsia="Arial" w:hAnsi="Arial"/>
                <w:sz w:val="10"/>
                <w:szCs w:val="10"/>
                <w:color w:val="auto"/>
              </w:rPr>
              <w:t>15</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840" w:type="dxa"/>
            <w:vAlign w:val="bottom"/>
            <w:tcBorders>
              <w:bottom w:val="single" w:sz="8" w:color="EEEEEE"/>
            </w:tcBorders>
          </w:tcPr>
          <w:p>
            <w:pPr>
              <w:spacing w:after="0"/>
              <w:rPr>
                <w:sz w:val="15"/>
                <w:szCs w:val="15"/>
                <w:color w:val="auto"/>
              </w:rPr>
            </w:pPr>
          </w:p>
        </w:tc>
        <w:tc>
          <w:tcPr>
            <w:tcW w:w="160" w:type="dxa"/>
            <w:vAlign w:val="bottom"/>
            <w:tcBorders>
              <w:bottom w:val="single" w:sz="8" w:color="EEEEEE"/>
            </w:tcBorders>
          </w:tcPr>
          <w:p>
            <w:pPr>
              <w:spacing w:after="0"/>
              <w:rPr>
                <w:sz w:val="15"/>
                <w:szCs w:val="15"/>
                <w:color w:val="auto"/>
              </w:rPr>
            </w:pPr>
          </w:p>
        </w:tc>
        <w:tc>
          <w:tcPr>
            <w:tcW w:w="160" w:type="dxa"/>
            <w:vAlign w:val="bottom"/>
            <w:tcBorders>
              <w:bottom w:val="single" w:sz="8" w:color="EEEEEE"/>
            </w:tcBorders>
          </w:tcPr>
          <w:p>
            <w:pPr>
              <w:spacing w:after="0"/>
              <w:rPr>
                <w:sz w:val="15"/>
                <w:szCs w:val="15"/>
                <w:color w:val="auto"/>
              </w:rPr>
            </w:pPr>
          </w:p>
        </w:tc>
        <w:tc>
          <w:tcPr>
            <w:tcW w:w="1120" w:type="dxa"/>
            <w:vAlign w:val="bottom"/>
            <w:tcBorders>
              <w:bottom w:val="single" w:sz="8" w:color="EEEEEE"/>
            </w:tcBorders>
          </w:tcPr>
          <w:p>
            <w:pPr>
              <w:spacing w:after="0"/>
              <w:rPr>
                <w:sz w:val="15"/>
                <w:szCs w:val="15"/>
                <w:color w:val="auto"/>
              </w:rPr>
            </w:pPr>
          </w:p>
        </w:tc>
        <w:tc>
          <w:tcPr>
            <w:tcW w:w="160" w:type="dxa"/>
            <w:vAlign w:val="bottom"/>
            <w:tcBorders>
              <w:bottom w:val="single" w:sz="8" w:color="EEEEEE"/>
            </w:tcBorders>
          </w:tcPr>
          <w:p>
            <w:pPr>
              <w:spacing w:after="0"/>
              <w:rPr>
                <w:sz w:val="15"/>
                <w:szCs w:val="15"/>
                <w:color w:val="auto"/>
              </w:rPr>
            </w:pPr>
          </w:p>
        </w:tc>
        <w:tc>
          <w:tcPr>
            <w:tcW w:w="380" w:type="dxa"/>
            <w:vAlign w:val="bottom"/>
            <w:tcBorders>
              <w:bottom w:val="single" w:sz="8" w:color="EEEEEE"/>
            </w:tcBorders>
          </w:tcPr>
          <w:p>
            <w:pPr>
              <w:spacing w:after="0"/>
              <w:rPr>
                <w:sz w:val="15"/>
                <w:szCs w:val="15"/>
                <w:color w:val="auto"/>
              </w:rPr>
            </w:pPr>
          </w:p>
        </w:tc>
        <w:tc>
          <w:tcPr>
            <w:tcW w:w="900" w:type="dxa"/>
            <w:vAlign w:val="bottom"/>
            <w:tcBorders>
              <w:bottom w:val="single" w:sz="8" w:color="EEEEEE"/>
            </w:tcBorders>
          </w:tcPr>
          <w:p>
            <w:pPr>
              <w:spacing w:after="0"/>
              <w:rPr>
                <w:sz w:val="15"/>
                <w:szCs w:val="15"/>
                <w:color w:val="auto"/>
              </w:rPr>
            </w:pPr>
          </w:p>
        </w:tc>
        <w:tc>
          <w:tcPr>
            <w:tcW w:w="160" w:type="dxa"/>
            <w:vAlign w:val="bottom"/>
            <w:tcBorders>
              <w:bottom w:val="single" w:sz="8" w:color="EEEEEE"/>
            </w:tcBorders>
          </w:tcPr>
          <w:p>
            <w:pPr>
              <w:spacing w:after="0"/>
              <w:rPr>
                <w:sz w:val="15"/>
                <w:szCs w:val="15"/>
                <w:color w:val="auto"/>
              </w:rPr>
            </w:pPr>
          </w:p>
        </w:tc>
        <w:tc>
          <w:tcPr>
            <w:tcW w:w="300" w:type="dxa"/>
            <w:vAlign w:val="bottom"/>
            <w:tcBorders>
              <w:bottom w:val="single" w:sz="8" w:color="EEEEEE"/>
            </w:tcBorders>
          </w:tcPr>
          <w:p>
            <w:pPr>
              <w:spacing w:after="0"/>
              <w:rPr>
                <w:sz w:val="15"/>
                <w:szCs w:val="15"/>
                <w:color w:val="auto"/>
              </w:rPr>
            </w:pPr>
          </w:p>
        </w:tc>
        <w:tc>
          <w:tcPr>
            <w:tcW w:w="1000" w:type="dxa"/>
            <w:vAlign w:val="bottom"/>
            <w:tcBorders>
              <w:bottom w:val="single" w:sz="8" w:color="EEEEEE"/>
            </w:tcBorders>
          </w:tcPr>
          <w:p>
            <w:pPr>
              <w:spacing w:after="0"/>
              <w:rPr>
                <w:sz w:val="15"/>
                <w:szCs w:val="15"/>
                <w:color w:val="auto"/>
              </w:rPr>
            </w:pPr>
          </w:p>
        </w:tc>
        <w:tc>
          <w:tcPr>
            <w:tcW w:w="140" w:type="dxa"/>
            <w:vAlign w:val="bottom"/>
            <w:tcBorders>
              <w:bottom w:val="single" w:sz="8" w:color="EEEEEE"/>
            </w:tcBorders>
          </w:tcPr>
          <w:p>
            <w:pPr>
              <w:spacing w:after="0"/>
              <w:rPr>
                <w:sz w:val="15"/>
                <w:szCs w:val="15"/>
                <w:color w:val="auto"/>
              </w:rPr>
            </w:pPr>
          </w:p>
        </w:tc>
        <w:tc>
          <w:tcPr>
            <w:tcW w:w="440" w:type="dxa"/>
            <w:vAlign w:val="bottom"/>
            <w:tcBorders>
              <w:bottom w:val="single" w:sz="8" w:color="EEEEEE"/>
            </w:tcBorders>
          </w:tcPr>
          <w:p>
            <w:pPr>
              <w:spacing w:after="0"/>
              <w:rPr>
                <w:sz w:val="15"/>
                <w:szCs w:val="15"/>
                <w:color w:val="auto"/>
              </w:rPr>
            </w:pPr>
          </w:p>
        </w:tc>
        <w:tc>
          <w:tcPr>
            <w:tcW w:w="860" w:type="dxa"/>
            <w:vAlign w:val="bottom"/>
            <w:tcBorders>
              <w:bottom w:val="single" w:sz="8" w:color="EEEEEE"/>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70" w:right="640" w:bottom="1440" w:gutter="0" w:footer="0" w:header="0"/>
        </w:sectPr>
      </w:pPr>
    </w:p>
    <w:bookmarkStart w:id="15" w:name="page16"/>
    <w:bookmarkEnd w:id="15"/>
    <w:p>
      <w:pPr>
        <w:spacing w:after="0"/>
        <w:rPr>
          <w:sz w:val="20"/>
          <w:szCs w:val="20"/>
          <w:color w:val="auto"/>
        </w:rPr>
      </w:pPr>
      <w:r>
        <w:rPr>
          <w:rFonts w:ascii="Arial" w:cs="Arial" w:eastAsia="Arial" w:hAnsi="Arial"/>
          <w:sz w:val="10"/>
          <w:szCs w:val="10"/>
          <w:b w:val="1"/>
          <w:bCs w:val="1"/>
          <w:color w:val="auto"/>
        </w:rPr>
        <w:t>Note 10 – Prepaid and Other Assets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Prepaid and other assets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788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960" w:type="dxa"/>
            <w:vAlign w:val="bottom"/>
          </w:tcPr>
          <w:p>
            <w:pPr>
              <w:jc w:val="right"/>
              <w:ind w:right="9"/>
              <w:spacing w:after="0"/>
              <w:rPr>
                <w:sz w:val="20"/>
                <w:szCs w:val="20"/>
                <w:color w:val="auto"/>
              </w:rPr>
            </w:pPr>
            <w:r>
              <w:rPr>
                <w:rFonts w:ascii="Arial" w:cs="Arial" w:eastAsia="Arial" w:hAnsi="Arial"/>
                <w:sz w:val="8"/>
                <w:szCs w:val="8"/>
                <w:b w:val="1"/>
                <w:bCs w:val="1"/>
                <w:color w:val="auto"/>
              </w:rPr>
              <w:t>September 30,</w:t>
            </w: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jc w:val="right"/>
              <w:ind w:right="332"/>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98"/>
        </w:trPr>
        <w:tc>
          <w:tcPr>
            <w:tcW w:w="7880" w:type="dxa"/>
            <w:vAlign w:val="bottom"/>
            <w:gridSpan w:val="2"/>
            <w:vMerge w:val="continue"/>
          </w:tcPr>
          <w:p>
            <w:pPr>
              <w:spacing w:after="0"/>
              <w:rPr>
                <w:sz w:val="8"/>
                <w:szCs w:val="8"/>
                <w:color w:val="auto"/>
              </w:rPr>
            </w:pPr>
          </w:p>
        </w:tc>
        <w:tc>
          <w:tcPr>
            <w:tcW w:w="960" w:type="dxa"/>
            <w:vAlign w:val="bottom"/>
          </w:tcPr>
          <w:p>
            <w:pPr>
              <w:jc w:val="right"/>
              <w:ind w:right="189"/>
              <w:spacing w:after="0"/>
              <w:rPr>
                <w:sz w:val="20"/>
                <w:szCs w:val="20"/>
                <w:color w:val="auto"/>
              </w:rPr>
            </w:pPr>
            <w:r>
              <w:rPr>
                <w:rFonts w:ascii="Arial" w:cs="Arial" w:eastAsia="Arial" w:hAnsi="Arial"/>
                <w:sz w:val="8"/>
                <w:szCs w:val="8"/>
                <w:b w:val="1"/>
                <w:bCs w:val="1"/>
                <w:color w:val="auto"/>
              </w:rPr>
              <w:t>2023</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jc w:val="right"/>
              <w:ind w:right="512"/>
              <w:spacing w:after="0"/>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100"/>
        </w:trPr>
        <w:tc>
          <w:tcPr>
            <w:tcW w:w="772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Prepaid and other current assets</w:t>
            </w:r>
          </w:p>
        </w:tc>
        <w:tc>
          <w:tcPr>
            <w:tcW w:w="16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788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Prepaid expenses</w:t>
            </w:r>
          </w:p>
        </w:tc>
        <w:tc>
          <w:tcPr>
            <w:tcW w:w="960" w:type="dxa"/>
            <w:vAlign w:val="bottom"/>
          </w:tcPr>
          <w:p>
            <w:pPr>
              <w:jc w:val="right"/>
              <w:ind w:right="889"/>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rPr>
              <w:t>2,349</w:t>
            </w:r>
          </w:p>
        </w:tc>
        <w:tc>
          <w:tcPr>
            <w:tcW w:w="380" w:type="dxa"/>
            <w:vAlign w:val="bottom"/>
            <w:gridSpan w:val="2"/>
          </w:tcPr>
          <w:p>
            <w:pPr>
              <w:jc w:val="right"/>
              <w:ind w:right="111"/>
              <w:spacing w:after="0" w:line="105" w:lineRule="exact"/>
              <w:rPr>
                <w:sz w:val="20"/>
                <w:szCs w:val="20"/>
                <w:color w:val="auto"/>
              </w:rPr>
            </w:pPr>
            <w:r>
              <w:rPr>
                <w:rFonts w:ascii="Arial" w:cs="Arial" w:eastAsia="Arial" w:hAnsi="Arial"/>
                <w:sz w:val="10"/>
                <w:szCs w:val="10"/>
                <w:color w:val="auto"/>
              </w:rPr>
              <w:t>$</w:t>
            </w: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1,859</w:t>
            </w:r>
          </w:p>
        </w:tc>
        <w:tc>
          <w:tcPr>
            <w:tcW w:w="0" w:type="dxa"/>
            <w:vAlign w:val="bottom"/>
          </w:tcPr>
          <w:p>
            <w:pPr>
              <w:spacing w:after="0"/>
              <w:rPr>
                <w:sz w:val="1"/>
                <w:szCs w:val="1"/>
                <w:color w:val="auto"/>
              </w:rPr>
            </w:pPr>
          </w:p>
        </w:tc>
      </w:tr>
      <w:tr>
        <w:trPr>
          <w:trHeight w:val="105"/>
        </w:trPr>
        <w:tc>
          <w:tcPr>
            <w:tcW w:w="788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Prepaid taxes</w:t>
            </w:r>
          </w:p>
        </w:tc>
        <w:tc>
          <w:tcPr>
            <w:tcW w:w="9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1,181</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1,687</w:t>
            </w:r>
          </w:p>
        </w:tc>
        <w:tc>
          <w:tcPr>
            <w:tcW w:w="0" w:type="dxa"/>
            <w:vAlign w:val="bottom"/>
          </w:tcPr>
          <w:p>
            <w:pPr>
              <w:spacing w:after="0"/>
              <w:rPr>
                <w:sz w:val="1"/>
                <w:szCs w:val="1"/>
                <w:color w:val="auto"/>
              </w:rPr>
            </w:pPr>
          </w:p>
        </w:tc>
      </w:tr>
      <w:tr>
        <w:trPr>
          <w:trHeight w:val="105"/>
        </w:trPr>
        <w:tc>
          <w:tcPr>
            <w:tcW w:w="788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Income taxes receivable</w:t>
            </w:r>
          </w:p>
        </w:tc>
        <w:tc>
          <w:tcPr>
            <w:tcW w:w="960" w:type="dxa"/>
            <w:vAlign w:val="bottom"/>
          </w:tcPr>
          <w:p>
            <w:pPr>
              <w:spacing w:after="0"/>
              <w:rPr>
                <w:sz w:val="9"/>
                <w:szCs w:val="9"/>
                <w:color w:val="auto"/>
              </w:rPr>
            </w:pP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rPr>
              <w:t>415</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788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Prepaid rent</w:t>
            </w:r>
          </w:p>
        </w:tc>
        <w:tc>
          <w:tcPr>
            <w:tcW w:w="9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19</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788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Deposits</w:t>
            </w:r>
          </w:p>
        </w:tc>
        <w:tc>
          <w:tcPr>
            <w:tcW w:w="960" w:type="dxa"/>
            <w:vAlign w:val="bottom"/>
          </w:tcPr>
          <w:p>
            <w:pPr>
              <w:spacing w:after="0"/>
              <w:rPr>
                <w:sz w:val="9"/>
                <w:szCs w:val="9"/>
                <w:color w:val="auto"/>
              </w:rPr>
            </w:pP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rPr>
              <w:t>247</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233</w:t>
            </w:r>
          </w:p>
        </w:tc>
        <w:tc>
          <w:tcPr>
            <w:tcW w:w="0" w:type="dxa"/>
            <w:vAlign w:val="bottom"/>
          </w:tcPr>
          <w:p>
            <w:pPr>
              <w:spacing w:after="0"/>
              <w:rPr>
                <w:sz w:val="1"/>
                <w:szCs w:val="1"/>
                <w:color w:val="auto"/>
              </w:rPr>
            </w:pPr>
          </w:p>
        </w:tc>
      </w:tr>
      <w:tr>
        <w:trPr>
          <w:trHeight w:val="105"/>
        </w:trPr>
        <w:tc>
          <w:tcPr>
            <w:tcW w:w="788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Interest receivable</w:t>
            </w:r>
          </w:p>
        </w:tc>
        <w:tc>
          <w:tcPr>
            <w:tcW w:w="9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16</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05"/>
        </w:trPr>
        <w:tc>
          <w:tcPr>
            <w:tcW w:w="7880" w:type="dxa"/>
            <w:vAlign w:val="bottom"/>
            <w:tcBorders>
              <w:bottom w:val="single" w:sz="8" w:color="CCEEFF"/>
            </w:tcBorders>
            <w:gridSpan w:val="2"/>
          </w:tcPr>
          <w:p>
            <w:pPr>
              <w:ind w:left="40"/>
              <w:spacing w:after="0" w:line="105" w:lineRule="exact"/>
              <w:rPr>
                <w:sz w:val="20"/>
                <w:szCs w:val="20"/>
                <w:color w:val="auto"/>
              </w:rPr>
            </w:pPr>
            <w:r>
              <w:rPr>
                <w:rFonts w:ascii="Arial" w:cs="Arial" w:eastAsia="Arial" w:hAnsi="Arial"/>
                <w:sz w:val="10"/>
                <w:szCs w:val="10"/>
                <w:color w:val="auto"/>
              </w:rPr>
              <w:t>Investments in marketable securities</w:t>
            </w:r>
          </w:p>
        </w:tc>
        <w:tc>
          <w:tcPr>
            <w:tcW w:w="9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16</w:t>
            </w:r>
          </w:p>
        </w:tc>
        <w:tc>
          <w:tcPr>
            <w:tcW w:w="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13"/>
        </w:trPr>
        <w:tc>
          <w:tcPr>
            <w:tcW w:w="7880" w:type="dxa"/>
            <w:vAlign w:val="bottom"/>
            <w:tcBorders>
              <w:bottom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 prepaid and other current assets</w:t>
            </w:r>
          </w:p>
        </w:tc>
        <w:tc>
          <w:tcPr>
            <w:tcW w:w="96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5"/>
                <w:szCs w:val="5"/>
                <w:b w:val="1"/>
                <w:bCs w:val="1"/>
                <w:color w:val="auto"/>
                <w:w w:val="70"/>
              </w:rPr>
              <w:t>$</w:t>
            </w:r>
          </w:p>
        </w:tc>
        <w:tc>
          <w:tcPr>
            <w:tcW w:w="32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4,243</w:t>
            </w:r>
          </w:p>
        </w:tc>
        <w:tc>
          <w:tcPr>
            <w:tcW w:w="1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jc w:val="right"/>
              <w:ind w:right="111"/>
              <w:spacing w:after="0" w:line="93" w:lineRule="exact"/>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3,804</w:t>
            </w:r>
          </w:p>
        </w:tc>
        <w:tc>
          <w:tcPr>
            <w:tcW w:w="0" w:type="dxa"/>
            <w:vAlign w:val="bottom"/>
          </w:tcPr>
          <w:p>
            <w:pPr>
              <w:spacing w:after="0"/>
              <w:rPr>
                <w:sz w:val="1"/>
                <w:szCs w:val="1"/>
                <w:color w:val="auto"/>
              </w:rPr>
            </w:pPr>
          </w:p>
        </w:tc>
      </w:tr>
      <w:tr>
        <w:trPr>
          <w:trHeight w:val="80"/>
        </w:trPr>
        <w:tc>
          <w:tcPr>
            <w:tcW w:w="7880" w:type="dxa"/>
            <w:vAlign w:val="bottom"/>
            <w:gridSpan w:val="2"/>
          </w:tcPr>
          <w:p>
            <w:pPr>
              <w:spacing w:after="0" w:line="80" w:lineRule="exact"/>
              <w:rPr>
                <w:sz w:val="20"/>
                <w:szCs w:val="20"/>
                <w:color w:val="auto"/>
              </w:rPr>
            </w:pPr>
            <w:r>
              <w:rPr>
                <w:rFonts w:ascii="Arial" w:cs="Arial" w:eastAsia="Arial" w:hAnsi="Arial"/>
                <w:sz w:val="9"/>
                <w:szCs w:val="9"/>
                <w:b w:val="1"/>
                <w:bCs w:val="1"/>
                <w:color w:val="auto"/>
              </w:rPr>
              <w:t>Other non-current assets</w:t>
            </w: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788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Other non-cinema and non-rental real estate assets</w:t>
            </w:r>
          </w:p>
        </w:tc>
        <w:tc>
          <w:tcPr>
            <w:tcW w:w="9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675</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1,134</w:t>
            </w:r>
          </w:p>
        </w:tc>
        <w:tc>
          <w:tcPr>
            <w:tcW w:w="0" w:type="dxa"/>
            <w:vAlign w:val="bottom"/>
          </w:tcPr>
          <w:p>
            <w:pPr>
              <w:spacing w:after="0"/>
              <w:rPr>
                <w:sz w:val="1"/>
                <w:szCs w:val="1"/>
                <w:color w:val="auto"/>
              </w:rPr>
            </w:pPr>
          </w:p>
        </w:tc>
      </w:tr>
      <w:tr>
        <w:trPr>
          <w:trHeight w:val="105"/>
        </w:trPr>
        <w:tc>
          <w:tcPr>
            <w:tcW w:w="788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Investment in Reading International Trust I</w:t>
            </w:r>
          </w:p>
        </w:tc>
        <w:tc>
          <w:tcPr>
            <w:tcW w:w="960" w:type="dxa"/>
            <w:vAlign w:val="bottom"/>
          </w:tcPr>
          <w:p>
            <w:pPr>
              <w:spacing w:after="0"/>
              <w:rPr>
                <w:sz w:val="9"/>
                <w:szCs w:val="9"/>
                <w:color w:val="auto"/>
              </w:rPr>
            </w:pP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rPr>
              <w:t>838</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838</w:t>
            </w:r>
          </w:p>
        </w:tc>
        <w:tc>
          <w:tcPr>
            <w:tcW w:w="0" w:type="dxa"/>
            <w:vAlign w:val="bottom"/>
          </w:tcPr>
          <w:p>
            <w:pPr>
              <w:spacing w:after="0"/>
              <w:rPr>
                <w:sz w:val="1"/>
                <w:szCs w:val="1"/>
                <w:color w:val="auto"/>
              </w:rPr>
            </w:pPr>
          </w:p>
        </w:tc>
      </w:tr>
      <w:tr>
        <w:trPr>
          <w:trHeight w:val="105"/>
        </w:trPr>
        <w:tc>
          <w:tcPr>
            <w:tcW w:w="788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Straight-line rent asset</w:t>
            </w:r>
          </w:p>
        </w:tc>
        <w:tc>
          <w:tcPr>
            <w:tcW w:w="9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7,196</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8,302</w:t>
            </w:r>
          </w:p>
        </w:tc>
        <w:tc>
          <w:tcPr>
            <w:tcW w:w="0" w:type="dxa"/>
            <w:vAlign w:val="bottom"/>
          </w:tcPr>
          <w:p>
            <w:pPr>
              <w:spacing w:after="0"/>
              <w:rPr>
                <w:sz w:val="1"/>
                <w:szCs w:val="1"/>
                <w:color w:val="auto"/>
              </w:rPr>
            </w:pPr>
          </w:p>
        </w:tc>
      </w:tr>
      <w:tr>
        <w:trPr>
          <w:trHeight w:val="105"/>
        </w:trPr>
        <w:tc>
          <w:tcPr>
            <w:tcW w:w="7880" w:type="dxa"/>
            <w:vAlign w:val="bottom"/>
            <w:tcBorders>
              <w:bottom w:val="single" w:sz="8" w:color="CCEEFF"/>
            </w:tcBorders>
            <w:gridSpan w:val="2"/>
          </w:tcPr>
          <w:p>
            <w:pPr>
              <w:ind w:left="40"/>
              <w:spacing w:after="0" w:line="105" w:lineRule="exact"/>
              <w:rPr>
                <w:sz w:val="20"/>
                <w:szCs w:val="20"/>
                <w:color w:val="auto"/>
              </w:rPr>
            </w:pPr>
            <w:r>
              <w:rPr>
                <w:rFonts w:ascii="Arial" w:cs="Arial" w:eastAsia="Arial" w:hAnsi="Arial"/>
                <w:sz w:val="10"/>
                <w:szCs w:val="10"/>
                <w:color w:val="auto"/>
              </w:rPr>
              <w:t>Long-term deposits</w:t>
            </w:r>
          </w:p>
        </w:tc>
        <w:tc>
          <w:tcPr>
            <w:tcW w:w="9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8</w:t>
            </w:r>
          </w:p>
        </w:tc>
        <w:tc>
          <w:tcPr>
            <w:tcW w:w="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93"/>
        </w:trPr>
        <w:tc>
          <w:tcPr>
            <w:tcW w:w="7880" w:type="dxa"/>
            <w:vAlign w:val="bottom"/>
            <w:tcBorders>
              <w:bottom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 other non-current assets</w:t>
            </w:r>
          </w:p>
        </w:tc>
        <w:tc>
          <w:tcPr>
            <w:tcW w:w="96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5"/>
                <w:szCs w:val="5"/>
                <w:b w:val="1"/>
                <w:bCs w:val="1"/>
                <w:color w:val="auto"/>
                <w:w w:val="70"/>
              </w:rPr>
              <w:t>$</w:t>
            </w:r>
          </w:p>
        </w:tc>
        <w:tc>
          <w:tcPr>
            <w:tcW w:w="32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8,717</w:t>
            </w:r>
          </w:p>
        </w:tc>
        <w:tc>
          <w:tcPr>
            <w:tcW w:w="16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ind w:right="111"/>
              <w:spacing w:after="0" w:line="93" w:lineRule="exact"/>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10,284</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11 – Income Taxes</w:t>
      </w:r>
    </w:p>
    <w:p>
      <w:pPr>
        <w:spacing w:after="0" w:line="101" w:lineRule="exact"/>
        <w:rPr>
          <w:sz w:val="20"/>
          <w:szCs w:val="20"/>
          <w:color w:val="auto"/>
        </w:rPr>
      </w:pPr>
    </w:p>
    <w:p>
      <w:pPr>
        <w:ind w:right="60"/>
        <w:spacing w:after="0" w:line="231" w:lineRule="auto"/>
        <w:rPr>
          <w:sz w:val="20"/>
          <w:szCs w:val="20"/>
          <w:color w:val="auto"/>
        </w:rPr>
      </w:pPr>
      <w:r>
        <w:rPr>
          <w:rFonts w:ascii="Arial" w:cs="Arial" w:eastAsia="Arial" w:hAnsi="Arial"/>
          <w:sz w:val="10"/>
          <w:szCs w:val="10"/>
          <w:color w:val="auto"/>
        </w:rPr>
        <w:t>The interim provision for income taxes is different from the amount determined by applying the U.S. federal statutory rate to consolidated income or loss before taxes. The differences are attributable to foreign tax rate differential, unrecognized tax benefits, and change in valuation allowance. Our effective tax rate was (1.7%) and (6.9%) for the nine months ended September 30, 2023 and 2022, respectively. The difference is primarily due to a decrease in reserve for unrecognized tax benefits in 2023. The forecasted effective tax rate is updated each quarter as new information becomes available.</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12 – Borrowings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Our Company’s borrowings at September 30, 2023 and December 31, 2022, net of deferred financing costs and including the impact of interest rate derivatives on effective interest rates, are summarized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00"/>
        </w:trPr>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8"/>
                <w:szCs w:val="8"/>
                <w:b w:val="1"/>
                <w:bCs w:val="1"/>
                <w:color w:val="auto"/>
              </w:rPr>
              <w:t>As of September 30, 2023</w:t>
            </w: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8"/>
                <w:szCs w:val="8"/>
                <w:b w:val="1"/>
                <w:bCs w:val="1"/>
                <w:color w:val="auto"/>
              </w:rPr>
              <w:t>Balance,</w:t>
            </w: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jc w:val="center"/>
              <w:spacing w:after="0" w:line="63" w:lineRule="exact"/>
              <w:rPr>
                <w:sz w:val="20"/>
                <w:szCs w:val="20"/>
                <w:color w:val="auto"/>
              </w:rPr>
            </w:pPr>
            <w:r>
              <w:rPr>
                <w:rFonts w:ascii="Arial" w:cs="Arial" w:eastAsia="Arial" w:hAnsi="Arial"/>
                <w:sz w:val="7"/>
                <w:szCs w:val="7"/>
                <w:b w:val="1"/>
                <w:bCs w:val="1"/>
                <w:color w:val="auto"/>
              </w:rPr>
              <w:t>Effective</w:t>
            </w:r>
          </w:p>
        </w:tc>
        <w:tc>
          <w:tcPr>
            <w:tcW w:w="0" w:type="dxa"/>
            <w:vAlign w:val="bottom"/>
          </w:tcPr>
          <w:p>
            <w:pPr>
              <w:spacing w:after="0"/>
              <w:rPr>
                <w:sz w:val="1"/>
                <w:szCs w:val="1"/>
                <w:color w:val="auto"/>
              </w:rPr>
            </w:pPr>
          </w:p>
        </w:tc>
      </w:tr>
      <w:tr>
        <w:trPr>
          <w:trHeight w:val="74"/>
        </w:trPr>
        <w:tc>
          <w:tcPr>
            <w:tcW w:w="3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tcPr>
          <w:p>
            <w:pPr>
              <w:jc w:val="right"/>
              <w:ind w:right="320"/>
              <w:spacing w:after="0" w:line="74" w:lineRule="exact"/>
              <w:rPr>
                <w:sz w:val="20"/>
                <w:szCs w:val="20"/>
                <w:color w:val="auto"/>
              </w:rPr>
            </w:pPr>
            <w:r>
              <w:rPr>
                <w:rFonts w:ascii="Arial" w:cs="Arial" w:eastAsia="Arial" w:hAnsi="Arial"/>
                <w:sz w:val="8"/>
                <w:szCs w:val="8"/>
                <w:b w:val="1"/>
                <w:bCs w:val="1"/>
                <w:color w:val="auto"/>
              </w:rPr>
              <w:t>Contractual</w:t>
            </w:r>
          </w:p>
        </w:tc>
        <w:tc>
          <w:tcPr>
            <w:tcW w:w="160" w:type="dxa"/>
            <w:vAlign w:val="bottom"/>
          </w:tcPr>
          <w:p>
            <w:pPr>
              <w:spacing w:after="0"/>
              <w:rPr>
                <w:sz w:val="6"/>
                <w:szCs w:val="6"/>
                <w:color w:val="auto"/>
              </w:rPr>
            </w:pPr>
          </w:p>
        </w:tc>
        <w:tc>
          <w:tcPr>
            <w:tcW w:w="88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Balance,</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20" w:type="dxa"/>
            <w:vAlign w:val="bottom"/>
            <w:gridSpan w:val="2"/>
          </w:tcPr>
          <w:p>
            <w:pPr>
              <w:ind w:left="480"/>
              <w:spacing w:after="0" w:line="74" w:lineRule="exact"/>
              <w:rPr>
                <w:sz w:val="20"/>
                <w:szCs w:val="20"/>
                <w:color w:val="auto"/>
              </w:rPr>
            </w:pPr>
            <w:r>
              <w:rPr>
                <w:rFonts w:ascii="Arial" w:cs="Arial" w:eastAsia="Arial" w:hAnsi="Arial"/>
                <w:sz w:val="8"/>
                <w:szCs w:val="8"/>
                <w:b w:val="1"/>
                <w:bCs w:val="1"/>
                <w:color w:val="auto"/>
              </w:rPr>
              <w:t>Stated</w:t>
            </w:r>
          </w:p>
        </w:tc>
        <w:tc>
          <w:tcPr>
            <w:tcW w:w="80" w:type="dxa"/>
            <w:vAlign w:val="bottom"/>
          </w:tcPr>
          <w:p>
            <w:pPr>
              <w:spacing w:after="0"/>
              <w:rPr>
                <w:sz w:val="6"/>
                <w:szCs w:val="6"/>
                <w:color w:val="auto"/>
              </w:rPr>
            </w:pPr>
          </w:p>
        </w:tc>
        <w:tc>
          <w:tcPr>
            <w:tcW w:w="76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Interest​</w:t>
            </w:r>
          </w:p>
        </w:tc>
        <w:tc>
          <w:tcPr>
            <w:tcW w:w="0" w:type="dxa"/>
            <w:vAlign w:val="bottom"/>
          </w:tcPr>
          <w:p>
            <w:pPr>
              <w:spacing w:after="0"/>
              <w:rPr>
                <w:sz w:val="1"/>
                <w:szCs w:val="1"/>
                <w:color w:val="auto"/>
              </w:rPr>
            </w:pPr>
          </w:p>
        </w:tc>
      </w:tr>
      <w:tr>
        <w:trPr>
          <w:trHeight w:val="106"/>
        </w:trPr>
        <w:tc>
          <w:tcPr>
            <w:tcW w:w="3920" w:type="dxa"/>
            <w:vAlign w:val="bottom"/>
            <w:gridSpan w:val="2"/>
          </w:tcPr>
          <w:p>
            <w:pPr>
              <w:spacing w:after="0"/>
              <w:rPr>
                <w:sz w:val="20"/>
                <w:szCs w:val="20"/>
                <w:color w:val="auto"/>
              </w:rPr>
            </w:pPr>
            <w:r>
              <w:rPr>
                <w:rFonts w:ascii="Arial" w:cs="Arial" w:eastAsia="Arial" w:hAnsi="Arial"/>
                <w:sz w:val="8"/>
                <w:szCs w:val="8"/>
                <w:i w:val="1"/>
                <w:iCs w:val="1"/>
                <w:color w:val="auto"/>
              </w:rPr>
              <w:t>(Dollars in thousands)</w:t>
            </w:r>
          </w:p>
        </w:tc>
        <w:tc>
          <w:tcPr>
            <w:tcW w:w="156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Maturity Date</w:t>
            </w:r>
          </w:p>
        </w:tc>
        <w:tc>
          <w:tcPr>
            <w:tcW w:w="140" w:type="dxa"/>
            <w:vAlign w:val="bottom"/>
          </w:tcPr>
          <w:p>
            <w:pPr>
              <w:spacing w:after="0"/>
              <w:rPr>
                <w:sz w:val="9"/>
                <w:szCs w:val="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8"/>
                <w:szCs w:val="8"/>
                <w:b w:val="1"/>
                <w:bCs w:val="1"/>
                <w:color w:val="auto"/>
              </w:rPr>
              <w:t>Facility​</w:t>
            </w:r>
          </w:p>
        </w:tc>
        <w:tc>
          <w:tcPr>
            <w:tcW w:w="160" w:type="dxa"/>
            <w:vAlign w:val="bottom"/>
          </w:tcPr>
          <w:p>
            <w:pPr>
              <w:spacing w:after="0"/>
              <w:rPr>
                <w:sz w:val="9"/>
                <w:szCs w:val="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Gross​</w:t>
            </w:r>
          </w:p>
        </w:tc>
        <w:tc>
          <w:tcPr>
            <w:tcW w:w="260" w:type="dxa"/>
            <w:vAlign w:val="bottom"/>
          </w:tcPr>
          <w:p>
            <w:pPr>
              <w:spacing w:after="0"/>
              <w:rPr>
                <w:sz w:val="9"/>
                <w:szCs w:val="9"/>
                <w:color w:val="auto"/>
              </w:rPr>
            </w:pPr>
          </w:p>
        </w:tc>
        <w:tc>
          <w:tcPr>
            <w:tcW w:w="760" w:type="dxa"/>
            <w:vAlign w:val="bottom"/>
            <w:gridSpan w:val="2"/>
          </w:tcPr>
          <w:p>
            <w:pPr>
              <w:jc w:val="right"/>
              <w:ind w:right="440"/>
              <w:spacing w:after="0" w:line="106" w:lineRule="exact"/>
              <w:rPr>
                <w:sz w:val="20"/>
                <w:szCs w:val="20"/>
                <w:color w:val="auto"/>
              </w:rPr>
            </w:pPr>
            <w:r>
              <w:rPr>
                <w:rFonts w:ascii="Arial" w:cs="Arial" w:eastAsia="Arial" w:hAnsi="Arial"/>
                <w:sz w:val="8"/>
                <w:szCs w:val="8"/>
                <w:b w:val="1"/>
                <w:bCs w:val="1"/>
                <w:color w:val="auto"/>
              </w:rPr>
              <w:t>Net​</w:t>
            </w:r>
            <w:r>
              <w:rPr>
                <w:rFonts w:ascii="Arial" w:cs="Arial" w:eastAsia="Arial" w:hAnsi="Arial"/>
                <w:sz w:val="12"/>
                <w:szCs w:val="12"/>
                <w:b w:val="1"/>
                <w:bCs w:val="1"/>
                <w:color w:val="auto"/>
                <w:vertAlign w:val="superscript"/>
              </w:rPr>
              <w:t>(1)</w:t>
            </w:r>
          </w:p>
        </w:tc>
        <w:tc>
          <w:tcPr>
            <w:tcW w:w="680" w:type="dxa"/>
            <w:vAlign w:val="bottom"/>
          </w:tcPr>
          <w:p>
            <w:pPr>
              <w:ind w:left="360"/>
              <w:spacing w:after="0"/>
              <w:rPr>
                <w:sz w:val="20"/>
                <w:szCs w:val="20"/>
                <w:color w:val="auto"/>
              </w:rPr>
            </w:pPr>
            <w:r>
              <w:rPr>
                <w:rFonts w:ascii="Arial" w:cs="Arial" w:eastAsia="Arial" w:hAnsi="Arial"/>
                <w:sz w:val="8"/>
                <w:szCs w:val="8"/>
                <w:b w:val="1"/>
                <w:bCs w:val="1"/>
                <w:color w:val="auto"/>
              </w:rPr>
              <w:t>Interest​</w:t>
            </w:r>
          </w:p>
        </w:tc>
        <w:tc>
          <w:tcPr>
            <w:tcW w:w="540" w:type="dxa"/>
            <w:vAlign w:val="bottom"/>
          </w:tcPr>
          <w:p>
            <w:pPr>
              <w:spacing w:after="0"/>
              <w:rPr>
                <w:sz w:val="20"/>
                <w:szCs w:val="20"/>
                <w:color w:val="auto"/>
              </w:rPr>
            </w:pPr>
            <w:r>
              <w:rPr>
                <w:rFonts w:ascii="Arial" w:cs="Arial" w:eastAsia="Arial" w:hAnsi="Arial"/>
                <w:sz w:val="8"/>
                <w:szCs w:val="8"/>
                <w:b w:val="1"/>
                <w:bCs w:val="1"/>
                <w:color w:val="auto"/>
              </w:rPr>
              <w:t>Rate</w:t>
            </w:r>
          </w:p>
        </w:tc>
        <w:tc>
          <w:tcPr>
            <w:tcW w:w="8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rPr>
              <w:t>Rate​</w:t>
            </w:r>
          </w:p>
        </w:tc>
        <w:tc>
          <w:tcPr>
            <w:tcW w:w="0" w:type="dxa"/>
            <w:vAlign w:val="bottom"/>
          </w:tcPr>
          <w:p>
            <w:pPr>
              <w:spacing w:after="0"/>
              <w:rPr>
                <w:sz w:val="1"/>
                <w:szCs w:val="1"/>
                <w:color w:val="auto"/>
              </w:rPr>
            </w:pPr>
          </w:p>
        </w:tc>
      </w:tr>
      <w:tr>
        <w:trPr>
          <w:trHeight w:val="78"/>
        </w:trPr>
        <w:tc>
          <w:tcPr>
            <w:tcW w:w="3840" w:type="dxa"/>
            <w:vAlign w:val="bottom"/>
            <w:tcBorders>
              <w:top w:val="single" w:sz="8" w:color="auto"/>
            </w:tcBorders>
            <w:shd w:val="clear" w:color="auto" w:fill="CCEEFF"/>
          </w:tcPr>
          <w:p>
            <w:pPr>
              <w:spacing w:after="0" w:line="78" w:lineRule="exact"/>
              <w:rPr>
                <w:sz w:val="20"/>
                <w:szCs w:val="20"/>
                <w:color w:val="auto"/>
              </w:rPr>
            </w:pPr>
            <w:r>
              <w:rPr>
                <w:rFonts w:ascii="Arial" w:cs="Arial" w:eastAsia="Arial" w:hAnsi="Arial"/>
                <w:sz w:val="8"/>
                <w:szCs w:val="8"/>
                <w:color w:val="auto"/>
              </w:rPr>
              <w:t>Denominated in USD</w:t>
            </w:r>
          </w:p>
        </w:tc>
        <w:tc>
          <w:tcPr>
            <w:tcW w:w="8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3920" w:type="dxa"/>
            <w:vAlign w:val="bottom"/>
            <w:gridSpan w:val="2"/>
          </w:tcPr>
          <w:p>
            <w:pPr>
              <w:ind w:left="40"/>
              <w:spacing w:after="0" w:line="83" w:lineRule="exact"/>
              <w:rPr>
                <w:sz w:val="20"/>
                <w:szCs w:val="20"/>
                <w:color w:val="auto"/>
              </w:rPr>
            </w:pPr>
            <w:r>
              <w:rPr>
                <w:rFonts w:ascii="Arial" w:cs="Arial" w:eastAsia="Arial" w:hAnsi="Arial"/>
                <w:sz w:val="8"/>
                <w:szCs w:val="8"/>
                <w:color w:val="auto"/>
              </w:rPr>
              <w:t>Trust Preferred Securities (US)</w:t>
            </w:r>
          </w:p>
        </w:tc>
        <w:tc>
          <w:tcPr>
            <w:tcW w:w="1560" w:type="dxa"/>
            <w:vAlign w:val="bottom"/>
            <w:gridSpan w:val="2"/>
          </w:tcPr>
          <w:p>
            <w:pPr>
              <w:jc w:val="center"/>
              <w:ind w:right="100"/>
              <w:spacing w:after="0" w:line="83" w:lineRule="exact"/>
              <w:rPr>
                <w:sz w:val="20"/>
                <w:szCs w:val="20"/>
                <w:color w:val="auto"/>
              </w:rPr>
            </w:pPr>
            <w:r>
              <w:rPr>
                <w:rFonts w:ascii="Arial" w:cs="Arial" w:eastAsia="Arial" w:hAnsi="Arial"/>
                <w:sz w:val="8"/>
                <w:szCs w:val="8"/>
                <w:color w:val="auto"/>
              </w:rPr>
              <w:t>April 30, 2027</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27,913</w:t>
            </w:r>
          </w:p>
        </w:tc>
        <w:tc>
          <w:tcPr>
            <w:tcW w:w="80" w:type="dxa"/>
            <w:vAlign w:val="bottom"/>
          </w:tcPr>
          <w:p>
            <w:pPr>
              <w:spacing w:after="0"/>
              <w:rPr>
                <w:sz w:val="7"/>
                <w:szCs w:val="7"/>
                <w:color w:val="auto"/>
              </w:rPr>
            </w:pPr>
          </w:p>
        </w:tc>
        <w:tc>
          <w:tcPr>
            <w:tcW w:w="160" w:type="dxa"/>
            <w:vAlign w:val="bottom"/>
          </w:tcPr>
          <w:p>
            <w:pPr>
              <w:jc w:val="right"/>
              <w:ind w:right="59"/>
              <w:spacing w:after="0" w:line="83" w:lineRule="exact"/>
              <w:rPr>
                <w:sz w:val="20"/>
                <w:szCs w:val="20"/>
                <w:color w:val="auto"/>
              </w:rPr>
            </w:pPr>
            <w:r>
              <w:rPr>
                <w:rFonts w:ascii="Arial" w:cs="Arial" w:eastAsia="Arial" w:hAnsi="Arial"/>
                <w:sz w:val="8"/>
                <w:szCs w:val="8"/>
                <w:color w:val="auto"/>
                <w:w w:val="88"/>
              </w:rPr>
              <w:t>$</w:t>
            </w: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27,913</w:t>
            </w:r>
          </w:p>
        </w:tc>
        <w:tc>
          <w:tcPr>
            <w:tcW w:w="80" w:type="dxa"/>
            <w:vAlign w:val="bottom"/>
          </w:tcPr>
          <w:p>
            <w:pPr>
              <w:spacing w:after="0"/>
              <w:rPr>
                <w:sz w:val="7"/>
                <w:szCs w:val="7"/>
                <w:color w:val="auto"/>
              </w:rPr>
            </w:pPr>
          </w:p>
        </w:tc>
        <w:tc>
          <w:tcPr>
            <w:tcW w:w="260" w:type="dxa"/>
            <w:vAlign w:val="bottom"/>
          </w:tcPr>
          <w:p>
            <w:pPr>
              <w:jc w:val="right"/>
              <w:ind w:right="194"/>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83" w:lineRule="exact"/>
              <w:rPr>
                <w:sz w:val="20"/>
                <w:szCs w:val="20"/>
                <w:color w:val="auto"/>
              </w:rPr>
            </w:pPr>
            <w:r>
              <w:rPr>
                <w:rFonts w:ascii="Arial" w:cs="Arial" w:eastAsia="Arial" w:hAnsi="Arial"/>
                <w:sz w:val="8"/>
                <w:szCs w:val="8"/>
                <w:color w:val="auto"/>
              </w:rPr>
              <w:t>27,117</w:t>
            </w:r>
          </w:p>
        </w:tc>
        <w:tc>
          <w:tcPr>
            <w:tcW w:w="80" w:type="dxa"/>
            <w:vAlign w:val="bottom"/>
          </w:tcPr>
          <w:p>
            <w:pPr>
              <w:spacing w:after="0"/>
              <w:rPr>
                <w:sz w:val="7"/>
                <w:szCs w:val="7"/>
                <w:color w:val="auto"/>
              </w:rPr>
            </w:pPr>
          </w:p>
        </w:tc>
        <w:tc>
          <w:tcPr>
            <w:tcW w:w="1220" w:type="dxa"/>
            <w:vAlign w:val="bottom"/>
            <w:gridSpan w:val="2"/>
          </w:tcPr>
          <w:p>
            <w:pPr>
              <w:jc w:val="center"/>
              <w:spacing w:after="0" w:line="83" w:lineRule="exact"/>
              <w:rPr>
                <w:sz w:val="20"/>
                <w:szCs w:val="20"/>
                <w:color w:val="auto"/>
              </w:rPr>
            </w:pPr>
            <w:r>
              <w:rPr>
                <w:rFonts w:ascii="Arial" w:cs="Arial" w:eastAsia="Arial" w:hAnsi="Arial"/>
                <w:sz w:val="8"/>
                <w:szCs w:val="8"/>
                <w:color w:val="auto"/>
                <w:w w:val="96"/>
              </w:rPr>
              <w:t>9.63%</w:t>
            </w:r>
          </w:p>
        </w:tc>
        <w:tc>
          <w:tcPr>
            <w:tcW w:w="840" w:type="dxa"/>
            <w:vAlign w:val="bottom"/>
            <w:gridSpan w:val="2"/>
          </w:tcPr>
          <w:p>
            <w:pPr>
              <w:jc w:val="center"/>
              <w:ind w:left="59"/>
              <w:spacing w:after="0" w:line="83" w:lineRule="exact"/>
              <w:rPr>
                <w:sz w:val="20"/>
                <w:szCs w:val="20"/>
                <w:color w:val="auto"/>
              </w:rPr>
            </w:pPr>
            <w:r>
              <w:rPr>
                <w:rFonts w:ascii="Arial" w:cs="Arial" w:eastAsia="Arial" w:hAnsi="Arial"/>
                <w:sz w:val="8"/>
                <w:szCs w:val="8"/>
                <w:color w:val="auto"/>
                <w:w w:val="96"/>
              </w:rPr>
              <w:t>9.63%</w:t>
            </w:r>
          </w:p>
        </w:tc>
        <w:tc>
          <w:tcPr>
            <w:tcW w:w="0" w:type="dxa"/>
            <w:vAlign w:val="bottom"/>
          </w:tcPr>
          <w:p>
            <w:pPr>
              <w:spacing w:after="0"/>
              <w:rPr>
                <w:sz w:val="1"/>
                <w:szCs w:val="1"/>
                <w:color w:val="auto"/>
              </w:rPr>
            </w:pPr>
          </w:p>
        </w:tc>
      </w:tr>
      <w:tr>
        <w:trPr>
          <w:trHeight w:val="83"/>
        </w:trPr>
        <w:tc>
          <w:tcPr>
            <w:tcW w:w="3920" w:type="dxa"/>
            <w:vAlign w:val="bottom"/>
            <w:gridSpan w:val="2"/>
            <w:shd w:val="clear" w:color="auto" w:fill="CCEEFF"/>
          </w:tcPr>
          <w:p>
            <w:pPr>
              <w:ind w:left="40"/>
              <w:spacing w:after="0" w:line="83" w:lineRule="exact"/>
              <w:rPr>
                <w:sz w:val="20"/>
                <w:szCs w:val="20"/>
                <w:color w:val="auto"/>
              </w:rPr>
            </w:pPr>
            <w:r>
              <w:rPr>
                <w:rFonts w:ascii="Arial" w:cs="Arial" w:eastAsia="Arial" w:hAnsi="Arial"/>
                <w:sz w:val="8"/>
                <w:szCs w:val="8"/>
                <w:color w:val="auto"/>
              </w:rPr>
              <w:t>Bank of America Credit Facility (US)</w:t>
            </w:r>
          </w:p>
        </w:tc>
        <w:tc>
          <w:tcPr>
            <w:tcW w:w="1560" w:type="dxa"/>
            <w:vAlign w:val="bottom"/>
            <w:gridSpan w:val="2"/>
            <w:shd w:val="clear" w:color="auto" w:fill="CCEEFF"/>
          </w:tcPr>
          <w:p>
            <w:pPr>
              <w:jc w:val="center"/>
              <w:ind w:right="100"/>
              <w:spacing w:after="0" w:line="83" w:lineRule="exact"/>
              <w:rPr>
                <w:sz w:val="20"/>
                <w:szCs w:val="20"/>
                <w:color w:val="auto"/>
              </w:rPr>
            </w:pPr>
            <w:r>
              <w:rPr>
                <w:rFonts w:ascii="Arial" w:cs="Arial" w:eastAsia="Arial" w:hAnsi="Arial"/>
                <w:sz w:val="8"/>
                <w:szCs w:val="8"/>
                <w:color w:val="auto"/>
              </w:rPr>
              <w:t>September 4, 2024</w:t>
            </w: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22,375</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22,375</w:t>
            </w: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22,260</w:t>
            </w:r>
          </w:p>
        </w:tc>
        <w:tc>
          <w:tcPr>
            <w:tcW w:w="80" w:type="dxa"/>
            <w:vAlign w:val="bottom"/>
            <w:shd w:val="clear" w:color="auto" w:fill="CCEEFF"/>
          </w:tcPr>
          <w:p>
            <w:pPr>
              <w:spacing w:after="0"/>
              <w:rPr>
                <w:sz w:val="7"/>
                <w:szCs w:val="7"/>
                <w:color w:val="auto"/>
              </w:rPr>
            </w:pPr>
          </w:p>
        </w:tc>
        <w:tc>
          <w:tcPr>
            <w:tcW w:w="1220" w:type="dxa"/>
            <w:vAlign w:val="bottom"/>
            <w:gridSpan w:val="2"/>
            <w:shd w:val="clear" w:color="auto" w:fill="CCEEFF"/>
          </w:tcPr>
          <w:p>
            <w:pPr>
              <w:jc w:val="center"/>
              <w:spacing w:after="0" w:line="83" w:lineRule="exact"/>
              <w:rPr>
                <w:sz w:val="20"/>
                <w:szCs w:val="20"/>
                <w:color w:val="auto"/>
              </w:rPr>
            </w:pPr>
            <w:r>
              <w:rPr>
                <w:rFonts w:ascii="Arial" w:cs="Arial" w:eastAsia="Arial" w:hAnsi="Arial"/>
                <w:sz w:val="8"/>
                <w:szCs w:val="8"/>
                <w:color w:val="auto"/>
              </w:rPr>
              <w:t>11.00%</w:t>
            </w:r>
          </w:p>
        </w:tc>
        <w:tc>
          <w:tcPr>
            <w:tcW w:w="840" w:type="dxa"/>
            <w:vAlign w:val="bottom"/>
            <w:gridSpan w:val="2"/>
            <w:shd w:val="clear" w:color="auto" w:fill="CCEEFF"/>
          </w:tcPr>
          <w:p>
            <w:pPr>
              <w:jc w:val="center"/>
              <w:ind w:left="39"/>
              <w:spacing w:after="0" w:line="83" w:lineRule="exact"/>
              <w:rPr>
                <w:sz w:val="20"/>
                <w:szCs w:val="20"/>
                <w:color w:val="auto"/>
              </w:rPr>
            </w:pPr>
            <w:r>
              <w:rPr>
                <w:rFonts w:ascii="Arial" w:cs="Arial" w:eastAsia="Arial" w:hAnsi="Arial"/>
                <w:sz w:val="8"/>
                <w:szCs w:val="8"/>
                <w:color w:val="auto"/>
              </w:rPr>
              <w:t>11.00%</w:t>
            </w:r>
          </w:p>
        </w:tc>
        <w:tc>
          <w:tcPr>
            <w:tcW w:w="0" w:type="dxa"/>
            <w:vAlign w:val="bottom"/>
          </w:tcPr>
          <w:p>
            <w:pPr>
              <w:spacing w:after="0"/>
              <w:rPr>
                <w:sz w:val="1"/>
                <w:szCs w:val="1"/>
                <w:color w:val="auto"/>
              </w:rPr>
            </w:pPr>
          </w:p>
        </w:tc>
      </w:tr>
      <w:tr>
        <w:trPr>
          <w:trHeight w:val="83"/>
        </w:trPr>
        <w:tc>
          <w:tcPr>
            <w:tcW w:w="3920" w:type="dxa"/>
            <w:vAlign w:val="bottom"/>
            <w:gridSpan w:val="2"/>
          </w:tcPr>
          <w:p>
            <w:pPr>
              <w:ind w:left="40"/>
              <w:spacing w:after="0" w:line="83" w:lineRule="exact"/>
              <w:rPr>
                <w:sz w:val="20"/>
                <w:szCs w:val="20"/>
                <w:color w:val="auto"/>
              </w:rPr>
            </w:pPr>
            <w:r>
              <w:rPr>
                <w:rFonts w:ascii="Arial" w:cs="Arial" w:eastAsia="Arial" w:hAnsi="Arial"/>
                <w:sz w:val="8"/>
                <w:szCs w:val="8"/>
                <w:color w:val="auto"/>
              </w:rPr>
              <w:t>Cinemas 1, 2, 3 Term Loan (US)</w:t>
            </w:r>
          </w:p>
        </w:tc>
        <w:tc>
          <w:tcPr>
            <w:tcW w:w="1560" w:type="dxa"/>
            <w:vAlign w:val="bottom"/>
            <w:gridSpan w:val="2"/>
          </w:tcPr>
          <w:p>
            <w:pPr>
              <w:jc w:val="center"/>
              <w:ind w:right="100"/>
              <w:spacing w:after="0" w:line="83" w:lineRule="exact"/>
              <w:rPr>
                <w:sz w:val="20"/>
                <w:szCs w:val="20"/>
                <w:color w:val="auto"/>
              </w:rPr>
            </w:pPr>
            <w:r>
              <w:rPr>
                <w:rFonts w:ascii="Arial" w:cs="Arial" w:eastAsia="Arial" w:hAnsi="Arial"/>
                <w:sz w:val="8"/>
                <w:szCs w:val="8"/>
                <w:color w:val="auto"/>
              </w:rPr>
              <w:t>October 1, 2024</w:t>
            </w:r>
          </w:p>
        </w:tc>
        <w:tc>
          <w:tcPr>
            <w:tcW w:w="140" w:type="dxa"/>
            <w:vAlign w:val="bottom"/>
          </w:tcPr>
          <w:p>
            <w:pPr>
              <w:spacing w:after="0"/>
              <w:rPr>
                <w:sz w:val="7"/>
                <w:szCs w:val="7"/>
                <w:color w:val="auto"/>
              </w:rPr>
            </w:pP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21,061</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21,061</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jc w:val="right"/>
              <w:spacing w:after="0" w:line="83" w:lineRule="exact"/>
              <w:rPr>
                <w:sz w:val="20"/>
                <w:szCs w:val="20"/>
                <w:color w:val="auto"/>
              </w:rPr>
            </w:pPr>
            <w:r>
              <w:rPr>
                <w:rFonts w:ascii="Arial" w:cs="Arial" w:eastAsia="Arial" w:hAnsi="Arial"/>
                <w:sz w:val="8"/>
                <w:szCs w:val="8"/>
                <w:color w:val="auto"/>
              </w:rPr>
              <w:t>20,805</w:t>
            </w:r>
          </w:p>
        </w:tc>
        <w:tc>
          <w:tcPr>
            <w:tcW w:w="80" w:type="dxa"/>
            <w:vAlign w:val="bottom"/>
          </w:tcPr>
          <w:p>
            <w:pPr>
              <w:spacing w:after="0"/>
              <w:rPr>
                <w:sz w:val="7"/>
                <w:szCs w:val="7"/>
                <w:color w:val="auto"/>
              </w:rPr>
            </w:pPr>
          </w:p>
        </w:tc>
        <w:tc>
          <w:tcPr>
            <w:tcW w:w="1220" w:type="dxa"/>
            <w:vAlign w:val="bottom"/>
            <w:gridSpan w:val="2"/>
          </w:tcPr>
          <w:p>
            <w:pPr>
              <w:jc w:val="center"/>
              <w:spacing w:after="0" w:line="83" w:lineRule="exact"/>
              <w:rPr>
                <w:sz w:val="20"/>
                <w:szCs w:val="20"/>
                <w:color w:val="auto"/>
              </w:rPr>
            </w:pPr>
            <w:r>
              <w:rPr>
                <w:rFonts w:ascii="Arial" w:cs="Arial" w:eastAsia="Arial" w:hAnsi="Arial"/>
                <w:sz w:val="8"/>
                <w:szCs w:val="8"/>
                <w:color w:val="auto"/>
                <w:w w:val="96"/>
              </w:rPr>
              <w:t>8.31%</w:t>
            </w:r>
          </w:p>
        </w:tc>
        <w:tc>
          <w:tcPr>
            <w:tcW w:w="840" w:type="dxa"/>
            <w:vAlign w:val="bottom"/>
            <w:gridSpan w:val="2"/>
          </w:tcPr>
          <w:p>
            <w:pPr>
              <w:jc w:val="center"/>
              <w:ind w:left="59"/>
              <w:spacing w:after="0" w:line="83" w:lineRule="exact"/>
              <w:rPr>
                <w:sz w:val="20"/>
                <w:szCs w:val="20"/>
                <w:color w:val="auto"/>
              </w:rPr>
            </w:pPr>
            <w:r>
              <w:rPr>
                <w:rFonts w:ascii="Arial" w:cs="Arial" w:eastAsia="Arial" w:hAnsi="Arial"/>
                <w:sz w:val="8"/>
                <w:szCs w:val="8"/>
                <w:color w:val="auto"/>
                <w:w w:val="96"/>
              </w:rPr>
              <w:t>8.31%</w:t>
            </w:r>
          </w:p>
        </w:tc>
        <w:tc>
          <w:tcPr>
            <w:tcW w:w="0" w:type="dxa"/>
            <w:vAlign w:val="bottom"/>
          </w:tcPr>
          <w:p>
            <w:pPr>
              <w:spacing w:after="0"/>
              <w:rPr>
                <w:sz w:val="1"/>
                <w:szCs w:val="1"/>
                <w:color w:val="auto"/>
              </w:rPr>
            </w:pPr>
          </w:p>
        </w:tc>
      </w:tr>
      <w:tr>
        <w:trPr>
          <w:trHeight w:val="113"/>
        </w:trPr>
        <w:tc>
          <w:tcPr>
            <w:tcW w:w="3920" w:type="dxa"/>
            <w:vAlign w:val="bottom"/>
            <w:gridSpan w:val="2"/>
            <w:shd w:val="clear" w:color="auto" w:fill="CCEEFF"/>
          </w:tcPr>
          <w:p>
            <w:pPr>
              <w:ind w:left="40"/>
              <w:spacing w:after="0" w:line="113" w:lineRule="exact"/>
              <w:rPr>
                <w:sz w:val="20"/>
                <w:szCs w:val="20"/>
                <w:color w:val="auto"/>
              </w:rPr>
            </w:pPr>
            <w:r>
              <w:rPr>
                <w:rFonts w:ascii="Arial" w:cs="Arial" w:eastAsia="Arial" w:hAnsi="Arial"/>
                <w:sz w:val="8"/>
                <w:szCs w:val="8"/>
                <w:color w:val="auto"/>
              </w:rPr>
              <w:t>Minetta &amp; Orpheum Theatres Loan (US)</w:t>
            </w:r>
            <w:r>
              <w:rPr>
                <w:rFonts w:ascii="Arial" w:cs="Arial" w:eastAsia="Arial" w:hAnsi="Arial"/>
                <w:sz w:val="13"/>
                <w:szCs w:val="13"/>
                <w:color w:val="auto"/>
                <w:vertAlign w:val="superscript"/>
              </w:rPr>
              <w:t>(2)</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8"/>
                <w:szCs w:val="8"/>
                <w:color w:val="auto"/>
              </w:rPr>
              <w:t>November 1, 2023</w:t>
            </w: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8,000</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8,000</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7,998</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8"/>
                <w:szCs w:val="8"/>
                <w:color w:val="auto"/>
                <w:w w:val="96"/>
              </w:rPr>
              <w:t>8.22%</w:t>
            </w:r>
          </w:p>
        </w:tc>
        <w:tc>
          <w:tcPr>
            <w:tcW w:w="840" w:type="dxa"/>
            <w:vAlign w:val="bottom"/>
            <w:gridSpan w:val="2"/>
            <w:shd w:val="clear" w:color="auto" w:fill="CCEEFF"/>
          </w:tcPr>
          <w:p>
            <w:pPr>
              <w:jc w:val="center"/>
              <w:ind w:left="59"/>
              <w:spacing w:after="0"/>
              <w:rPr>
                <w:sz w:val="20"/>
                <w:szCs w:val="20"/>
                <w:color w:val="auto"/>
              </w:rPr>
            </w:pPr>
            <w:r>
              <w:rPr>
                <w:rFonts w:ascii="Arial" w:cs="Arial" w:eastAsia="Arial" w:hAnsi="Arial"/>
                <w:sz w:val="8"/>
                <w:szCs w:val="8"/>
                <w:color w:val="auto"/>
                <w:w w:val="96"/>
              </w:rPr>
              <w:t>6.00%</w:t>
            </w:r>
          </w:p>
        </w:tc>
        <w:tc>
          <w:tcPr>
            <w:tcW w:w="0" w:type="dxa"/>
            <w:vAlign w:val="bottom"/>
          </w:tcPr>
          <w:p>
            <w:pPr>
              <w:spacing w:after="0"/>
              <w:rPr>
                <w:sz w:val="1"/>
                <w:szCs w:val="1"/>
                <w:color w:val="auto"/>
              </w:rPr>
            </w:pPr>
          </w:p>
        </w:tc>
      </w:tr>
      <w:tr>
        <w:trPr>
          <w:trHeight w:val="83"/>
        </w:trPr>
        <w:tc>
          <w:tcPr>
            <w:tcW w:w="3920" w:type="dxa"/>
            <w:vAlign w:val="bottom"/>
            <w:gridSpan w:val="2"/>
          </w:tcPr>
          <w:p>
            <w:pPr>
              <w:ind w:left="40"/>
              <w:spacing w:after="0" w:line="83" w:lineRule="exact"/>
              <w:rPr>
                <w:sz w:val="20"/>
                <w:szCs w:val="20"/>
                <w:color w:val="auto"/>
              </w:rPr>
            </w:pPr>
            <w:r>
              <w:rPr>
                <w:rFonts w:ascii="Arial" w:cs="Arial" w:eastAsia="Arial" w:hAnsi="Arial"/>
                <w:sz w:val="8"/>
                <w:szCs w:val="8"/>
                <w:color w:val="auto"/>
              </w:rPr>
              <w:t>U.S. Corporate Office Term Loan (US)</w:t>
            </w:r>
          </w:p>
        </w:tc>
        <w:tc>
          <w:tcPr>
            <w:tcW w:w="1560" w:type="dxa"/>
            <w:vAlign w:val="bottom"/>
            <w:gridSpan w:val="2"/>
          </w:tcPr>
          <w:p>
            <w:pPr>
              <w:jc w:val="center"/>
              <w:ind w:right="100"/>
              <w:spacing w:after="0" w:line="83" w:lineRule="exact"/>
              <w:rPr>
                <w:sz w:val="20"/>
                <w:szCs w:val="20"/>
                <w:color w:val="auto"/>
              </w:rPr>
            </w:pPr>
            <w:r>
              <w:rPr>
                <w:rFonts w:ascii="Arial" w:cs="Arial" w:eastAsia="Arial" w:hAnsi="Arial"/>
                <w:sz w:val="8"/>
                <w:szCs w:val="8"/>
                <w:color w:val="auto"/>
              </w:rPr>
              <w:t>January 1, 2027</w:t>
            </w:r>
          </w:p>
        </w:tc>
        <w:tc>
          <w:tcPr>
            <w:tcW w:w="140" w:type="dxa"/>
            <w:vAlign w:val="bottom"/>
          </w:tcPr>
          <w:p>
            <w:pPr>
              <w:spacing w:after="0"/>
              <w:rPr>
                <w:sz w:val="7"/>
                <w:szCs w:val="7"/>
                <w:color w:val="auto"/>
              </w:rPr>
            </w:pPr>
          </w:p>
        </w:tc>
        <w:tc>
          <w:tcPr>
            <w:tcW w:w="88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8,471</w:t>
            </w:r>
          </w:p>
        </w:tc>
        <w:tc>
          <w:tcPr>
            <w:tcW w:w="160" w:type="dxa"/>
            <w:vAlign w:val="bottom"/>
          </w:tcPr>
          <w:p>
            <w:pPr>
              <w:spacing w:after="0"/>
              <w:rPr>
                <w:sz w:val="7"/>
                <w:szCs w:val="7"/>
                <w:color w:val="auto"/>
              </w:rPr>
            </w:pPr>
          </w:p>
        </w:tc>
        <w:tc>
          <w:tcPr>
            <w:tcW w:w="88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8,471</w:t>
            </w:r>
          </w:p>
        </w:tc>
        <w:tc>
          <w:tcPr>
            <w:tcW w:w="260" w:type="dxa"/>
            <w:vAlign w:val="bottom"/>
          </w:tcPr>
          <w:p>
            <w:pPr>
              <w:spacing w:after="0"/>
              <w:rPr>
                <w:sz w:val="7"/>
                <w:szCs w:val="7"/>
                <w:color w:val="auto"/>
              </w:rPr>
            </w:pPr>
          </w:p>
        </w:tc>
        <w:tc>
          <w:tcPr>
            <w:tcW w:w="76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8,422</w:t>
            </w:r>
          </w:p>
        </w:tc>
        <w:tc>
          <w:tcPr>
            <w:tcW w:w="1220" w:type="dxa"/>
            <w:vAlign w:val="bottom"/>
            <w:gridSpan w:val="2"/>
          </w:tcPr>
          <w:p>
            <w:pPr>
              <w:jc w:val="center"/>
              <w:spacing w:after="0" w:line="83" w:lineRule="exact"/>
              <w:rPr>
                <w:sz w:val="20"/>
                <w:szCs w:val="20"/>
                <w:color w:val="auto"/>
              </w:rPr>
            </w:pPr>
            <w:r>
              <w:rPr>
                <w:rFonts w:ascii="Arial" w:cs="Arial" w:eastAsia="Arial" w:hAnsi="Arial"/>
                <w:sz w:val="8"/>
                <w:szCs w:val="8"/>
                <w:color w:val="auto"/>
              </w:rPr>
              <w:t>4.64% / 4.44%</w:t>
            </w:r>
          </w:p>
        </w:tc>
        <w:tc>
          <w:tcPr>
            <w:tcW w:w="840" w:type="dxa"/>
            <w:vAlign w:val="bottom"/>
            <w:gridSpan w:val="2"/>
          </w:tcPr>
          <w:p>
            <w:pPr>
              <w:jc w:val="center"/>
              <w:ind w:left="59"/>
              <w:spacing w:after="0" w:line="83" w:lineRule="exact"/>
              <w:rPr>
                <w:sz w:val="20"/>
                <w:szCs w:val="20"/>
                <w:color w:val="auto"/>
              </w:rPr>
            </w:pPr>
            <w:r>
              <w:rPr>
                <w:rFonts w:ascii="Arial" w:cs="Arial" w:eastAsia="Arial" w:hAnsi="Arial"/>
                <w:sz w:val="8"/>
                <w:szCs w:val="8"/>
                <w:color w:val="auto"/>
                <w:w w:val="96"/>
              </w:rPr>
              <w:t>4.61%</w:t>
            </w:r>
          </w:p>
        </w:tc>
        <w:tc>
          <w:tcPr>
            <w:tcW w:w="0" w:type="dxa"/>
            <w:vAlign w:val="bottom"/>
          </w:tcPr>
          <w:p>
            <w:pPr>
              <w:spacing w:after="0"/>
              <w:rPr>
                <w:sz w:val="1"/>
                <w:szCs w:val="1"/>
                <w:color w:val="auto"/>
              </w:rPr>
            </w:pPr>
          </w:p>
        </w:tc>
      </w:tr>
      <w:tr>
        <w:trPr>
          <w:trHeight w:val="83"/>
        </w:trPr>
        <w:tc>
          <w:tcPr>
            <w:tcW w:w="3920" w:type="dxa"/>
            <w:vAlign w:val="bottom"/>
            <w:gridSpan w:val="2"/>
            <w:shd w:val="clear" w:color="auto" w:fill="CCEEFF"/>
          </w:tcPr>
          <w:p>
            <w:pPr>
              <w:ind w:left="40"/>
              <w:spacing w:after="0" w:line="83" w:lineRule="exact"/>
              <w:rPr>
                <w:sz w:val="20"/>
                <w:szCs w:val="20"/>
                <w:color w:val="auto"/>
              </w:rPr>
            </w:pPr>
            <w:r>
              <w:rPr>
                <w:rFonts w:ascii="Arial" w:cs="Arial" w:eastAsia="Arial" w:hAnsi="Arial"/>
                <w:sz w:val="8"/>
                <w:szCs w:val="8"/>
                <w:color w:val="auto"/>
              </w:rPr>
              <w:t>Union Square Financing (US)</w:t>
            </w:r>
          </w:p>
        </w:tc>
        <w:tc>
          <w:tcPr>
            <w:tcW w:w="1560" w:type="dxa"/>
            <w:vAlign w:val="bottom"/>
            <w:gridSpan w:val="2"/>
            <w:shd w:val="clear" w:color="auto" w:fill="CCEEFF"/>
          </w:tcPr>
          <w:p>
            <w:pPr>
              <w:jc w:val="center"/>
              <w:ind w:right="80"/>
              <w:spacing w:after="0" w:line="83" w:lineRule="exact"/>
              <w:rPr>
                <w:sz w:val="20"/>
                <w:szCs w:val="20"/>
                <w:color w:val="auto"/>
              </w:rPr>
            </w:pPr>
            <w:r>
              <w:rPr>
                <w:rFonts w:ascii="Arial" w:cs="Arial" w:eastAsia="Arial" w:hAnsi="Arial"/>
                <w:sz w:val="8"/>
                <w:szCs w:val="8"/>
                <w:color w:val="auto"/>
                <w:w w:val="99"/>
              </w:rPr>
              <w:t>May 6, 2024</w:t>
            </w: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55,000</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46,840</w:t>
            </w: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46,447</w:t>
            </w:r>
          </w:p>
        </w:tc>
        <w:tc>
          <w:tcPr>
            <w:tcW w:w="80" w:type="dxa"/>
            <w:vAlign w:val="bottom"/>
            <w:shd w:val="clear" w:color="auto" w:fill="CCEEFF"/>
          </w:tcPr>
          <w:p>
            <w:pPr>
              <w:spacing w:after="0"/>
              <w:rPr>
                <w:sz w:val="7"/>
                <w:szCs w:val="7"/>
                <w:color w:val="auto"/>
              </w:rPr>
            </w:pPr>
          </w:p>
        </w:tc>
        <w:tc>
          <w:tcPr>
            <w:tcW w:w="1220" w:type="dxa"/>
            <w:vAlign w:val="bottom"/>
            <w:gridSpan w:val="2"/>
            <w:shd w:val="clear" w:color="auto" w:fill="CCEEFF"/>
          </w:tcPr>
          <w:p>
            <w:pPr>
              <w:jc w:val="center"/>
              <w:spacing w:after="0" w:line="83" w:lineRule="exact"/>
              <w:rPr>
                <w:sz w:val="20"/>
                <w:szCs w:val="20"/>
                <w:color w:val="auto"/>
              </w:rPr>
            </w:pPr>
            <w:r>
              <w:rPr>
                <w:rFonts w:ascii="Arial" w:cs="Arial" w:eastAsia="Arial" w:hAnsi="Arial"/>
                <w:sz w:val="8"/>
                <w:szCs w:val="8"/>
                <w:color w:val="auto"/>
              </w:rPr>
              <w:t>12.52%</w:t>
            </w:r>
          </w:p>
        </w:tc>
        <w:tc>
          <w:tcPr>
            <w:tcW w:w="840" w:type="dxa"/>
            <w:vAlign w:val="bottom"/>
            <w:gridSpan w:val="2"/>
            <w:shd w:val="clear" w:color="auto" w:fill="CCEEFF"/>
          </w:tcPr>
          <w:p>
            <w:pPr>
              <w:jc w:val="center"/>
              <w:ind w:left="39"/>
              <w:spacing w:after="0" w:line="83" w:lineRule="exact"/>
              <w:rPr>
                <w:sz w:val="20"/>
                <w:szCs w:val="20"/>
                <w:color w:val="auto"/>
              </w:rPr>
            </w:pPr>
            <w:r>
              <w:rPr>
                <w:rFonts w:ascii="Arial" w:cs="Arial" w:eastAsia="Arial" w:hAnsi="Arial"/>
                <w:sz w:val="8"/>
                <w:szCs w:val="8"/>
                <w:color w:val="auto"/>
              </w:rPr>
              <w:t>12.52%</w:t>
            </w:r>
          </w:p>
        </w:tc>
        <w:tc>
          <w:tcPr>
            <w:tcW w:w="0" w:type="dxa"/>
            <w:vAlign w:val="bottom"/>
          </w:tcPr>
          <w:p>
            <w:pPr>
              <w:spacing w:after="0"/>
              <w:rPr>
                <w:sz w:val="1"/>
                <w:szCs w:val="1"/>
                <w:color w:val="auto"/>
              </w:rPr>
            </w:pPr>
          </w:p>
        </w:tc>
      </w:tr>
      <w:tr>
        <w:trPr>
          <w:trHeight w:val="83"/>
        </w:trPr>
        <w:tc>
          <w:tcPr>
            <w:tcW w:w="3920" w:type="dxa"/>
            <w:vAlign w:val="bottom"/>
            <w:gridSpan w:val="2"/>
          </w:tcPr>
          <w:p>
            <w:pPr>
              <w:ind w:left="40"/>
              <w:spacing w:after="0" w:line="83" w:lineRule="exact"/>
              <w:rPr>
                <w:sz w:val="20"/>
                <w:szCs w:val="20"/>
                <w:color w:val="auto"/>
              </w:rPr>
            </w:pPr>
            <w:r>
              <w:rPr>
                <w:rFonts w:ascii="Arial" w:cs="Arial" w:eastAsia="Arial" w:hAnsi="Arial"/>
                <w:sz w:val="8"/>
                <w:szCs w:val="8"/>
                <w:color w:val="auto"/>
              </w:rPr>
              <w:t>Purchase Money Promissory Note (US)</w:t>
            </w:r>
          </w:p>
        </w:tc>
        <w:tc>
          <w:tcPr>
            <w:tcW w:w="1560" w:type="dxa"/>
            <w:vAlign w:val="bottom"/>
            <w:gridSpan w:val="2"/>
          </w:tcPr>
          <w:p>
            <w:pPr>
              <w:jc w:val="center"/>
              <w:ind w:right="100"/>
              <w:spacing w:after="0" w:line="83" w:lineRule="exact"/>
              <w:rPr>
                <w:sz w:val="20"/>
                <w:szCs w:val="20"/>
                <w:color w:val="auto"/>
              </w:rPr>
            </w:pPr>
            <w:r>
              <w:rPr>
                <w:rFonts w:ascii="Arial" w:cs="Arial" w:eastAsia="Arial" w:hAnsi="Arial"/>
                <w:sz w:val="8"/>
                <w:szCs w:val="8"/>
                <w:color w:val="auto"/>
              </w:rPr>
              <w:t>September 18, 2024</w:t>
            </w:r>
          </w:p>
        </w:tc>
        <w:tc>
          <w:tcPr>
            <w:tcW w:w="140" w:type="dxa"/>
            <w:vAlign w:val="bottom"/>
          </w:tcPr>
          <w:p>
            <w:pPr>
              <w:spacing w:after="0"/>
              <w:rPr>
                <w:sz w:val="7"/>
                <w:szCs w:val="7"/>
                <w:color w:val="auto"/>
              </w:rPr>
            </w:pPr>
          </w:p>
        </w:tc>
        <w:tc>
          <w:tcPr>
            <w:tcW w:w="88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776</w:t>
            </w:r>
          </w:p>
        </w:tc>
        <w:tc>
          <w:tcPr>
            <w:tcW w:w="160" w:type="dxa"/>
            <w:vAlign w:val="bottom"/>
          </w:tcPr>
          <w:p>
            <w:pPr>
              <w:spacing w:after="0"/>
              <w:rPr>
                <w:sz w:val="7"/>
                <w:szCs w:val="7"/>
                <w:color w:val="auto"/>
              </w:rPr>
            </w:pPr>
          </w:p>
        </w:tc>
        <w:tc>
          <w:tcPr>
            <w:tcW w:w="88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776</w:t>
            </w:r>
          </w:p>
        </w:tc>
        <w:tc>
          <w:tcPr>
            <w:tcW w:w="260" w:type="dxa"/>
            <w:vAlign w:val="bottom"/>
          </w:tcPr>
          <w:p>
            <w:pPr>
              <w:spacing w:after="0"/>
              <w:rPr>
                <w:sz w:val="7"/>
                <w:szCs w:val="7"/>
                <w:color w:val="auto"/>
              </w:rPr>
            </w:pPr>
          </w:p>
        </w:tc>
        <w:tc>
          <w:tcPr>
            <w:tcW w:w="76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776</w:t>
            </w:r>
          </w:p>
        </w:tc>
        <w:tc>
          <w:tcPr>
            <w:tcW w:w="1220" w:type="dxa"/>
            <w:vAlign w:val="bottom"/>
            <w:gridSpan w:val="2"/>
          </w:tcPr>
          <w:p>
            <w:pPr>
              <w:jc w:val="center"/>
              <w:spacing w:after="0" w:line="83" w:lineRule="exact"/>
              <w:rPr>
                <w:sz w:val="20"/>
                <w:szCs w:val="20"/>
                <w:color w:val="auto"/>
              </w:rPr>
            </w:pPr>
            <w:r>
              <w:rPr>
                <w:rFonts w:ascii="Arial" w:cs="Arial" w:eastAsia="Arial" w:hAnsi="Arial"/>
                <w:sz w:val="8"/>
                <w:szCs w:val="8"/>
                <w:color w:val="auto"/>
                <w:w w:val="96"/>
              </w:rPr>
              <w:t>5.00%</w:t>
            </w:r>
          </w:p>
        </w:tc>
        <w:tc>
          <w:tcPr>
            <w:tcW w:w="840" w:type="dxa"/>
            <w:vAlign w:val="bottom"/>
            <w:gridSpan w:val="2"/>
          </w:tcPr>
          <w:p>
            <w:pPr>
              <w:jc w:val="center"/>
              <w:ind w:left="59"/>
              <w:spacing w:after="0" w:line="83" w:lineRule="exact"/>
              <w:rPr>
                <w:sz w:val="20"/>
                <w:szCs w:val="20"/>
                <w:color w:val="auto"/>
              </w:rPr>
            </w:pPr>
            <w:r>
              <w:rPr>
                <w:rFonts w:ascii="Arial" w:cs="Arial" w:eastAsia="Arial" w:hAnsi="Arial"/>
                <w:sz w:val="8"/>
                <w:szCs w:val="8"/>
                <w:color w:val="auto"/>
                <w:w w:val="96"/>
              </w:rPr>
              <w:t>5.00%</w:t>
            </w:r>
          </w:p>
        </w:tc>
        <w:tc>
          <w:tcPr>
            <w:tcW w:w="0" w:type="dxa"/>
            <w:vAlign w:val="bottom"/>
          </w:tcPr>
          <w:p>
            <w:pPr>
              <w:spacing w:after="0"/>
              <w:rPr>
                <w:sz w:val="1"/>
                <w:szCs w:val="1"/>
                <w:color w:val="auto"/>
              </w:rPr>
            </w:pPr>
          </w:p>
        </w:tc>
      </w:tr>
      <w:tr>
        <w:trPr>
          <w:trHeight w:val="113"/>
        </w:trPr>
        <w:tc>
          <w:tcPr>
            <w:tcW w:w="3920" w:type="dxa"/>
            <w:vAlign w:val="bottom"/>
            <w:gridSpan w:val="2"/>
            <w:shd w:val="clear" w:color="auto" w:fill="CCEEFF"/>
          </w:tcPr>
          <w:p>
            <w:pPr>
              <w:spacing w:after="0" w:line="113" w:lineRule="exact"/>
              <w:rPr>
                <w:sz w:val="20"/>
                <w:szCs w:val="20"/>
                <w:color w:val="auto"/>
              </w:rPr>
            </w:pPr>
            <w:r>
              <w:rPr>
                <w:rFonts w:ascii="Arial" w:cs="Arial" w:eastAsia="Arial" w:hAnsi="Arial"/>
                <w:sz w:val="8"/>
                <w:szCs w:val="8"/>
                <w:color w:val="auto"/>
              </w:rPr>
              <w:t xml:space="preserve">Denominated in foreign currency ("FC") </w:t>
            </w:r>
            <w:r>
              <w:rPr>
                <w:rFonts w:ascii="Arial" w:cs="Arial" w:eastAsia="Arial" w:hAnsi="Arial"/>
                <w:sz w:val="13"/>
                <w:szCs w:val="13"/>
                <w:color w:val="auto"/>
                <w:vertAlign w:val="superscript"/>
              </w:rPr>
              <w:t>(3)</w:t>
            </w:r>
          </w:p>
        </w:tc>
        <w:tc>
          <w:tcPr>
            <w:tcW w:w="1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3920" w:type="dxa"/>
            <w:vAlign w:val="bottom"/>
            <w:gridSpan w:val="2"/>
          </w:tcPr>
          <w:p>
            <w:pPr>
              <w:ind w:left="40"/>
              <w:spacing w:after="0" w:line="83" w:lineRule="exact"/>
              <w:rPr>
                <w:sz w:val="20"/>
                <w:szCs w:val="20"/>
                <w:color w:val="auto"/>
              </w:rPr>
            </w:pPr>
            <w:r>
              <w:rPr>
                <w:rFonts w:ascii="Arial" w:cs="Arial" w:eastAsia="Arial" w:hAnsi="Arial"/>
                <w:sz w:val="8"/>
                <w:szCs w:val="8"/>
                <w:color w:val="auto"/>
              </w:rPr>
              <w:t>NAB Corporate Term Loan (AU)</w:t>
            </w:r>
          </w:p>
        </w:tc>
        <w:tc>
          <w:tcPr>
            <w:tcW w:w="1560" w:type="dxa"/>
            <w:vAlign w:val="bottom"/>
            <w:gridSpan w:val="2"/>
          </w:tcPr>
          <w:p>
            <w:pPr>
              <w:jc w:val="center"/>
              <w:ind w:right="80"/>
              <w:spacing w:after="0" w:line="83" w:lineRule="exact"/>
              <w:rPr>
                <w:sz w:val="20"/>
                <w:szCs w:val="20"/>
                <w:color w:val="auto"/>
              </w:rPr>
            </w:pPr>
            <w:r>
              <w:rPr>
                <w:rFonts w:ascii="Arial" w:cs="Arial" w:eastAsia="Arial" w:hAnsi="Arial"/>
                <w:sz w:val="8"/>
                <w:szCs w:val="8"/>
                <w:color w:val="auto"/>
              </w:rPr>
              <w:t>July 31, 2025</w:t>
            </w:r>
          </w:p>
        </w:tc>
        <w:tc>
          <w:tcPr>
            <w:tcW w:w="140" w:type="dxa"/>
            <w:vAlign w:val="bottom"/>
          </w:tcPr>
          <w:p>
            <w:pPr>
              <w:spacing w:after="0"/>
              <w:rPr>
                <w:sz w:val="7"/>
                <w:szCs w:val="7"/>
                <w:color w:val="auto"/>
              </w:rPr>
            </w:pP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64,831</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64,831</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jc w:val="right"/>
              <w:spacing w:after="0" w:line="83" w:lineRule="exact"/>
              <w:rPr>
                <w:sz w:val="20"/>
                <w:szCs w:val="20"/>
                <w:color w:val="auto"/>
              </w:rPr>
            </w:pPr>
            <w:r>
              <w:rPr>
                <w:rFonts w:ascii="Arial" w:cs="Arial" w:eastAsia="Arial" w:hAnsi="Arial"/>
                <w:sz w:val="8"/>
                <w:szCs w:val="8"/>
                <w:color w:val="auto"/>
              </w:rPr>
              <w:t>64,708</w:t>
            </w:r>
          </w:p>
        </w:tc>
        <w:tc>
          <w:tcPr>
            <w:tcW w:w="80" w:type="dxa"/>
            <w:vAlign w:val="bottom"/>
          </w:tcPr>
          <w:p>
            <w:pPr>
              <w:spacing w:after="0"/>
              <w:rPr>
                <w:sz w:val="7"/>
                <w:szCs w:val="7"/>
                <w:color w:val="auto"/>
              </w:rPr>
            </w:pPr>
          </w:p>
        </w:tc>
        <w:tc>
          <w:tcPr>
            <w:tcW w:w="1220" w:type="dxa"/>
            <w:vAlign w:val="bottom"/>
            <w:gridSpan w:val="2"/>
          </w:tcPr>
          <w:p>
            <w:pPr>
              <w:jc w:val="center"/>
              <w:spacing w:after="0" w:line="83" w:lineRule="exact"/>
              <w:rPr>
                <w:sz w:val="20"/>
                <w:szCs w:val="20"/>
                <w:color w:val="auto"/>
              </w:rPr>
            </w:pPr>
            <w:r>
              <w:rPr>
                <w:rFonts w:ascii="Arial" w:cs="Arial" w:eastAsia="Arial" w:hAnsi="Arial"/>
                <w:sz w:val="8"/>
                <w:szCs w:val="8"/>
                <w:color w:val="auto"/>
                <w:w w:val="96"/>
              </w:rPr>
              <w:t>5.85%</w:t>
            </w:r>
          </w:p>
        </w:tc>
        <w:tc>
          <w:tcPr>
            <w:tcW w:w="840" w:type="dxa"/>
            <w:vAlign w:val="bottom"/>
            <w:gridSpan w:val="2"/>
          </w:tcPr>
          <w:p>
            <w:pPr>
              <w:jc w:val="center"/>
              <w:ind w:left="59"/>
              <w:spacing w:after="0" w:line="83" w:lineRule="exact"/>
              <w:rPr>
                <w:sz w:val="20"/>
                <w:szCs w:val="20"/>
                <w:color w:val="auto"/>
              </w:rPr>
            </w:pPr>
            <w:r>
              <w:rPr>
                <w:rFonts w:ascii="Arial" w:cs="Arial" w:eastAsia="Arial" w:hAnsi="Arial"/>
                <w:sz w:val="8"/>
                <w:szCs w:val="8"/>
                <w:color w:val="auto"/>
                <w:w w:val="96"/>
              </w:rPr>
              <w:t>5.85%</w:t>
            </w:r>
          </w:p>
        </w:tc>
        <w:tc>
          <w:tcPr>
            <w:tcW w:w="0" w:type="dxa"/>
            <w:vAlign w:val="bottom"/>
          </w:tcPr>
          <w:p>
            <w:pPr>
              <w:spacing w:after="0"/>
              <w:rPr>
                <w:sz w:val="1"/>
                <w:szCs w:val="1"/>
                <w:color w:val="auto"/>
              </w:rPr>
            </w:pPr>
          </w:p>
        </w:tc>
      </w:tr>
      <w:tr>
        <w:trPr>
          <w:trHeight w:val="83"/>
        </w:trPr>
        <w:tc>
          <w:tcPr>
            <w:tcW w:w="3920" w:type="dxa"/>
            <w:vAlign w:val="bottom"/>
            <w:gridSpan w:val="2"/>
            <w:shd w:val="clear" w:color="auto" w:fill="CCEEFF"/>
          </w:tcPr>
          <w:p>
            <w:pPr>
              <w:ind w:left="40"/>
              <w:spacing w:after="0" w:line="83" w:lineRule="exact"/>
              <w:rPr>
                <w:sz w:val="20"/>
                <w:szCs w:val="20"/>
                <w:color w:val="auto"/>
              </w:rPr>
            </w:pPr>
            <w:r>
              <w:rPr>
                <w:rFonts w:ascii="Arial" w:cs="Arial" w:eastAsia="Arial" w:hAnsi="Arial"/>
                <w:sz w:val="8"/>
                <w:szCs w:val="8"/>
                <w:color w:val="auto"/>
              </w:rPr>
              <w:t>Westpac Bank Corporate (NZ)</w:t>
            </w:r>
          </w:p>
        </w:tc>
        <w:tc>
          <w:tcPr>
            <w:tcW w:w="1560" w:type="dxa"/>
            <w:vAlign w:val="bottom"/>
            <w:gridSpan w:val="2"/>
            <w:shd w:val="clear" w:color="auto" w:fill="CCEEFF"/>
          </w:tcPr>
          <w:p>
            <w:pPr>
              <w:jc w:val="center"/>
              <w:ind w:right="100"/>
              <w:spacing w:after="0" w:line="83" w:lineRule="exact"/>
              <w:rPr>
                <w:sz w:val="20"/>
                <w:szCs w:val="20"/>
                <w:color w:val="auto"/>
              </w:rPr>
            </w:pPr>
            <w:r>
              <w:rPr>
                <w:rFonts w:ascii="Arial" w:cs="Arial" w:eastAsia="Arial" w:hAnsi="Arial"/>
                <w:sz w:val="8"/>
                <w:szCs w:val="8"/>
                <w:color w:val="auto"/>
              </w:rPr>
              <w:t>January 1, 2024</w:t>
            </w:r>
          </w:p>
        </w:tc>
        <w:tc>
          <w:tcPr>
            <w:tcW w:w="14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8,322</w:t>
            </w:r>
          </w:p>
        </w:tc>
        <w:tc>
          <w:tcPr>
            <w:tcW w:w="16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8,322</w:t>
            </w:r>
          </w:p>
        </w:tc>
        <w:tc>
          <w:tcPr>
            <w:tcW w:w="26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8,322</w:t>
            </w:r>
          </w:p>
        </w:tc>
        <w:tc>
          <w:tcPr>
            <w:tcW w:w="1220" w:type="dxa"/>
            <w:vAlign w:val="bottom"/>
            <w:gridSpan w:val="2"/>
            <w:shd w:val="clear" w:color="auto" w:fill="CCEEFF"/>
          </w:tcPr>
          <w:p>
            <w:pPr>
              <w:jc w:val="center"/>
              <w:spacing w:after="0" w:line="83" w:lineRule="exact"/>
              <w:rPr>
                <w:sz w:val="20"/>
                <w:szCs w:val="20"/>
                <w:color w:val="auto"/>
              </w:rPr>
            </w:pPr>
            <w:r>
              <w:rPr>
                <w:rFonts w:ascii="Arial" w:cs="Arial" w:eastAsia="Arial" w:hAnsi="Arial"/>
                <w:sz w:val="8"/>
                <w:szCs w:val="8"/>
                <w:color w:val="auto"/>
                <w:w w:val="96"/>
              </w:rPr>
              <w:t>8.20%</w:t>
            </w:r>
          </w:p>
        </w:tc>
        <w:tc>
          <w:tcPr>
            <w:tcW w:w="840" w:type="dxa"/>
            <w:vAlign w:val="bottom"/>
            <w:gridSpan w:val="2"/>
            <w:shd w:val="clear" w:color="auto" w:fill="CCEEFF"/>
          </w:tcPr>
          <w:p>
            <w:pPr>
              <w:jc w:val="center"/>
              <w:ind w:left="59"/>
              <w:spacing w:after="0" w:line="83" w:lineRule="exact"/>
              <w:rPr>
                <w:sz w:val="20"/>
                <w:szCs w:val="20"/>
                <w:color w:val="auto"/>
              </w:rPr>
            </w:pPr>
            <w:r>
              <w:rPr>
                <w:rFonts w:ascii="Arial" w:cs="Arial" w:eastAsia="Arial" w:hAnsi="Arial"/>
                <w:sz w:val="8"/>
                <w:szCs w:val="8"/>
                <w:color w:val="auto"/>
                <w:w w:val="96"/>
              </w:rPr>
              <w:t>8.20%</w:t>
            </w:r>
          </w:p>
        </w:tc>
        <w:tc>
          <w:tcPr>
            <w:tcW w:w="0" w:type="dxa"/>
            <w:vAlign w:val="bottom"/>
          </w:tcPr>
          <w:p>
            <w:pPr>
              <w:spacing w:after="0"/>
              <w:rPr>
                <w:sz w:val="1"/>
                <w:szCs w:val="1"/>
                <w:color w:val="auto"/>
              </w:rPr>
            </w:pPr>
          </w:p>
        </w:tc>
      </w:tr>
      <w:tr>
        <w:trPr>
          <w:trHeight w:val="70"/>
        </w:trPr>
        <w:tc>
          <w:tcPr>
            <w:tcW w:w="3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216,749</w:t>
            </w:r>
          </w:p>
        </w:tc>
        <w:tc>
          <w:tcPr>
            <w:tcW w:w="80" w:type="dxa"/>
            <w:vAlign w:val="bottom"/>
          </w:tcPr>
          <w:p>
            <w:pPr>
              <w:spacing w:after="0"/>
              <w:rPr>
                <w:sz w:val="6"/>
                <w:szCs w:val="6"/>
                <w:color w:val="auto"/>
              </w:rPr>
            </w:pPr>
          </w:p>
        </w:tc>
        <w:tc>
          <w:tcPr>
            <w:tcW w:w="160" w:type="dxa"/>
            <w:vAlign w:val="bottom"/>
            <w:tcBorders>
              <w:top w:val="single" w:sz="8" w:color="auto"/>
              <w:bottom w:val="single" w:sz="8" w:color="auto"/>
            </w:tcBorders>
          </w:tcPr>
          <w:p>
            <w:pPr>
              <w:jc w:val="right"/>
              <w:ind w:right="59"/>
              <w:spacing w:after="0" w:line="70" w:lineRule="exact"/>
              <w:rPr>
                <w:sz w:val="20"/>
                <w:szCs w:val="20"/>
                <w:color w:val="auto"/>
              </w:rPr>
            </w:pPr>
            <w:r>
              <w:rPr>
                <w:rFonts w:ascii="Arial" w:cs="Arial" w:eastAsia="Arial" w:hAnsi="Arial"/>
                <w:sz w:val="8"/>
                <w:szCs w:val="8"/>
                <w:b w:val="1"/>
                <w:bCs w:val="1"/>
                <w:color w:val="auto"/>
                <w:w w:val="88"/>
              </w:rPr>
              <w:t>$</w:t>
            </w:r>
          </w:p>
        </w:tc>
        <w:tc>
          <w:tcPr>
            <w:tcW w:w="80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208,589</w:t>
            </w:r>
          </w:p>
        </w:tc>
        <w:tc>
          <w:tcPr>
            <w:tcW w:w="80" w:type="dxa"/>
            <w:vAlign w:val="bottom"/>
          </w:tcPr>
          <w:p>
            <w:pPr>
              <w:spacing w:after="0"/>
              <w:rPr>
                <w:sz w:val="6"/>
                <w:szCs w:val="6"/>
                <w:color w:val="auto"/>
              </w:rPr>
            </w:pPr>
          </w:p>
        </w:tc>
        <w:tc>
          <w:tcPr>
            <w:tcW w:w="2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206,855</w:t>
            </w: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60" w:hanging="190"/>
        <w:spacing w:after="0"/>
        <w:tabs>
          <w:tab w:leader="none" w:pos="360" w:val="left"/>
        </w:tabs>
        <w:numPr>
          <w:ilvl w:val="0"/>
          <w:numId w:val="4"/>
        </w:numPr>
        <w:rPr>
          <w:rFonts w:ascii="Arial" w:cs="Arial" w:eastAsia="Arial" w:hAnsi="Arial"/>
          <w:sz w:val="8"/>
          <w:szCs w:val="8"/>
          <w:color w:val="auto"/>
        </w:rPr>
      </w:pPr>
      <w:r>
        <w:rPr>
          <w:rFonts w:ascii="Arial" w:cs="Arial" w:eastAsia="Arial" w:hAnsi="Arial"/>
          <w:sz w:val="8"/>
          <w:szCs w:val="8"/>
          <w:color w:val="auto"/>
        </w:rPr>
        <w:t>Net of deferred financing costs amounting to $1.7 million.</w:t>
      </w:r>
    </w:p>
    <w:p>
      <w:pPr>
        <w:ind w:left="360" w:hanging="190"/>
        <w:spacing w:after="0" w:line="215" w:lineRule="auto"/>
        <w:tabs>
          <w:tab w:leader="none" w:pos="360" w:val="left"/>
        </w:tabs>
        <w:numPr>
          <w:ilvl w:val="0"/>
          <w:numId w:val="4"/>
        </w:numPr>
        <w:rPr>
          <w:rFonts w:ascii="Arial" w:cs="Arial" w:eastAsia="Arial" w:hAnsi="Arial"/>
          <w:sz w:val="8"/>
          <w:szCs w:val="8"/>
          <w:color w:val="auto"/>
        </w:rPr>
      </w:pPr>
      <w:r>
        <w:rPr>
          <w:rFonts w:ascii="Arial" w:cs="Arial" w:eastAsia="Arial" w:hAnsi="Arial"/>
          <w:sz w:val="8"/>
          <w:szCs w:val="8"/>
          <w:color w:val="auto"/>
        </w:rPr>
        <w:t>The interest rate derivative associated with the Minetta &amp; Orpheum loan provides for an effective fixed rate of 6.00%.</w:t>
      </w:r>
    </w:p>
    <w:p>
      <w:pPr>
        <w:ind w:left="360" w:hanging="190"/>
        <w:spacing w:after="0"/>
        <w:tabs>
          <w:tab w:leader="none" w:pos="360" w:val="left"/>
        </w:tabs>
        <w:numPr>
          <w:ilvl w:val="0"/>
          <w:numId w:val="4"/>
        </w:numPr>
        <w:rPr>
          <w:rFonts w:ascii="Arial" w:cs="Arial" w:eastAsia="Arial" w:hAnsi="Arial"/>
          <w:sz w:val="8"/>
          <w:szCs w:val="8"/>
          <w:color w:val="auto"/>
        </w:rPr>
      </w:pPr>
      <w:r>
        <w:rPr>
          <w:rFonts w:ascii="Arial" w:cs="Arial" w:eastAsia="Arial" w:hAnsi="Arial"/>
          <w:sz w:val="8"/>
          <w:szCs w:val="8"/>
          <w:color w:val="auto"/>
        </w:rPr>
        <w:t>The contractual facilities and outstanding balances of the foreign currency denominated borrowings were translated into U.S. dollars based on the applicable exchange rates as of September 30, 2023.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559" w:right="6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00"/>
        </w:trPr>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8"/>
                <w:szCs w:val="8"/>
                <w:b w:val="1"/>
                <w:bCs w:val="1"/>
                <w:color w:val="auto"/>
              </w:rPr>
              <w:t>As of December 31, 2022</w:t>
            </w: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8"/>
                <w:szCs w:val="8"/>
                <w:b w:val="1"/>
                <w:bCs w:val="1"/>
                <w:color w:val="auto"/>
              </w:rPr>
              <w:t>Balance,</w:t>
            </w:r>
          </w:p>
        </w:tc>
        <w:tc>
          <w:tcPr>
            <w:tcW w:w="1220" w:type="dxa"/>
            <w:vAlign w:val="bottom"/>
          </w:tcPr>
          <w:p>
            <w:pPr>
              <w:jc w:val="center"/>
              <w:spacing w:after="0" w:line="63" w:lineRule="exact"/>
              <w:rPr>
                <w:sz w:val="20"/>
                <w:szCs w:val="20"/>
                <w:color w:val="auto"/>
              </w:rPr>
            </w:pPr>
            <w:r>
              <w:rPr>
                <w:rFonts w:ascii="Arial" w:cs="Arial" w:eastAsia="Arial" w:hAnsi="Arial"/>
                <w:sz w:val="7"/>
                <w:szCs w:val="7"/>
                <w:b w:val="1"/>
                <w:bCs w:val="1"/>
                <w:color w:val="auto"/>
              </w:rPr>
              <w:t>Stated</w:t>
            </w:r>
          </w:p>
        </w:tc>
        <w:tc>
          <w:tcPr>
            <w:tcW w:w="80" w:type="dxa"/>
            <w:vAlign w:val="bottom"/>
          </w:tcPr>
          <w:p>
            <w:pPr>
              <w:spacing w:after="0"/>
              <w:rPr>
                <w:sz w:val="5"/>
                <w:szCs w:val="5"/>
                <w:color w:val="auto"/>
              </w:rPr>
            </w:pPr>
          </w:p>
        </w:tc>
        <w:tc>
          <w:tcPr>
            <w:tcW w:w="760" w:type="dxa"/>
            <w:vAlign w:val="bottom"/>
          </w:tcPr>
          <w:p>
            <w:pPr>
              <w:jc w:val="center"/>
              <w:spacing w:after="0" w:line="63" w:lineRule="exact"/>
              <w:rPr>
                <w:sz w:val="20"/>
                <w:szCs w:val="20"/>
                <w:color w:val="auto"/>
              </w:rPr>
            </w:pPr>
            <w:r>
              <w:rPr>
                <w:rFonts w:ascii="Arial" w:cs="Arial" w:eastAsia="Arial" w:hAnsi="Arial"/>
                <w:sz w:val="7"/>
                <w:szCs w:val="7"/>
                <w:b w:val="1"/>
                <w:bCs w:val="1"/>
                <w:color w:val="auto"/>
              </w:rPr>
              <w:t>Effective</w:t>
            </w:r>
          </w:p>
        </w:tc>
        <w:tc>
          <w:tcPr>
            <w:tcW w:w="0" w:type="dxa"/>
            <w:vAlign w:val="bottom"/>
          </w:tcPr>
          <w:p>
            <w:pPr>
              <w:spacing w:after="0"/>
              <w:rPr>
                <w:sz w:val="1"/>
                <w:szCs w:val="1"/>
                <w:color w:val="auto"/>
              </w:rPr>
            </w:pPr>
          </w:p>
        </w:tc>
      </w:tr>
      <w:tr>
        <w:trPr>
          <w:trHeight w:val="74"/>
        </w:trPr>
        <w:tc>
          <w:tcPr>
            <w:tcW w:w="3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tcPr>
          <w:p>
            <w:pPr>
              <w:jc w:val="right"/>
              <w:ind w:right="320"/>
              <w:spacing w:after="0" w:line="74" w:lineRule="exact"/>
              <w:rPr>
                <w:sz w:val="20"/>
                <w:szCs w:val="20"/>
                <w:color w:val="auto"/>
              </w:rPr>
            </w:pPr>
            <w:r>
              <w:rPr>
                <w:rFonts w:ascii="Arial" w:cs="Arial" w:eastAsia="Arial" w:hAnsi="Arial"/>
                <w:sz w:val="8"/>
                <w:szCs w:val="8"/>
                <w:b w:val="1"/>
                <w:bCs w:val="1"/>
                <w:color w:val="auto"/>
              </w:rPr>
              <w:t>Contractual</w:t>
            </w:r>
          </w:p>
        </w:tc>
        <w:tc>
          <w:tcPr>
            <w:tcW w:w="160" w:type="dxa"/>
            <w:vAlign w:val="bottom"/>
          </w:tcPr>
          <w:p>
            <w:pPr>
              <w:spacing w:after="0"/>
              <w:rPr>
                <w:sz w:val="6"/>
                <w:szCs w:val="6"/>
                <w:color w:val="auto"/>
              </w:rPr>
            </w:pPr>
          </w:p>
        </w:tc>
        <w:tc>
          <w:tcPr>
            <w:tcW w:w="88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Balance,</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2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Interest​</w:t>
            </w:r>
          </w:p>
        </w:tc>
        <w:tc>
          <w:tcPr>
            <w:tcW w:w="80" w:type="dxa"/>
            <w:vAlign w:val="bottom"/>
          </w:tcPr>
          <w:p>
            <w:pPr>
              <w:spacing w:after="0"/>
              <w:rPr>
                <w:sz w:val="6"/>
                <w:szCs w:val="6"/>
                <w:color w:val="auto"/>
              </w:rPr>
            </w:pPr>
          </w:p>
        </w:tc>
        <w:tc>
          <w:tcPr>
            <w:tcW w:w="76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Interest​</w:t>
            </w:r>
          </w:p>
        </w:tc>
        <w:tc>
          <w:tcPr>
            <w:tcW w:w="0" w:type="dxa"/>
            <w:vAlign w:val="bottom"/>
          </w:tcPr>
          <w:p>
            <w:pPr>
              <w:spacing w:after="0"/>
              <w:rPr>
                <w:sz w:val="1"/>
                <w:szCs w:val="1"/>
                <w:color w:val="auto"/>
              </w:rPr>
            </w:pPr>
          </w:p>
        </w:tc>
      </w:tr>
      <w:tr>
        <w:trPr>
          <w:trHeight w:val="106"/>
        </w:trPr>
        <w:tc>
          <w:tcPr>
            <w:tcW w:w="3920" w:type="dxa"/>
            <w:vAlign w:val="bottom"/>
            <w:gridSpan w:val="2"/>
          </w:tcPr>
          <w:p>
            <w:pPr>
              <w:spacing w:after="0"/>
              <w:rPr>
                <w:sz w:val="20"/>
                <w:szCs w:val="20"/>
                <w:color w:val="auto"/>
              </w:rPr>
            </w:pPr>
            <w:r>
              <w:rPr>
                <w:rFonts w:ascii="Arial" w:cs="Arial" w:eastAsia="Arial" w:hAnsi="Arial"/>
                <w:sz w:val="8"/>
                <w:szCs w:val="8"/>
                <w:i w:val="1"/>
                <w:iCs w:val="1"/>
                <w:color w:val="auto"/>
              </w:rPr>
              <w:t>(Dollars in thousands)</w:t>
            </w:r>
          </w:p>
        </w:tc>
        <w:tc>
          <w:tcPr>
            <w:tcW w:w="156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Maturity Date</w:t>
            </w:r>
          </w:p>
        </w:tc>
        <w:tc>
          <w:tcPr>
            <w:tcW w:w="140" w:type="dxa"/>
            <w:vAlign w:val="bottom"/>
          </w:tcPr>
          <w:p>
            <w:pPr>
              <w:spacing w:after="0"/>
              <w:rPr>
                <w:sz w:val="9"/>
                <w:szCs w:val="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8"/>
                <w:szCs w:val="8"/>
                <w:b w:val="1"/>
                <w:bCs w:val="1"/>
                <w:color w:val="auto"/>
              </w:rPr>
              <w:t>Facility​</w:t>
            </w:r>
          </w:p>
        </w:tc>
        <w:tc>
          <w:tcPr>
            <w:tcW w:w="160" w:type="dxa"/>
            <w:vAlign w:val="bottom"/>
          </w:tcPr>
          <w:p>
            <w:pPr>
              <w:spacing w:after="0"/>
              <w:rPr>
                <w:sz w:val="9"/>
                <w:szCs w:val="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Gross​</w:t>
            </w:r>
          </w:p>
        </w:tc>
        <w:tc>
          <w:tcPr>
            <w:tcW w:w="260" w:type="dxa"/>
            <w:vAlign w:val="bottom"/>
          </w:tcPr>
          <w:p>
            <w:pPr>
              <w:spacing w:after="0"/>
              <w:rPr>
                <w:sz w:val="9"/>
                <w:szCs w:val="9"/>
                <w:color w:val="auto"/>
              </w:rPr>
            </w:pPr>
          </w:p>
        </w:tc>
        <w:tc>
          <w:tcPr>
            <w:tcW w:w="760" w:type="dxa"/>
            <w:vAlign w:val="bottom"/>
            <w:gridSpan w:val="2"/>
          </w:tcPr>
          <w:p>
            <w:pPr>
              <w:jc w:val="right"/>
              <w:ind w:right="440"/>
              <w:spacing w:after="0" w:line="106" w:lineRule="exact"/>
              <w:rPr>
                <w:sz w:val="20"/>
                <w:szCs w:val="20"/>
                <w:color w:val="auto"/>
              </w:rPr>
            </w:pPr>
            <w:r>
              <w:rPr>
                <w:rFonts w:ascii="Arial" w:cs="Arial" w:eastAsia="Arial" w:hAnsi="Arial"/>
                <w:sz w:val="8"/>
                <w:szCs w:val="8"/>
                <w:b w:val="1"/>
                <w:bCs w:val="1"/>
                <w:color w:val="auto"/>
              </w:rPr>
              <w:t>Net​</w:t>
            </w:r>
            <w:r>
              <w:rPr>
                <w:rFonts w:ascii="Arial" w:cs="Arial" w:eastAsia="Arial" w:hAnsi="Arial"/>
                <w:sz w:val="12"/>
                <w:szCs w:val="12"/>
                <w:b w:val="1"/>
                <w:bCs w:val="1"/>
                <w:color w:val="auto"/>
                <w:vertAlign w:val="superscript"/>
              </w:rPr>
              <w:t>(1)</w:t>
            </w:r>
          </w:p>
        </w:tc>
        <w:tc>
          <w:tcPr>
            <w:tcW w:w="1220" w:type="dxa"/>
            <w:vAlign w:val="bottom"/>
          </w:tcPr>
          <w:p>
            <w:pPr>
              <w:jc w:val="center"/>
              <w:spacing w:after="0"/>
              <w:rPr>
                <w:sz w:val="20"/>
                <w:szCs w:val="20"/>
                <w:color w:val="auto"/>
              </w:rPr>
            </w:pPr>
            <w:r>
              <w:rPr>
                <w:rFonts w:ascii="Arial" w:cs="Arial" w:eastAsia="Arial" w:hAnsi="Arial"/>
                <w:sz w:val="8"/>
                <w:szCs w:val="8"/>
                <w:b w:val="1"/>
                <w:bCs w:val="1"/>
                <w:color w:val="auto"/>
              </w:rPr>
              <w:t>Rate​</w:t>
            </w:r>
          </w:p>
        </w:tc>
        <w:tc>
          <w:tcPr>
            <w:tcW w:w="8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rPr>
              <w:t>Rate​</w:t>
            </w:r>
          </w:p>
        </w:tc>
        <w:tc>
          <w:tcPr>
            <w:tcW w:w="0" w:type="dxa"/>
            <w:vAlign w:val="bottom"/>
          </w:tcPr>
          <w:p>
            <w:pPr>
              <w:spacing w:after="0"/>
              <w:rPr>
                <w:sz w:val="1"/>
                <w:szCs w:val="1"/>
                <w:color w:val="auto"/>
              </w:rPr>
            </w:pPr>
          </w:p>
        </w:tc>
      </w:tr>
      <w:tr>
        <w:trPr>
          <w:trHeight w:val="78"/>
        </w:trPr>
        <w:tc>
          <w:tcPr>
            <w:tcW w:w="3840" w:type="dxa"/>
            <w:vAlign w:val="bottom"/>
            <w:tcBorders>
              <w:top w:val="single" w:sz="8" w:color="auto"/>
            </w:tcBorders>
            <w:shd w:val="clear" w:color="auto" w:fill="CCEEFF"/>
          </w:tcPr>
          <w:p>
            <w:pPr>
              <w:spacing w:after="0" w:line="78" w:lineRule="exact"/>
              <w:rPr>
                <w:sz w:val="20"/>
                <w:szCs w:val="20"/>
                <w:color w:val="auto"/>
              </w:rPr>
            </w:pPr>
            <w:r>
              <w:rPr>
                <w:rFonts w:ascii="Arial" w:cs="Arial" w:eastAsia="Arial" w:hAnsi="Arial"/>
                <w:sz w:val="8"/>
                <w:szCs w:val="8"/>
                <w:color w:val="auto"/>
              </w:rPr>
              <w:t>Denominated in USD</w:t>
            </w:r>
          </w:p>
        </w:tc>
        <w:tc>
          <w:tcPr>
            <w:tcW w:w="8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3920" w:type="dxa"/>
            <w:vAlign w:val="bottom"/>
            <w:gridSpan w:val="2"/>
          </w:tcPr>
          <w:p>
            <w:pPr>
              <w:ind w:left="40"/>
              <w:spacing w:after="0" w:line="83" w:lineRule="exact"/>
              <w:rPr>
                <w:sz w:val="20"/>
                <w:szCs w:val="20"/>
                <w:color w:val="auto"/>
              </w:rPr>
            </w:pPr>
            <w:r>
              <w:rPr>
                <w:rFonts w:ascii="Arial" w:cs="Arial" w:eastAsia="Arial" w:hAnsi="Arial"/>
                <w:sz w:val="8"/>
                <w:szCs w:val="8"/>
                <w:color w:val="auto"/>
              </w:rPr>
              <w:t>Trust Preferred Securities (US)</w:t>
            </w:r>
          </w:p>
        </w:tc>
        <w:tc>
          <w:tcPr>
            <w:tcW w:w="1560" w:type="dxa"/>
            <w:vAlign w:val="bottom"/>
            <w:gridSpan w:val="2"/>
          </w:tcPr>
          <w:p>
            <w:pPr>
              <w:jc w:val="center"/>
              <w:ind w:right="100"/>
              <w:spacing w:after="0" w:line="83" w:lineRule="exact"/>
              <w:rPr>
                <w:sz w:val="20"/>
                <w:szCs w:val="20"/>
                <w:color w:val="auto"/>
              </w:rPr>
            </w:pPr>
            <w:r>
              <w:rPr>
                <w:rFonts w:ascii="Arial" w:cs="Arial" w:eastAsia="Arial" w:hAnsi="Arial"/>
                <w:sz w:val="8"/>
                <w:szCs w:val="8"/>
                <w:color w:val="auto"/>
              </w:rPr>
              <w:t>April 30, 2027</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27,913</w:t>
            </w:r>
          </w:p>
        </w:tc>
        <w:tc>
          <w:tcPr>
            <w:tcW w:w="80" w:type="dxa"/>
            <w:vAlign w:val="bottom"/>
          </w:tcPr>
          <w:p>
            <w:pPr>
              <w:spacing w:after="0"/>
              <w:rPr>
                <w:sz w:val="7"/>
                <w:szCs w:val="7"/>
                <w:color w:val="auto"/>
              </w:rPr>
            </w:pPr>
          </w:p>
        </w:tc>
        <w:tc>
          <w:tcPr>
            <w:tcW w:w="160" w:type="dxa"/>
            <w:vAlign w:val="bottom"/>
          </w:tcPr>
          <w:p>
            <w:pPr>
              <w:jc w:val="right"/>
              <w:ind w:right="59"/>
              <w:spacing w:after="0" w:line="83" w:lineRule="exact"/>
              <w:rPr>
                <w:sz w:val="20"/>
                <w:szCs w:val="20"/>
                <w:color w:val="auto"/>
              </w:rPr>
            </w:pPr>
            <w:r>
              <w:rPr>
                <w:rFonts w:ascii="Arial" w:cs="Arial" w:eastAsia="Arial" w:hAnsi="Arial"/>
                <w:sz w:val="8"/>
                <w:szCs w:val="8"/>
                <w:color w:val="auto"/>
                <w:w w:val="88"/>
              </w:rPr>
              <w:t>$</w:t>
            </w: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27,913</w:t>
            </w:r>
          </w:p>
        </w:tc>
        <w:tc>
          <w:tcPr>
            <w:tcW w:w="80" w:type="dxa"/>
            <w:vAlign w:val="bottom"/>
          </w:tcPr>
          <w:p>
            <w:pPr>
              <w:spacing w:after="0"/>
              <w:rPr>
                <w:sz w:val="7"/>
                <w:szCs w:val="7"/>
                <w:color w:val="auto"/>
              </w:rPr>
            </w:pPr>
          </w:p>
        </w:tc>
        <w:tc>
          <w:tcPr>
            <w:tcW w:w="260" w:type="dxa"/>
            <w:vAlign w:val="bottom"/>
          </w:tcPr>
          <w:p>
            <w:pPr>
              <w:jc w:val="right"/>
              <w:ind w:right="194"/>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83" w:lineRule="exact"/>
              <w:rPr>
                <w:sz w:val="20"/>
                <w:szCs w:val="20"/>
                <w:color w:val="auto"/>
              </w:rPr>
            </w:pPr>
            <w:r>
              <w:rPr>
                <w:rFonts w:ascii="Arial" w:cs="Arial" w:eastAsia="Arial" w:hAnsi="Arial"/>
                <w:sz w:val="8"/>
                <w:szCs w:val="8"/>
                <w:color w:val="auto"/>
              </w:rPr>
              <w:t>26,950</w:t>
            </w:r>
          </w:p>
        </w:tc>
        <w:tc>
          <w:tcPr>
            <w:tcW w:w="80" w:type="dxa"/>
            <w:vAlign w:val="bottom"/>
          </w:tcPr>
          <w:p>
            <w:pPr>
              <w:spacing w:after="0"/>
              <w:rPr>
                <w:sz w:val="7"/>
                <w:szCs w:val="7"/>
                <w:color w:val="auto"/>
              </w:rPr>
            </w:pPr>
          </w:p>
        </w:tc>
        <w:tc>
          <w:tcPr>
            <w:tcW w:w="1220" w:type="dxa"/>
            <w:vAlign w:val="bottom"/>
          </w:tcPr>
          <w:p>
            <w:pPr>
              <w:jc w:val="center"/>
              <w:spacing w:after="0" w:line="83" w:lineRule="exact"/>
              <w:rPr>
                <w:sz w:val="20"/>
                <w:szCs w:val="20"/>
                <w:color w:val="auto"/>
              </w:rPr>
            </w:pPr>
            <w:r>
              <w:rPr>
                <w:rFonts w:ascii="Arial" w:cs="Arial" w:eastAsia="Arial" w:hAnsi="Arial"/>
                <w:sz w:val="8"/>
                <w:szCs w:val="8"/>
                <w:color w:val="auto"/>
                <w:w w:val="96"/>
              </w:rPr>
              <w:t>8.41%</w:t>
            </w:r>
          </w:p>
        </w:tc>
        <w:tc>
          <w:tcPr>
            <w:tcW w:w="840" w:type="dxa"/>
            <w:vAlign w:val="bottom"/>
            <w:gridSpan w:val="2"/>
          </w:tcPr>
          <w:p>
            <w:pPr>
              <w:jc w:val="center"/>
              <w:ind w:left="59"/>
              <w:spacing w:after="0" w:line="83" w:lineRule="exact"/>
              <w:rPr>
                <w:sz w:val="20"/>
                <w:szCs w:val="20"/>
                <w:color w:val="auto"/>
              </w:rPr>
            </w:pPr>
            <w:r>
              <w:rPr>
                <w:rFonts w:ascii="Arial" w:cs="Arial" w:eastAsia="Arial" w:hAnsi="Arial"/>
                <w:sz w:val="8"/>
                <w:szCs w:val="8"/>
                <w:color w:val="auto"/>
                <w:w w:val="96"/>
              </w:rPr>
              <w:t>8.41%</w:t>
            </w:r>
          </w:p>
        </w:tc>
        <w:tc>
          <w:tcPr>
            <w:tcW w:w="0" w:type="dxa"/>
            <w:vAlign w:val="bottom"/>
          </w:tcPr>
          <w:p>
            <w:pPr>
              <w:spacing w:after="0"/>
              <w:rPr>
                <w:sz w:val="1"/>
                <w:szCs w:val="1"/>
                <w:color w:val="auto"/>
              </w:rPr>
            </w:pPr>
          </w:p>
        </w:tc>
      </w:tr>
      <w:tr>
        <w:trPr>
          <w:trHeight w:val="83"/>
        </w:trPr>
        <w:tc>
          <w:tcPr>
            <w:tcW w:w="3920" w:type="dxa"/>
            <w:vAlign w:val="bottom"/>
            <w:gridSpan w:val="2"/>
            <w:shd w:val="clear" w:color="auto" w:fill="CCEEFF"/>
          </w:tcPr>
          <w:p>
            <w:pPr>
              <w:ind w:left="40"/>
              <w:spacing w:after="0" w:line="83" w:lineRule="exact"/>
              <w:rPr>
                <w:sz w:val="20"/>
                <w:szCs w:val="20"/>
                <w:color w:val="auto"/>
              </w:rPr>
            </w:pPr>
            <w:r>
              <w:rPr>
                <w:rFonts w:ascii="Arial" w:cs="Arial" w:eastAsia="Arial" w:hAnsi="Arial"/>
                <w:sz w:val="8"/>
                <w:szCs w:val="8"/>
                <w:color w:val="auto"/>
              </w:rPr>
              <w:t>Bank of America Credit Facility (US)(5)</w:t>
            </w:r>
          </w:p>
        </w:tc>
        <w:tc>
          <w:tcPr>
            <w:tcW w:w="1560" w:type="dxa"/>
            <w:vAlign w:val="bottom"/>
            <w:gridSpan w:val="2"/>
            <w:shd w:val="clear" w:color="auto" w:fill="CCEEFF"/>
          </w:tcPr>
          <w:p>
            <w:pPr>
              <w:jc w:val="center"/>
              <w:ind w:right="80"/>
              <w:spacing w:after="0" w:line="83" w:lineRule="exact"/>
              <w:rPr>
                <w:sz w:val="20"/>
                <w:szCs w:val="20"/>
                <w:color w:val="auto"/>
              </w:rPr>
            </w:pPr>
            <w:r>
              <w:rPr>
                <w:rFonts w:ascii="Arial" w:cs="Arial" w:eastAsia="Arial" w:hAnsi="Arial"/>
                <w:sz w:val="8"/>
                <w:szCs w:val="8"/>
                <w:color w:val="auto"/>
              </w:rPr>
              <w:t>March 1, 2024</w:t>
            </w: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26,750</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26,750</w:t>
            </w: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26,663</w:t>
            </w:r>
          </w:p>
        </w:tc>
        <w:tc>
          <w:tcPr>
            <w:tcW w:w="80" w:type="dxa"/>
            <w:vAlign w:val="bottom"/>
            <w:shd w:val="clear" w:color="auto" w:fill="CCEEFF"/>
          </w:tcPr>
          <w:p>
            <w:pPr>
              <w:spacing w:after="0"/>
              <w:rPr>
                <w:sz w:val="7"/>
                <w:szCs w:val="7"/>
                <w:color w:val="auto"/>
              </w:rPr>
            </w:pPr>
          </w:p>
        </w:tc>
        <w:tc>
          <w:tcPr>
            <w:tcW w:w="1220" w:type="dxa"/>
            <w:vAlign w:val="bottom"/>
            <w:shd w:val="clear" w:color="auto" w:fill="CCEEFF"/>
          </w:tcPr>
          <w:p>
            <w:pPr>
              <w:jc w:val="center"/>
              <w:spacing w:after="0" w:line="83" w:lineRule="exact"/>
              <w:rPr>
                <w:sz w:val="20"/>
                <w:szCs w:val="20"/>
                <w:color w:val="auto"/>
              </w:rPr>
            </w:pPr>
            <w:r>
              <w:rPr>
                <w:rFonts w:ascii="Arial" w:cs="Arial" w:eastAsia="Arial" w:hAnsi="Arial"/>
                <w:sz w:val="8"/>
                <w:szCs w:val="8"/>
                <w:color w:val="auto"/>
              </w:rPr>
              <w:t>10.00%</w:t>
            </w:r>
          </w:p>
        </w:tc>
        <w:tc>
          <w:tcPr>
            <w:tcW w:w="840" w:type="dxa"/>
            <w:vAlign w:val="bottom"/>
            <w:gridSpan w:val="2"/>
            <w:shd w:val="clear" w:color="auto" w:fill="CCEEFF"/>
          </w:tcPr>
          <w:p>
            <w:pPr>
              <w:jc w:val="center"/>
              <w:ind w:left="39"/>
              <w:spacing w:after="0" w:line="83" w:lineRule="exact"/>
              <w:rPr>
                <w:sz w:val="20"/>
                <w:szCs w:val="20"/>
                <w:color w:val="auto"/>
              </w:rPr>
            </w:pPr>
            <w:r>
              <w:rPr>
                <w:rFonts w:ascii="Arial" w:cs="Arial" w:eastAsia="Arial" w:hAnsi="Arial"/>
                <w:sz w:val="8"/>
                <w:szCs w:val="8"/>
                <w:color w:val="auto"/>
              </w:rPr>
              <w:t>10.00%</w:t>
            </w:r>
          </w:p>
        </w:tc>
        <w:tc>
          <w:tcPr>
            <w:tcW w:w="0" w:type="dxa"/>
            <w:vAlign w:val="bottom"/>
          </w:tcPr>
          <w:p>
            <w:pPr>
              <w:spacing w:after="0"/>
              <w:rPr>
                <w:sz w:val="1"/>
                <w:szCs w:val="1"/>
                <w:color w:val="auto"/>
              </w:rPr>
            </w:pPr>
          </w:p>
        </w:tc>
      </w:tr>
      <w:tr>
        <w:trPr>
          <w:trHeight w:val="83"/>
        </w:trPr>
        <w:tc>
          <w:tcPr>
            <w:tcW w:w="3920" w:type="dxa"/>
            <w:vAlign w:val="bottom"/>
            <w:gridSpan w:val="2"/>
          </w:tcPr>
          <w:p>
            <w:pPr>
              <w:ind w:left="40"/>
              <w:spacing w:after="0" w:line="83" w:lineRule="exact"/>
              <w:rPr>
                <w:sz w:val="20"/>
                <w:szCs w:val="20"/>
                <w:color w:val="auto"/>
              </w:rPr>
            </w:pPr>
            <w:r>
              <w:rPr>
                <w:rFonts w:ascii="Arial" w:cs="Arial" w:eastAsia="Arial" w:hAnsi="Arial"/>
                <w:sz w:val="8"/>
                <w:szCs w:val="8"/>
                <w:color w:val="auto"/>
              </w:rPr>
              <w:t>Cinemas 1, 2, 3 Term Loan (US)(5)</w:t>
            </w:r>
          </w:p>
        </w:tc>
        <w:tc>
          <w:tcPr>
            <w:tcW w:w="1560" w:type="dxa"/>
            <w:vAlign w:val="bottom"/>
            <w:gridSpan w:val="2"/>
          </w:tcPr>
          <w:p>
            <w:pPr>
              <w:jc w:val="center"/>
              <w:ind w:right="100"/>
              <w:spacing w:after="0" w:line="83" w:lineRule="exact"/>
              <w:rPr>
                <w:sz w:val="20"/>
                <w:szCs w:val="20"/>
                <w:color w:val="auto"/>
              </w:rPr>
            </w:pPr>
            <w:r>
              <w:rPr>
                <w:rFonts w:ascii="Arial" w:cs="Arial" w:eastAsia="Arial" w:hAnsi="Arial"/>
                <w:sz w:val="8"/>
                <w:szCs w:val="8"/>
                <w:color w:val="auto"/>
              </w:rPr>
              <w:t>April 1, 2023</w:t>
            </w:r>
          </w:p>
        </w:tc>
        <w:tc>
          <w:tcPr>
            <w:tcW w:w="140" w:type="dxa"/>
            <w:vAlign w:val="bottom"/>
          </w:tcPr>
          <w:p>
            <w:pPr>
              <w:spacing w:after="0"/>
              <w:rPr>
                <w:sz w:val="7"/>
                <w:szCs w:val="7"/>
                <w:color w:val="auto"/>
              </w:rPr>
            </w:pP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22,455</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22,455</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jc w:val="right"/>
              <w:spacing w:after="0" w:line="83" w:lineRule="exact"/>
              <w:rPr>
                <w:sz w:val="20"/>
                <w:szCs w:val="20"/>
                <w:color w:val="auto"/>
              </w:rPr>
            </w:pPr>
            <w:r>
              <w:rPr>
                <w:rFonts w:ascii="Arial" w:cs="Arial" w:eastAsia="Arial" w:hAnsi="Arial"/>
                <w:sz w:val="8"/>
                <w:szCs w:val="8"/>
                <w:color w:val="auto"/>
              </w:rPr>
              <w:t>22,208</w:t>
            </w:r>
          </w:p>
        </w:tc>
        <w:tc>
          <w:tcPr>
            <w:tcW w:w="80" w:type="dxa"/>
            <w:vAlign w:val="bottom"/>
          </w:tcPr>
          <w:p>
            <w:pPr>
              <w:spacing w:after="0"/>
              <w:rPr>
                <w:sz w:val="7"/>
                <w:szCs w:val="7"/>
                <w:color w:val="auto"/>
              </w:rPr>
            </w:pPr>
          </w:p>
        </w:tc>
        <w:tc>
          <w:tcPr>
            <w:tcW w:w="1220" w:type="dxa"/>
            <w:vAlign w:val="bottom"/>
          </w:tcPr>
          <w:p>
            <w:pPr>
              <w:jc w:val="center"/>
              <w:spacing w:after="0" w:line="83" w:lineRule="exact"/>
              <w:rPr>
                <w:sz w:val="20"/>
                <w:szCs w:val="20"/>
                <w:color w:val="auto"/>
              </w:rPr>
            </w:pPr>
            <w:r>
              <w:rPr>
                <w:rFonts w:ascii="Arial" w:cs="Arial" w:eastAsia="Arial" w:hAnsi="Arial"/>
                <w:sz w:val="8"/>
                <w:szCs w:val="8"/>
                <w:color w:val="auto"/>
                <w:w w:val="96"/>
              </w:rPr>
              <w:t>6.63%</w:t>
            </w:r>
          </w:p>
        </w:tc>
        <w:tc>
          <w:tcPr>
            <w:tcW w:w="840" w:type="dxa"/>
            <w:vAlign w:val="bottom"/>
            <w:gridSpan w:val="2"/>
          </w:tcPr>
          <w:p>
            <w:pPr>
              <w:jc w:val="center"/>
              <w:ind w:left="59"/>
              <w:spacing w:after="0" w:line="83" w:lineRule="exact"/>
              <w:rPr>
                <w:sz w:val="20"/>
                <w:szCs w:val="20"/>
                <w:color w:val="auto"/>
              </w:rPr>
            </w:pPr>
            <w:r>
              <w:rPr>
                <w:rFonts w:ascii="Arial" w:cs="Arial" w:eastAsia="Arial" w:hAnsi="Arial"/>
                <w:sz w:val="8"/>
                <w:szCs w:val="8"/>
                <w:color w:val="auto"/>
                <w:w w:val="96"/>
              </w:rPr>
              <w:t>6.63%</w:t>
            </w:r>
          </w:p>
        </w:tc>
        <w:tc>
          <w:tcPr>
            <w:tcW w:w="0" w:type="dxa"/>
            <w:vAlign w:val="bottom"/>
          </w:tcPr>
          <w:p>
            <w:pPr>
              <w:spacing w:after="0"/>
              <w:rPr>
                <w:sz w:val="1"/>
                <w:szCs w:val="1"/>
                <w:color w:val="auto"/>
              </w:rPr>
            </w:pPr>
          </w:p>
        </w:tc>
      </w:tr>
      <w:tr>
        <w:trPr>
          <w:trHeight w:val="83"/>
        </w:trPr>
        <w:tc>
          <w:tcPr>
            <w:tcW w:w="3920" w:type="dxa"/>
            <w:vAlign w:val="bottom"/>
            <w:gridSpan w:val="2"/>
            <w:shd w:val="clear" w:color="auto" w:fill="CCEEFF"/>
          </w:tcPr>
          <w:p>
            <w:pPr>
              <w:ind w:left="40"/>
              <w:spacing w:after="0" w:line="83" w:lineRule="exact"/>
              <w:rPr>
                <w:sz w:val="20"/>
                <w:szCs w:val="20"/>
                <w:color w:val="auto"/>
              </w:rPr>
            </w:pPr>
            <w:r>
              <w:rPr>
                <w:rFonts w:ascii="Arial" w:cs="Arial" w:eastAsia="Arial" w:hAnsi="Arial"/>
                <w:sz w:val="8"/>
                <w:szCs w:val="8"/>
                <w:color w:val="auto"/>
              </w:rPr>
              <w:t>Minetta &amp; Orpheum Theatres Loan (US)(2)</w:t>
            </w:r>
          </w:p>
        </w:tc>
        <w:tc>
          <w:tcPr>
            <w:tcW w:w="1560" w:type="dxa"/>
            <w:vAlign w:val="bottom"/>
            <w:gridSpan w:val="2"/>
            <w:shd w:val="clear" w:color="auto" w:fill="CCEEFF"/>
          </w:tcPr>
          <w:p>
            <w:pPr>
              <w:jc w:val="center"/>
              <w:ind w:right="80"/>
              <w:spacing w:after="0" w:line="83" w:lineRule="exact"/>
              <w:rPr>
                <w:sz w:val="20"/>
                <w:szCs w:val="20"/>
                <w:color w:val="auto"/>
              </w:rPr>
            </w:pPr>
            <w:r>
              <w:rPr>
                <w:rFonts w:ascii="Arial" w:cs="Arial" w:eastAsia="Arial" w:hAnsi="Arial"/>
                <w:sz w:val="8"/>
                <w:szCs w:val="8"/>
                <w:color w:val="auto"/>
              </w:rPr>
              <w:t>November 1, 2023</w:t>
            </w: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8,000</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8,000</w:t>
            </w: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7,974</w:t>
            </w:r>
          </w:p>
        </w:tc>
        <w:tc>
          <w:tcPr>
            <w:tcW w:w="1220" w:type="dxa"/>
            <w:vAlign w:val="bottom"/>
            <w:shd w:val="clear" w:color="auto" w:fill="CCEEFF"/>
          </w:tcPr>
          <w:p>
            <w:pPr>
              <w:jc w:val="center"/>
              <w:spacing w:after="0" w:line="83" w:lineRule="exact"/>
              <w:rPr>
                <w:sz w:val="20"/>
                <w:szCs w:val="20"/>
                <w:color w:val="auto"/>
              </w:rPr>
            </w:pPr>
            <w:r>
              <w:rPr>
                <w:rFonts w:ascii="Arial" w:cs="Arial" w:eastAsia="Arial" w:hAnsi="Arial"/>
                <w:sz w:val="8"/>
                <w:szCs w:val="8"/>
                <w:color w:val="auto"/>
                <w:w w:val="96"/>
              </w:rPr>
              <w:t>7.12%</w:t>
            </w:r>
          </w:p>
        </w:tc>
        <w:tc>
          <w:tcPr>
            <w:tcW w:w="840" w:type="dxa"/>
            <w:vAlign w:val="bottom"/>
            <w:gridSpan w:val="2"/>
            <w:shd w:val="clear" w:color="auto" w:fill="CCEEFF"/>
          </w:tcPr>
          <w:p>
            <w:pPr>
              <w:jc w:val="center"/>
              <w:ind w:left="59"/>
              <w:spacing w:after="0" w:line="83" w:lineRule="exact"/>
              <w:rPr>
                <w:sz w:val="20"/>
                <w:szCs w:val="20"/>
                <w:color w:val="auto"/>
              </w:rPr>
            </w:pPr>
            <w:r>
              <w:rPr>
                <w:rFonts w:ascii="Arial" w:cs="Arial" w:eastAsia="Arial" w:hAnsi="Arial"/>
                <w:sz w:val="8"/>
                <w:szCs w:val="8"/>
                <w:color w:val="auto"/>
                <w:w w:val="96"/>
              </w:rPr>
              <w:t>5.15%</w:t>
            </w:r>
          </w:p>
        </w:tc>
        <w:tc>
          <w:tcPr>
            <w:tcW w:w="0" w:type="dxa"/>
            <w:vAlign w:val="bottom"/>
          </w:tcPr>
          <w:p>
            <w:pPr>
              <w:spacing w:after="0"/>
              <w:rPr>
                <w:sz w:val="1"/>
                <w:szCs w:val="1"/>
                <w:color w:val="auto"/>
              </w:rPr>
            </w:pPr>
          </w:p>
        </w:tc>
      </w:tr>
      <w:tr>
        <w:trPr>
          <w:trHeight w:val="83"/>
        </w:trPr>
        <w:tc>
          <w:tcPr>
            <w:tcW w:w="3920" w:type="dxa"/>
            <w:vAlign w:val="bottom"/>
            <w:gridSpan w:val="2"/>
          </w:tcPr>
          <w:p>
            <w:pPr>
              <w:ind w:left="40"/>
              <w:spacing w:after="0" w:line="83" w:lineRule="exact"/>
              <w:rPr>
                <w:sz w:val="20"/>
                <w:szCs w:val="20"/>
                <w:color w:val="auto"/>
              </w:rPr>
            </w:pPr>
            <w:r>
              <w:rPr>
                <w:rFonts w:ascii="Arial" w:cs="Arial" w:eastAsia="Arial" w:hAnsi="Arial"/>
                <w:sz w:val="8"/>
                <w:szCs w:val="8"/>
                <w:color w:val="auto"/>
              </w:rPr>
              <w:t>U.S. Corporate Office Term Loan (US)</w:t>
            </w:r>
          </w:p>
        </w:tc>
        <w:tc>
          <w:tcPr>
            <w:tcW w:w="1560" w:type="dxa"/>
            <w:vAlign w:val="bottom"/>
            <w:gridSpan w:val="2"/>
          </w:tcPr>
          <w:p>
            <w:pPr>
              <w:jc w:val="center"/>
              <w:ind w:right="100"/>
              <w:spacing w:after="0" w:line="83" w:lineRule="exact"/>
              <w:rPr>
                <w:sz w:val="20"/>
                <w:szCs w:val="20"/>
                <w:color w:val="auto"/>
              </w:rPr>
            </w:pPr>
            <w:r>
              <w:rPr>
                <w:rFonts w:ascii="Arial" w:cs="Arial" w:eastAsia="Arial" w:hAnsi="Arial"/>
                <w:sz w:val="8"/>
                <w:szCs w:val="8"/>
                <w:color w:val="auto"/>
              </w:rPr>
              <w:t>January 1, 2027</w:t>
            </w:r>
          </w:p>
        </w:tc>
        <w:tc>
          <w:tcPr>
            <w:tcW w:w="140" w:type="dxa"/>
            <w:vAlign w:val="bottom"/>
          </w:tcPr>
          <w:p>
            <w:pPr>
              <w:spacing w:after="0"/>
              <w:rPr>
                <w:sz w:val="7"/>
                <w:szCs w:val="7"/>
                <w:color w:val="auto"/>
              </w:rPr>
            </w:pPr>
          </w:p>
        </w:tc>
        <w:tc>
          <w:tcPr>
            <w:tcW w:w="88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8,674</w:t>
            </w:r>
          </w:p>
        </w:tc>
        <w:tc>
          <w:tcPr>
            <w:tcW w:w="160" w:type="dxa"/>
            <w:vAlign w:val="bottom"/>
          </w:tcPr>
          <w:p>
            <w:pPr>
              <w:spacing w:after="0"/>
              <w:rPr>
                <w:sz w:val="7"/>
                <w:szCs w:val="7"/>
                <w:color w:val="auto"/>
              </w:rPr>
            </w:pPr>
          </w:p>
        </w:tc>
        <w:tc>
          <w:tcPr>
            <w:tcW w:w="88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8,674</w:t>
            </w:r>
          </w:p>
        </w:tc>
        <w:tc>
          <w:tcPr>
            <w:tcW w:w="260" w:type="dxa"/>
            <w:vAlign w:val="bottom"/>
          </w:tcPr>
          <w:p>
            <w:pPr>
              <w:spacing w:after="0"/>
              <w:rPr>
                <w:sz w:val="7"/>
                <w:szCs w:val="7"/>
                <w:color w:val="auto"/>
              </w:rPr>
            </w:pPr>
          </w:p>
        </w:tc>
        <w:tc>
          <w:tcPr>
            <w:tcW w:w="76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8,613</w:t>
            </w:r>
          </w:p>
        </w:tc>
        <w:tc>
          <w:tcPr>
            <w:tcW w:w="1220" w:type="dxa"/>
            <w:vAlign w:val="bottom"/>
          </w:tcPr>
          <w:p>
            <w:pPr>
              <w:jc w:val="center"/>
              <w:spacing w:after="0" w:line="83" w:lineRule="exact"/>
              <w:rPr>
                <w:sz w:val="20"/>
                <w:szCs w:val="20"/>
                <w:color w:val="auto"/>
              </w:rPr>
            </w:pPr>
            <w:r>
              <w:rPr>
                <w:rFonts w:ascii="Arial" w:cs="Arial" w:eastAsia="Arial" w:hAnsi="Arial"/>
                <w:sz w:val="8"/>
                <w:szCs w:val="8"/>
                <w:color w:val="auto"/>
              </w:rPr>
              <w:t>4.64% / 4.44%</w:t>
            </w:r>
          </w:p>
        </w:tc>
        <w:tc>
          <w:tcPr>
            <w:tcW w:w="840" w:type="dxa"/>
            <w:vAlign w:val="bottom"/>
            <w:gridSpan w:val="2"/>
          </w:tcPr>
          <w:p>
            <w:pPr>
              <w:jc w:val="center"/>
              <w:ind w:left="59"/>
              <w:spacing w:after="0" w:line="83" w:lineRule="exact"/>
              <w:rPr>
                <w:sz w:val="20"/>
                <w:szCs w:val="20"/>
                <w:color w:val="auto"/>
              </w:rPr>
            </w:pPr>
            <w:r>
              <w:rPr>
                <w:rFonts w:ascii="Arial" w:cs="Arial" w:eastAsia="Arial" w:hAnsi="Arial"/>
                <w:sz w:val="8"/>
                <w:szCs w:val="8"/>
                <w:color w:val="auto"/>
                <w:w w:val="96"/>
              </w:rPr>
              <w:t>4.64%</w:t>
            </w:r>
          </w:p>
        </w:tc>
        <w:tc>
          <w:tcPr>
            <w:tcW w:w="0" w:type="dxa"/>
            <w:vAlign w:val="bottom"/>
          </w:tcPr>
          <w:p>
            <w:pPr>
              <w:spacing w:after="0"/>
              <w:rPr>
                <w:sz w:val="1"/>
                <w:szCs w:val="1"/>
                <w:color w:val="auto"/>
              </w:rPr>
            </w:pPr>
          </w:p>
        </w:tc>
      </w:tr>
      <w:tr>
        <w:trPr>
          <w:trHeight w:val="113"/>
        </w:trPr>
        <w:tc>
          <w:tcPr>
            <w:tcW w:w="3920" w:type="dxa"/>
            <w:vAlign w:val="bottom"/>
            <w:gridSpan w:val="2"/>
            <w:shd w:val="clear" w:color="auto" w:fill="CCEEFF"/>
          </w:tcPr>
          <w:p>
            <w:pPr>
              <w:ind w:left="40"/>
              <w:spacing w:after="0" w:line="113" w:lineRule="exact"/>
              <w:rPr>
                <w:sz w:val="20"/>
                <w:szCs w:val="20"/>
                <w:color w:val="auto"/>
              </w:rPr>
            </w:pPr>
            <w:r>
              <w:rPr>
                <w:rFonts w:ascii="Arial" w:cs="Arial" w:eastAsia="Arial" w:hAnsi="Arial"/>
                <w:sz w:val="8"/>
                <w:szCs w:val="8"/>
                <w:color w:val="auto"/>
              </w:rPr>
              <w:t>Union Square Financing (US)</w:t>
            </w:r>
            <w:r>
              <w:rPr>
                <w:rFonts w:ascii="Arial" w:cs="Arial" w:eastAsia="Arial" w:hAnsi="Arial"/>
                <w:sz w:val="13"/>
                <w:szCs w:val="13"/>
                <w:color w:val="auto"/>
                <w:vertAlign w:val="superscript"/>
              </w:rPr>
              <w:t>(3)</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8"/>
                <w:szCs w:val="8"/>
                <w:color w:val="auto"/>
                <w:w w:val="99"/>
              </w:rPr>
              <w:t>May 6, 2024</w:t>
            </w: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55,000</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43,000</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42,484</w:t>
            </w: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8"/>
                <w:szCs w:val="8"/>
                <w:color w:val="auto"/>
              </w:rPr>
              <w:t>11.25%</w:t>
            </w:r>
          </w:p>
        </w:tc>
        <w:tc>
          <w:tcPr>
            <w:tcW w:w="840" w:type="dxa"/>
            <w:vAlign w:val="bottom"/>
            <w:gridSpan w:val="2"/>
            <w:shd w:val="clear" w:color="auto" w:fill="CCEEFF"/>
          </w:tcPr>
          <w:p>
            <w:pPr>
              <w:jc w:val="center"/>
              <w:ind w:left="59"/>
              <w:spacing w:after="0"/>
              <w:rPr>
                <w:sz w:val="20"/>
                <w:szCs w:val="20"/>
                <w:color w:val="auto"/>
              </w:rPr>
            </w:pPr>
            <w:r>
              <w:rPr>
                <w:rFonts w:ascii="Arial" w:cs="Arial" w:eastAsia="Arial" w:hAnsi="Arial"/>
                <w:sz w:val="8"/>
                <w:szCs w:val="8"/>
                <w:color w:val="auto"/>
                <w:w w:val="96"/>
              </w:rPr>
              <w:t>7.40%</w:t>
            </w:r>
          </w:p>
        </w:tc>
        <w:tc>
          <w:tcPr>
            <w:tcW w:w="0" w:type="dxa"/>
            <w:vAlign w:val="bottom"/>
          </w:tcPr>
          <w:p>
            <w:pPr>
              <w:spacing w:after="0"/>
              <w:rPr>
                <w:sz w:val="1"/>
                <w:szCs w:val="1"/>
                <w:color w:val="auto"/>
              </w:rPr>
            </w:pPr>
          </w:p>
        </w:tc>
      </w:tr>
      <w:tr>
        <w:trPr>
          <w:trHeight w:val="83"/>
        </w:trPr>
        <w:tc>
          <w:tcPr>
            <w:tcW w:w="3920" w:type="dxa"/>
            <w:vAlign w:val="bottom"/>
            <w:gridSpan w:val="2"/>
          </w:tcPr>
          <w:p>
            <w:pPr>
              <w:ind w:left="40"/>
              <w:spacing w:after="0" w:line="83" w:lineRule="exact"/>
              <w:rPr>
                <w:sz w:val="20"/>
                <w:szCs w:val="20"/>
                <w:color w:val="auto"/>
              </w:rPr>
            </w:pPr>
            <w:r>
              <w:rPr>
                <w:rFonts w:ascii="Arial" w:cs="Arial" w:eastAsia="Arial" w:hAnsi="Arial"/>
                <w:sz w:val="8"/>
                <w:szCs w:val="8"/>
                <w:color w:val="auto"/>
              </w:rPr>
              <w:t>Purchase Money Promissory Note (US)</w:t>
            </w:r>
          </w:p>
        </w:tc>
        <w:tc>
          <w:tcPr>
            <w:tcW w:w="1560" w:type="dxa"/>
            <w:vAlign w:val="bottom"/>
            <w:gridSpan w:val="2"/>
          </w:tcPr>
          <w:p>
            <w:pPr>
              <w:jc w:val="center"/>
              <w:ind w:right="100"/>
              <w:spacing w:after="0" w:line="83" w:lineRule="exact"/>
              <w:rPr>
                <w:sz w:val="20"/>
                <w:szCs w:val="20"/>
                <w:color w:val="auto"/>
              </w:rPr>
            </w:pPr>
            <w:r>
              <w:rPr>
                <w:rFonts w:ascii="Arial" w:cs="Arial" w:eastAsia="Arial" w:hAnsi="Arial"/>
                <w:sz w:val="8"/>
                <w:szCs w:val="8"/>
                <w:color w:val="auto"/>
              </w:rPr>
              <w:t>September 18, 2024</w:t>
            </w:r>
          </w:p>
        </w:tc>
        <w:tc>
          <w:tcPr>
            <w:tcW w:w="140" w:type="dxa"/>
            <w:vAlign w:val="bottom"/>
          </w:tcPr>
          <w:p>
            <w:pPr>
              <w:spacing w:after="0"/>
              <w:rPr>
                <w:sz w:val="7"/>
                <w:szCs w:val="7"/>
                <w:color w:val="auto"/>
              </w:rPr>
            </w:pPr>
          </w:p>
        </w:tc>
        <w:tc>
          <w:tcPr>
            <w:tcW w:w="88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1,333</w:t>
            </w:r>
          </w:p>
        </w:tc>
        <w:tc>
          <w:tcPr>
            <w:tcW w:w="160" w:type="dxa"/>
            <w:vAlign w:val="bottom"/>
          </w:tcPr>
          <w:p>
            <w:pPr>
              <w:spacing w:after="0"/>
              <w:rPr>
                <w:sz w:val="7"/>
                <w:szCs w:val="7"/>
                <w:color w:val="auto"/>
              </w:rPr>
            </w:pPr>
          </w:p>
        </w:tc>
        <w:tc>
          <w:tcPr>
            <w:tcW w:w="88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1,333</w:t>
            </w:r>
          </w:p>
        </w:tc>
        <w:tc>
          <w:tcPr>
            <w:tcW w:w="260" w:type="dxa"/>
            <w:vAlign w:val="bottom"/>
          </w:tcPr>
          <w:p>
            <w:pPr>
              <w:spacing w:after="0"/>
              <w:rPr>
                <w:sz w:val="7"/>
                <w:szCs w:val="7"/>
                <w:color w:val="auto"/>
              </w:rPr>
            </w:pPr>
          </w:p>
        </w:tc>
        <w:tc>
          <w:tcPr>
            <w:tcW w:w="76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1,333</w:t>
            </w:r>
          </w:p>
        </w:tc>
        <w:tc>
          <w:tcPr>
            <w:tcW w:w="1220" w:type="dxa"/>
            <w:vAlign w:val="bottom"/>
          </w:tcPr>
          <w:p>
            <w:pPr>
              <w:jc w:val="center"/>
              <w:spacing w:after="0" w:line="83" w:lineRule="exact"/>
              <w:rPr>
                <w:sz w:val="20"/>
                <w:szCs w:val="20"/>
                <w:color w:val="auto"/>
              </w:rPr>
            </w:pPr>
            <w:r>
              <w:rPr>
                <w:rFonts w:ascii="Arial" w:cs="Arial" w:eastAsia="Arial" w:hAnsi="Arial"/>
                <w:sz w:val="8"/>
                <w:szCs w:val="8"/>
                <w:color w:val="auto"/>
                <w:w w:val="96"/>
              </w:rPr>
              <w:t>5.00%</w:t>
            </w:r>
          </w:p>
        </w:tc>
        <w:tc>
          <w:tcPr>
            <w:tcW w:w="840" w:type="dxa"/>
            <w:vAlign w:val="bottom"/>
            <w:gridSpan w:val="2"/>
          </w:tcPr>
          <w:p>
            <w:pPr>
              <w:jc w:val="center"/>
              <w:ind w:left="59"/>
              <w:spacing w:after="0" w:line="83" w:lineRule="exact"/>
              <w:rPr>
                <w:sz w:val="20"/>
                <w:szCs w:val="20"/>
                <w:color w:val="auto"/>
              </w:rPr>
            </w:pPr>
            <w:r>
              <w:rPr>
                <w:rFonts w:ascii="Arial" w:cs="Arial" w:eastAsia="Arial" w:hAnsi="Arial"/>
                <w:sz w:val="8"/>
                <w:szCs w:val="8"/>
                <w:color w:val="auto"/>
                <w:w w:val="96"/>
              </w:rPr>
              <w:t>5.00%</w:t>
            </w:r>
          </w:p>
        </w:tc>
        <w:tc>
          <w:tcPr>
            <w:tcW w:w="0" w:type="dxa"/>
            <w:vAlign w:val="bottom"/>
          </w:tcPr>
          <w:p>
            <w:pPr>
              <w:spacing w:after="0"/>
              <w:rPr>
                <w:sz w:val="1"/>
                <w:szCs w:val="1"/>
                <w:color w:val="auto"/>
              </w:rPr>
            </w:pPr>
          </w:p>
        </w:tc>
      </w:tr>
      <w:tr>
        <w:trPr>
          <w:trHeight w:val="83"/>
        </w:trPr>
        <w:tc>
          <w:tcPr>
            <w:tcW w:w="3920" w:type="dxa"/>
            <w:vAlign w:val="bottom"/>
            <w:gridSpan w:val="2"/>
            <w:shd w:val="clear" w:color="auto" w:fill="CCEEFF"/>
          </w:tcPr>
          <w:p>
            <w:pPr>
              <w:spacing w:after="0" w:line="83" w:lineRule="exact"/>
              <w:rPr>
                <w:sz w:val="20"/>
                <w:szCs w:val="20"/>
                <w:color w:val="auto"/>
              </w:rPr>
            </w:pPr>
            <w:r>
              <w:rPr>
                <w:rFonts w:ascii="Arial" w:cs="Arial" w:eastAsia="Arial" w:hAnsi="Arial"/>
                <w:sz w:val="8"/>
                <w:szCs w:val="8"/>
                <w:color w:val="auto"/>
              </w:rPr>
              <w:t>Denominated in foreign currency ("FC")(4)</w:t>
            </w: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920" w:type="dxa"/>
            <w:vAlign w:val="bottom"/>
            <w:gridSpan w:val="2"/>
          </w:tcPr>
          <w:p>
            <w:pPr>
              <w:ind w:left="40"/>
              <w:spacing w:after="0" w:line="83" w:lineRule="exact"/>
              <w:rPr>
                <w:sz w:val="20"/>
                <w:szCs w:val="20"/>
                <w:color w:val="auto"/>
              </w:rPr>
            </w:pPr>
            <w:r>
              <w:rPr>
                <w:rFonts w:ascii="Arial" w:cs="Arial" w:eastAsia="Arial" w:hAnsi="Arial"/>
                <w:sz w:val="8"/>
                <w:szCs w:val="8"/>
                <w:color w:val="auto"/>
              </w:rPr>
              <w:t>NAB Corporate Term Loan (AU)</w:t>
            </w:r>
          </w:p>
        </w:tc>
        <w:tc>
          <w:tcPr>
            <w:tcW w:w="1560" w:type="dxa"/>
            <w:vAlign w:val="bottom"/>
            <w:gridSpan w:val="2"/>
          </w:tcPr>
          <w:p>
            <w:pPr>
              <w:jc w:val="center"/>
              <w:ind w:right="80"/>
              <w:spacing w:after="0" w:line="83" w:lineRule="exact"/>
              <w:rPr>
                <w:sz w:val="20"/>
                <w:szCs w:val="20"/>
                <w:color w:val="auto"/>
              </w:rPr>
            </w:pPr>
            <w:r>
              <w:rPr>
                <w:rFonts w:ascii="Arial" w:cs="Arial" w:eastAsia="Arial" w:hAnsi="Arial"/>
                <w:sz w:val="8"/>
                <w:szCs w:val="8"/>
                <w:color w:val="auto"/>
              </w:rPr>
              <w:t>June 30, 2024</w:t>
            </w:r>
          </w:p>
        </w:tc>
        <w:tc>
          <w:tcPr>
            <w:tcW w:w="140" w:type="dxa"/>
            <w:vAlign w:val="bottom"/>
          </w:tcPr>
          <w:p>
            <w:pPr>
              <w:spacing w:after="0"/>
              <w:rPr>
                <w:sz w:val="7"/>
                <w:szCs w:val="7"/>
                <w:color w:val="auto"/>
              </w:rPr>
            </w:pP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68,731</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68,731</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jc w:val="right"/>
              <w:spacing w:after="0" w:line="83" w:lineRule="exact"/>
              <w:rPr>
                <w:sz w:val="20"/>
                <w:szCs w:val="20"/>
                <w:color w:val="auto"/>
              </w:rPr>
            </w:pPr>
            <w:r>
              <w:rPr>
                <w:rFonts w:ascii="Arial" w:cs="Arial" w:eastAsia="Arial" w:hAnsi="Arial"/>
                <w:sz w:val="8"/>
                <w:szCs w:val="8"/>
                <w:color w:val="auto"/>
              </w:rPr>
              <w:t>68,662</w:t>
            </w:r>
          </w:p>
        </w:tc>
        <w:tc>
          <w:tcPr>
            <w:tcW w:w="80" w:type="dxa"/>
            <w:vAlign w:val="bottom"/>
          </w:tcPr>
          <w:p>
            <w:pPr>
              <w:spacing w:after="0"/>
              <w:rPr>
                <w:sz w:val="7"/>
                <w:szCs w:val="7"/>
                <w:color w:val="auto"/>
              </w:rPr>
            </w:pPr>
          </w:p>
        </w:tc>
        <w:tc>
          <w:tcPr>
            <w:tcW w:w="1220" w:type="dxa"/>
            <w:vAlign w:val="bottom"/>
          </w:tcPr>
          <w:p>
            <w:pPr>
              <w:jc w:val="center"/>
              <w:spacing w:after="0" w:line="83" w:lineRule="exact"/>
              <w:rPr>
                <w:sz w:val="20"/>
                <w:szCs w:val="20"/>
                <w:color w:val="auto"/>
              </w:rPr>
            </w:pPr>
            <w:r>
              <w:rPr>
                <w:rFonts w:ascii="Arial" w:cs="Arial" w:eastAsia="Arial" w:hAnsi="Arial"/>
                <w:sz w:val="8"/>
                <w:szCs w:val="8"/>
                <w:color w:val="auto"/>
                <w:w w:val="96"/>
              </w:rPr>
              <w:t>4.82%</w:t>
            </w:r>
          </w:p>
        </w:tc>
        <w:tc>
          <w:tcPr>
            <w:tcW w:w="840" w:type="dxa"/>
            <w:vAlign w:val="bottom"/>
            <w:gridSpan w:val="2"/>
          </w:tcPr>
          <w:p>
            <w:pPr>
              <w:jc w:val="center"/>
              <w:ind w:left="59"/>
              <w:spacing w:after="0" w:line="83" w:lineRule="exact"/>
              <w:rPr>
                <w:sz w:val="20"/>
                <w:szCs w:val="20"/>
                <w:color w:val="auto"/>
              </w:rPr>
            </w:pPr>
            <w:r>
              <w:rPr>
                <w:rFonts w:ascii="Arial" w:cs="Arial" w:eastAsia="Arial" w:hAnsi="Arial"/>
                <w:sz w:val="8"/>
                <w:szCs w:val="8"/>
                <w:color w:val="auto"/>
                <w:w w:val="96"/>
              </w:rPr>
              <w:t>4.82%</w:t>
            </w:r>
          </w:p>
        </w:tc>
        <w:tc>
          <w:tcPr>
            <w:tcW w:w="0" w:type="dxa"/>
            <w:vAlign w:val="bottom"/>
          </w:tcPr>
          <w:p>
            <w:pPr>
              <w:spacing w:after="0"/>
              <w:rPr>
                <w:sz w:val="1"/>
                <w:szCs w:val="1"/>
                <w:color w:val="auto"/>
              </w:rPr>
            </w:pPr>
          </w:p>
        </w:tc>
      </w:tr>
      <w:tr>
        <w:trPr>
          <w:trHeight w:val="83"/>
        </w:trPr>
        <w:tc>
          <w:tcPr>
            <w:tcW w:w="3920" w:type="dxa"/>
            <w:vAlign w:val="bottom"/>
            <w:gridSpan w:val="2"/>
            <w:shd w:val="clear" w:color="auto" w:fill="CCEEFF"/>
          </w:tcPr>
          <w:p>
            <w:pPr>
              <w:ind w:left="40"/>
              <w:spacing w:after="0" w:line="83" w:lineRule="exact"/>
              <w:rPr>
                <w:sz w:val="20"/>
                <w:szCs w:val="20"/>
                <w:color w:val="auto"/>
              </w:rPr>
            </w:pPr>
            <w:r>
              <w:rPr>
                <w:rFonts w:ascii="Arial" w:cs="Arial" w:eastAsia="Arial" w:hAnsi="Arial"/>
                <w:sz w:val="8"/>
                <w:szCs w:val="8"/>
                <w:color w:val="auto"/>
              </w:rPr>
              <w:t>Westpac Bank Corporate (NZ)</w:t>
            </w:r>
          </w:p>
        </w:tc>
        <w:tc>
          <w:tcPr>
            <w:tcW w:w="1560" w:type="dxa"/>
            <w:vAlign w:val="bottom"/>
            <w:gridSpan w:val="2"/>
            <w:shd w:val="clear" w:color="auto" w:fill="CCEEFF"/>
          </w:tcPr>
          <w:p>
            <w:pPr>
              <w:jc w:val="center"/>
              <w:ind w:right="100"/>
              <w:spacing w:after="0" w:line="83" w:lineRule="exact"/>
              <w:rPr>
                <w:sz w:val="20"/>
                <w:szCs w:val="20"/>
                <w:color w:val="auto"/>
              </w:rPr>
            </w:pPr>
            <w:r>
              <w:rPr>
                <w:rFonts w:ascii="Arial" w:cs="Arial" w:eastAsia="Arial" w:hAnsi="Arial"/>
                <w:sz w:val="8"/>
                <w:szCs w:val="8"/>
                <w:color w:val="auto"/>
              </w:rPr>
              <w:t>January 1, 2024</w:t>
            </w:r>
          </w:p>
        </w:tc>
        <w:tc>
          <w:tcPr>
            <w:tcW w:w="14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8,777</w:t>
            </w:r>
          </w:p>
        </w:tc>
        <w:tc>
          <w:tcPr>
            <w:tcW w:w="16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8,777</w:t>
            </w:r>
          </w:p>
        </w:tc>
        <w:tc>
          <w:tcPr>
            <w:tcW w:w="26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8,777</w:t>
            </w:r>
          </w:p>
        </w:tc>
        <w:tc>
          <w:tcPr>
            <w:tcW w:w="1220" w:type="dxa"/>
            <w:vAlign w:val="bottom"/>
            <w:shd w:val="clear" w:color="auto" w:fill="CCEEFF"/>
          </w:tcPr>
          <w:p>
            <w:pPr>
              <w:jc w:val="center"/>
              <w:spacing w:after="0" w:line="83" w:lineRule="exact"/>
              <w:rPr>
                <w:sz w:val="20"/>
                <w:szCs w:val="20"/>
                <w:color w:val="auto"/>
              </w:rPr>
            </w:pPr>
            <w:r>
              <w:rPr>
                <w:rFonts w:ascii="Arial" w:cs="Arial" w:eastAsia="Arial" w:hAnsi="Arial"/>
                <w:sz w:val="8"/>
                <w:szCs w:val="8"/>
                <w:color w:val="auto"/>
                <w:w w:val="96"/>
              </w:rPr>
              <w:t>6.95%</w:t>
            </w:r>
          </w:p>
        </w:tc>
        <w:tc>
          <w:tcPr>
            <w:tcW w:w="840" w:type="dxa"/>
            <w:vAlign w:val="bottom"/>
            <w:gridSpan w:val="2"/>
            <w:shd w:val="clear" w:color="auto" w:fill="CCEEFF"/>
          </w:tcPr>
          <w:p>
            <w:pPr>
              <w:jc w:val="center"/>
              <w:ind w:left="59"/>
              <w:spacing w:after="0" w:line="83" w:lineRule="exact"/>
              <w:rPr>
                <w:sz w:val="20"/>
                <w:szCs w:val="20"/>
                <w:color w:val="auto"/>
              </w:rPr>
            </w:pPr>
            <w:r>
              <w:rPr>
                <w:rFonts w:ascii="Arial" w:cs="Arial" w:eastAsia="Arial" w:hAnsi="Arial"/>
                <w:sz w:val="8"/>
                <w:szCs w:val="8"/>
                <w:color w:val="auto"/>
                <w:w w:val="96"/>
              </w:rPr>
              <w:t>6.95%</w:t>
            </w:r>
          </w:p>
        </w:tc>
        <w:tc>
          <w:tcPr>
            <w:tcW w:w="0" w:type="dxa"/>
            <w:vAlign w:val="bottom"/>
          </w:tcPr>
          <w:p>
            <w:pPr>
              <w:spacing w:after="0"/>
              <w:rPr>
                <w:sz w:val="1"/>
                <w:szCs w:val="1"/>
                <w:color w:val="auto"/>
              </w:rPr>
            </w:pPr>
          </w:p>
        </w:tc>
      </w:tr>
      <w:tr>
        <w:trPr>
          <w:trHeight w:val="70"/>
        </w:trPr>
        <w:tc>
          <w:tcPr>
            <w:tcW w:w="3920" w:type="dxa"/>
            <w:vAlign w:val="bottom"/>
            <w:gridSpan w:val="2"/>
          </w:tcPr>
          <w:p>
            <w:pPr>
              <w:spacing w:after="0" w:line="70" w:lineRule="exact"/>
              <w:rPr>
                <w:sz w:val="20"/>
                <w:szCs w:val="20"/>
                <w:color w:val="auto"/>
              </w:rPr>
            </w:pPr>
            <w:r>
              <w:rPr>
                <w:rFonts w:ascii="Arial" w:cs="Arial" w:eastAsia="Arial" w:hAnsi="Arial"/>
                <w:sz w:val="8"/>
                <w:szCs w:val="8"/>
                <w:b w:val="1"/>
                <w:bCs w:val="1"/>
                <w:color w:val="auto"/>
              </w:rPr>
              <w:t>Total</w:t>
            </w: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227,633</w:t>
            </w:r>
          </w:p>
        </w:tc>
        <w:tc>
          <w:tcPr>
            <w:tcW w:w="80" w:type="dxa"/>
            <w:vAlign w:val="bottom"/>
          </w:tcPr>
          <w:p>
            <w:pPr>
              <w:spacing w:after="0"/>
              <w:rPr>
                <w:sz w:val="6"/>
                <w:szCs w:val="6"/>
                <w:color w:val="auto"/>
              </w:rPr>
            </w:pPr>
          </w:p>
        </w:tc>
        <w:tc>
          <w:tcPr>
            <w:tcW w:w="160" w:type="dxa"/>
            <w:vAlign w:val="bottom"/>
            <w:tcBorders>
              <w:top w:val="single" w:sz="8" w:color="auto"/>
              <w:bottom w:val="single" w:sz="8" w:color="auto"/>
            </w:tcBorders>
          </w:tcPr>
          <w:p>
            <w:pPr>
              <w:jc w:val="right"/>
              <w:ind w:right="59"/>
              <w:spacing w:after="0" w:line="70" w:lineRule="exact"/>
              <w:rPr>
                <w:sz w:val="20"/>
                <w:szCs w:val="20"/>
                <w:color w:val="auto"/>
              </w:rPr>
            </w:pPr>
            <w:r>
              <w:rPr>
                <w:rFonts w:ascii="Arial" w:cs="Arial" w:eastAsia="Arial" w:hAnsi="Arial"/>
                <w:sz w:val="8"/>
                <w:szCs w:val="8"/>
                <w:b w:val="1"/>
                <w:bCs w:val="1"/>
                <w:color w:val="auto"/>
                <w:w w:val="88"/>
              </w:rPr>
              <w:t>$</w:t>
            </w:r>
          </w:p>
        </w:tc>
        <w:tc>
          <w:tcPr>
            <w:tcW w:w="80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215,633</w:t>
            </w:r>
          </w:p>
        </w:tc>
        <w:tc>
          <w:tcPr>
            <w:tcW w:w="80" w:type="dxa"/>
            <w:vAlign w:val="bottom"/>
          </w:tcPr>
          <w:p>
            <w:pPr>
              <w:spacing w:after="0"/>
              <w:rPr>
                <w:sz w:val="6"/>
                <w:szCs w:val="6"/>
                <w:color w:val="auto"/>
              </w:rPr>
            </w:pPr>
          </w:p>
        </w:tc>
        <w:tc>
          <w:tcPr>
            <w:tcW w:w="2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213,664</w:t>
            </w: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60" w:hanging="190"/>
        <w:spacing w:after="0"/>
        <w:tabs>
          <w:tab w:leader="none" w:pos="360" w:val="left"/>
        </w:tabs>
        <w:numPr>
          <w:ilvl w:val="0"/>
          <w:numId w:val="5"/>
        </w:numPr>
        <w:rPr>
          <w:rFonts w:ascii="Arial" w:cs="Arial" w:eastAsia="Arial" w:hAnsi="Arial"/>
          <w:sz w:val="8"/>
          <w:szCs w:val="8"/>
          <w:color w:val="auto"/>
        </w:rPr>
      </w:pPr>
      <w:r>
        <w:rPr>
          <w:rFonts w:ascii="Arial" w:cs="Arial" w:eastAsia="Arial" w:hAnsi="Arial"/>
          <w:sz w:val="8"/>
          <w:szCs w:val="8"/>
          <w:color w:val="auto"/>
        </w:rPr>
        <w:t>Net of deferred financing costs amounting to $2.0 million.</w:t>
      </w:r>
    </w:p>
    <w:p>
      <w:pPr>
        <w:ind w:left="360" w:hanging="190"/>
        <w:spacing w:after="0" w:line="215" w:lineRule="auto"/>
        <w:tabs>
          <w:tab w:leader="none" w:pos="360" w:val="left"/>
        </w:tabs>
        <w:numPr>
          <w:ilvl w:val="0"/>
          <w:numId w:val="5"/>
        </w:numPr>
        <w:rPr>
          <w:rFonts w:ascii="Arial" w:cs="Arial" w:eastAsia="Arial" w:hAnsi="Arial"/>
          <w:sz w:val="8"/>
          <w:szCs w:val="8"/>
          <w:color w:val="auto"/>
        </w:rPr>
      </w:pPr>
      <w:r>
        <w:rPr>
          <w:rFonts w:ascii="Arial" w:cs="Arial" w:eastAsia="Arial" w:hAnsi="Arial"/>
          <w:sz w:val="8"/>
          <w:szCs w:val="8"/>
          <w:color w:val="auto"/>
        </w:rPr>
        <w:t>The interest rate derivative associated with the Minetta &amp; Orpheum loan provided for an effective fixed rate of 5.15%.</w:t>
      </w:r>
    </w:p>
    <w:p>
      <w:pPr>
        <w:ind w:left="360" w:hanging="190"/>
        <w:spacing w:after="0" w:line="215" w:lineRule="auto"/>
        <w:tabs>
          <w:tab w:leader="none" w:pos="360" w:val="left"/>
        </w:tabs>
        <w:numPr>
          <w:ilvl w:val="0"/>
          <w:numId w:val="5"/>
        </w:numPr>
        <w:rPr>
          <w:rFonts w:ascii="Arial" w:cs="Arial" w:eastAsia="Arial" w:hAnsi="Arial"/>
          <w:sz w:val="8"/>
          <w:szCs w:val="8"/>
          <w:color w:val="auto"/>
        </w:rPr>
      </w:pPr>
      <w:r>
        <w:rPr>
          <w:rFonts w:ascii="Arial" w:cs="Arial" w:eastAsia="Arial" w:hAnsi="Arial"/>
          <w:sz w:val="8"/>
          <w:szCs w:val="8"/>
          <w:color w:val="auto"/>
        </w:rPr>
        <w:t>The interest rate derivative associated with the Union Square loan provided for an effective fixed rate of 7.40%.</w:t>
      </w:r>
    </w:p>
    <w:p>
      <w:pPr>
        <w:ind w:left="360" w:hanging="190"/>
        <w:spacing w:after="0" w:line="215" w:lineRule="auto"/>
        <w:tabs>
          <w:tab w:leader="none" w:pos="360" w:val="left"/>
        </w:tabs>
        <w:numPr>
          <w:ilvl w:val="0"/>
          <w:numId w:val="5"/>
        </w:numPr>
        <w:rPr>
          <w:rFonts w:ascii="Arial" w:cs="Arial" w:eastAsia="Arial" w:hAnsi="Arial"/>
          <w:sz w:val="8"/>
          <w:szCs w:val="8"/>
          <w:color w:val="auto"/>
        </w:rPr>
      </w:pPr>
      <w:r>
        <w:rPr>
          <w:rFonts w:ascii="Arial" w:cs="Arial" w:eastAsia="Arial" w:hAnsi="Arial"/>
          <w:sz w:val="8"/>
          <w:szCs w:val="8"/>
          <w:color w:val="auto"/>
        </w:rPr>
        <w:t>The contractual facilities and outstanding balances of the foreign currency denominated borrowings were translated into U.S. dollars based on the applicable exchange rates as of December 31, 2022.</w:t>
      </w:r>
    </w:p>
    <w:p>
      <w:pPr>
        <w:ind w:left="360" w:hanging="190"/>
        <w:spacing w:after="0"/>
        <w:tabs>
          <w:tab w:leader="none" w:pos="360" w:val="left"/>
        </w:tabs>
        <w:numPr>
          <w:ilvl w:val="0"/>
          <w:numId w:val="5"/>
        </w:numPr>
        <w:rPr>
          <w:rFonts w:ascii="Arial" w:cs="Arial" w:eastAsia="Arial" w:hAnsi="Arial"/>
          <w:sz w:val="8"/>
          <w:szCs w:val="8"/>
          <w:color w:val="auto"/>
        </w:rPr>
      </w:pPr>
      <w:r>
        <w:rPr>
          <w:rFonts w:ascii="Arial" w:cs="Arial" w:eastAsia="Arial" w:hAnsi="Arial"/>
          <w:sz w:val="8"/>
          <w:szCs w:val="8"/>
          <w:color w:val="auto"/>
        </w:rPr>
        <w:t>This financing facilities were extended after December 31, 2022.</w:t>
      </w:r>
    </w:p>
    <w:p>
      <w:pPr>
        <w:spacing w:after="0" w:line="128" w:lineRule="exact"/>
        <w:rPr>
          <w:sz w:val="20"/>
          <w:szCs w:val="20"/>
          <w:color w:val="auto"/>
        </w:rPr>
      </w:pPr>
    </w:p>
    <w:p>
      <w:pPr>
        <w:spacing w:after="0"/>
        <w:rPr>
          <w:sz w:val="20"/>
          <w:szCs w:val="20"/>
          <w:color w:val="auto"/>
        </w:rPr>
      </w:pPr>
      <w:r>
        <w:rPr>
          <w:rFonts w:ascii="Arial" w:cs="Arial" w:eastAsia="Arial" w:hAnsi="Arial"/>
          <w:sz w:val="10"/>
          <w:szCs w:val="10"/>
          <w:color w:val="auto"/>
        </w:rPr>
        <w:t>Our loan arrangements are presented, net of the deferred financing costs, on the face of our consolidated balance sheet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788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Balance Sheet Caption (Dollars in thousands)</w:t>
            </w:r>
          </w:p>
        </w:tc>
        <w:tc>
          <w:tcPr>
            <w:tcW w:w="200" w:type="dxa"/>
            <w:vAlign w:val="bottom"/>
          </w:tcPr>
          <w:p>
            <w:pPr>
              <w:spacing w:after="0"/>
              <w:rPr>
                <w:sz w:val="7"/>
                <w:szCs w:val="7"/>
                <w:color w:val="auto"/>
              </w:rPr>
            </w:pPr>
          </w:p>
        </w:tc>
        <w:tc>
          <w:tcPr>
            <w:tcW w:w="1080" w:type="dxa"/>
            <w:vAlign w:val="bottom"/>
          </w:tcPr>
          <w:p>
            <w:pPr>
              <w:jc w:val="right"/>
              <w:ind w:right="313"/>
              <w:spacing w:after="0"/>
              <w:rPr>
                <w:sz w:val="20"/>
                <w:szCs w:val="20"/>
                <w:color w:val="auto"/>
              </w:rPr>
            </w:pPr>
            <w:r>
              <w:rPr>
                <w:rFonts w:ascii="Arial" w:cs="Arial" w:eastAsia="Arial" w:hAnsi="Arial"/>
                <w:sz w:val="8"/>
                <w:szCs w:val="8"/>
                <w:b w:val="1"/>
                <w:bCs w:val="1"/>
                <w:color w:val="auto"/>
              </w:rPr>
              <w:t>September 30,</w:t>
            </w: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jc w:val="right"/>
              <w:ind w:right="333"/>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98"/>
        </w:trPr>
        <w:tc>
          <w:tcPr>
            <w:tcW w:w="78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jc w:val="right"/>
              <w:ind w:right="493"/>
              <w:spacing w:after="0"/>
              <w:rPr>
                <w:sz w:val="20"/>
                <w:szCs w:val="20"/>
                <w:color w:val="auto"/>
              </w:rPr>
            </w:pPr>
            <w:r>
              <w:rPr>
                <w:rFonts w:ascii="Arial" w:cs="Arial" w:eastAsia="Arial" w:hAnsi="Arial"/>
                <w:sz w:val="8"/>
                <w:szCs w:val="8"/>
                <w:b w:val="1"/>
                <w:bCs w:val="1"/>
                <w:color w:val="auto"/>
              </w:rPr>
              <w:t>2023</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jc w:val="right"/>
              <w:ind w:right="513"/>
              <w:spacing w:after="0"/>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100"/>
        </w:trPr>
        <w:tc>
          <w:tcPr>
            <w:tcW w:w="772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color w:val="auto"/>
              </w:rPr>
              <w:t>Debt - current portion</w:t>
            </w:r>
          </w:p>
        </w:tc>
        <w:tc>
          <w:tcPr>
            <w:tcW w:w="16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5"/>
                <w:szCs w:val="5"/>
                <w:color w:val="auto"/>
                <w:w w:val="70"/>
              </w:rPr>
              <w:t>$</w:t>
            </w:r>
          </w:p>
        </w:tc>
        <w:tc>
          <w:tcPr>
            <w:tcW w:w="108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40,402</w:t>
            </w:r>
          </w:p>
        </w:tc>
        <w:tc>
          <w:tcPr>
            <w:tcW w:w="1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jc w:val="right"/>
              <w:ind w:right="111"/>
              <w:spacing w:after="0" w:line="100" w:lineRule="exact"/>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37,279</w:t>
            </w:r>
          </w:p>
        </w:tc>
        <w:tc>
          <w:tcPr>
            <w:tcW w:w="0" w:type="dxa"/>
            <w:vAlign w:val="bottom"/>
          </w:tcPr>
          <w:p>
            <w:pPr>
              <w:spacing w:after="0"/>
              <w:rPr>
                <w:sz w:val="1"/>
                <w:szCs w:val="1"/>
                <w:color w:val="auto"/>
              </w:rPr>
            </w:pPr>
          </w:p>
        </w:tc>
      </w:tr>
      <w:tr>
        <w:trPr>
          <w:trHeight w:val="105"/>
        </w:trPr>
        <w:tc>
          <w:tcPr>
            <w:tcW w:w="7880" w:type="dxa"/>
            <w:vAlign w:val="bottom"/>
            <w:gridSpan w:val="2"/>
          </w:tcPr>
          <w:p>
            <w:pPr>
              <w:spacing w:after="0" w:line="105" w:lineRule="exact"/>
              <w:rPr>
                <w:sz w:val="20"/>
                <w:szCs w:val="20"/>
                <w:color w:val="auto"/>
              </w:rPr>
            </w:pPr>
            <w:r>
              <w:rPr>
                <w:rFonts w:ascii="Arial" w:cs="Arial" w:eastAsia="Arial" w:hAnsi="Arial"/>
                <w:sz w:val="10"/>
                <w:szCs w:val="10"/>
                <w:color w:val="auto"/>
              </w:rPr>
              <w:t>Debt - long-term portion</w:t>
            </w:r>
          </w:p>
        </w:tc>
        <w:tc>
          <w:tcPr>
            <w:tcW w:w="20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138,560</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148,688</w:t>
            </w:r>
          </w:p>
        </w:tc>
        <w:tc>
          <w:tcPr>
            <w:tcW w:w="0" w:type="dxa"/>
            <w:vAlign w:val="bottom"/>
          </w:tcPr>
          <w:p>
            <w:pPr>
              <w:spacing w:after="0"/>
              <w:rPr>
                <w:sz w:val="1"/>
                <w:szCs w:val="1"/>
                <w:color w:val="auto"/>
              </w:rPr>
            </w:pPr>
          </w:p>
        </w:tc>
      </w:tr>
      <w:tr>
        <w:trPr>
          <w:trHeight w:val="105"/>
        </w:trPr>
        <w:tc>
          <w:tcPr>
            <w:tcW w:w="788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Subordinated debt - current portion</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776</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747</w:t>
            </w:r>
          </w:p>
        </w:tc>
        <w:tc>
          <w:tcPr>
            <w:tcW w:w="0" w:type="dxa"/>
            <w:vAlign w:val="bottom"/>
          </w:tcPr>
          <w:p>
            <w:pPr>
              <w:spacing w:after="0"/>
              <w:rPr>
                <w:sz w:val="1"/>
                <w:szCs w:val="1"/>
                <w:color w:val="auto"/>
              </w:rPr>
            </w:pPr>
          </w:p>
        </w:tc>
      </w:tr>
      <w:tr>
        <w:trPr>
          <w:trHeight w:val="105"/>
        </w:trPr>
        <w:tc>
          <w:tcPr>
            <w:tcW w:w="7880" w:type="dxa"/>
            <w:vAlign w:val="bottom"/>
            <w:tcBorders>
              <w:bottom w:val="single" w:sz="8" w:color="CCEEFF"/>
            </w:tcBorders>
            <w:gridSpan w:val="2"/>
          </w:tcPr>
          <w:p>
            <w:pPr>
              <w:spacing w:after="0" w:line="105" w:lineRule="exact"/>
              <w:rPr>
                <w:sz w:val="20"/>
                <w:szCs w:val="20"/>
                <w:color w:val="auto"/>
              </w:rPr>
            </w:pPr>
            <w:r>
              <w:rPr>
                <w:rFonts w:ascii="Arial" w:cs="Arial" w:eastAsia="Arial" w:hAnsi="Arial"/>
                <w:sz w:val="10"/>
                <w:szCs w:val="10"/>
                <w:color w:val="auto"/>
              </w:rPr>
              <w:t>Subordinated debt - long-term portion</w:t>
            </w: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27,117</w:t>
            </w:r>
          </w:p>
        </w:tc>
        <w:tc>
          <w:tcPr>
            <w:tcW w:w="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26,950</w:t>
            </w:r>
          </w:p>
        </w:tc>
        <w:tc>
          <w:tcPr>
            <w:tcW w:w="0" w:type="dxa"/>
            <w:vAlign w:val="bottom"/>
          </w:tcPr>
          <w:p>
            <w:pPr>
              <w:spacing w:after="0"/>
              <w:rPr>
                <w:sz w:val="1"/>
                <w:szCs w:val="1"/>
                <w:color w:val="auto"/>
              </w:rPr>
            </w:pPr>
          </w:p>
        </w:tc>
      </w:tr>
      <w:tr>
        <w:trPr>
          <w:trHeight w:val="93"/>
        </w:trPr>
        <w:tc>
          <w:tcPr>
            <w:tcW w:w="7880" w:type="dxa"/>
            <w:vAlign w:val="bottom"/>
            <w:tcBorders>
              <w:bottom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 borrowings</w:t>
            </w:r>
          </w:p>
        </w:tc>
        <w:tc>
          <w:tcPr>
            <w:tcW w:w="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5"/>
                <w:szCs w:val="5"/>
                <w:b w:val="1"/>
                <w:bCs w:val="1"/>
                <w:color w:val="auto"/>
                <w:w w:val="70"/>
              </w:rPr>
              <w:t>$</w:t>
            </w:r>
          </w:p>
        </w:tc>
        <w:tc>
          <w:tcPr>
            <w:tcW w:w="10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206,855</w:t>
            </w:r>
          </w:p>
        </w:tc>
        <w:tc>
          <w:tcPr>
            <w:tcW w:w="16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ind w:right="111"/>
              <w:spacing w:after="0" w:line="93" w:lineRule="exact"/>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213,664</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Bank of America Credit Facility</w:t>
      </w:r>
    </w:p>
    <w:p>
      <w:pPr>
        <w:spacing w:after="0" w:line="101" w:lineRule="exact"/>
        <w:rPr>
          <w:sz w:val="20"/>
          <w:szCs w:val="20"/>
          <w:color w:val="auto"/>
        </w:rPr>
      </w:pPr>
    </w:p>
    <w:p>
      <w:pPr>
        <w:spacing w:after="0" w:line="231" w:lineRule="auto"/>
        <w:rPr>
          <w:sz w:val="20"/>
          <w:szCs w:val="20"/>
          <w:color w:val="auto"/>
        </w:rPr>
      </w:pPr>
      <w:r>
        <w:rPr>
          <w:rFonts w:ascii="Arial" w:cs="Arial" w:eastAsia="Arial" w:hAnsi="Arial"/>
          <w:sz w:val="10"/>
          <w:szCs w:val="10"/>
          <w:color w:val="auto"/>
        </w:rPr>
        <w:t>Our Bank of America facility now matures on September 4, 2024, following a Q1 2023 loan modification, which, among other things, extended the maturity date from March 1, 2024. The current facility requires monthly repayments of $725,000 commencing in May 2023, with a balloon payment upon maturity. Interest is charged at a fixed rate of 3.0% above the Bank of America Prime rate, which itself has a floor of 1.0%. Payment-in-kind interest of 0.5% accrues from January 1, 2024, but will be waived in the event of repayment of the entire debt prior to April 1, 2024.</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Minetta and Orpheum Theatres Loan</w:t>
      </w:r>
    </w:p>
    <w:p>
      <w:pPr>
        <w:spacing w:after="0" w:line="101" w:lineRule="exact"/>
        <w:rPr>
          <w:sz w:val="20"/>
          <w:szCs w:val="20"/>
          <w:color w:val="auto"/>
        </w:rPr>
      </w:pPr>
    </w:p>
    <w:p>
      <w:pPr>
        <w:jc w:val="both"/>
        <w:ind w:right="20"/>
        <w:spacing w:after="0" w:line="231" w:lineRule="auto"/>
        <w:rPr>
          <w:sz w:val="20"/>
          <w:szCs w:val="20"/>
          <w:color w:val="auto"/>
        </w:rPr>
      </w:pPr>
      <w:r>
        <w:rPr>
          <w:rFonts w:ascii="Arial" w:cs="Arial" w:eastAsia="Arial" w:hAnsi="Arial"/>
          <w:sz w:val="10"/>
          <w:szCs w:val="10"/>
          <w:color w:val="auto"/>
        </w:rPr>
        <w:t>On October 12, 2018, we refinanced our $7.5 million loan with Santander Bank, which is secured by our Minetta and Orpheum Theatres, with a loan for a five-year term of $8.0 million. Such modification was not considered to be substantial under U.S. GAAP. Our current loan with Bank Santander matured on November 1, 2023. Based on conversations with the Bank Santander, and while no assurances can be given, we understand that Bank Santander is preparing a proposal for a short term extension of that loan.</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U.S. Corporate Office Term Loan</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On December 13, 2016, we obtained a ten-year $8.4 million mortgage loan on our Culver City building at a fixed annual interest rate of 4.64%. On June 26, 2017, we obtained a further $1.5 million at a fixed annual interest rate of 4.44%.</w:t>
      </w:r>
    </w:p>
    <w:p>
      <w:pPr>
        <w:spacing w:after="0" w:line="8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Cinemas 1,2,3 Term Loan</w:t>
      </w:r>
    </w:p>
    <w:p>
      <w:pPr>
        <w:spacing w:after="0" w:line="101" w:lineRule="exact"/>
        <w:rPr>
          <w:sz w:val="20"/>
          <w:szCs w:val="20"/>
          <w:color w:val="auto"/>
        </w:rPr>
      </w:pPr>
    </w:p>
    <w:p>
      <w:pPr>
        <w:jc w:val="both"/>
        <w:ind w:right="20"/>
        <w:spacing w:after="0" w:line="237" w:lineRule="auto"/>
        <w:rPr>
          <w:sz w:val="20"/>
          <w:szCs w:val="20"/>
          <w:color w:val="auto"/>
        </w:rPr>
      </w:pPr>
      <w:r>
        <w:rPr>
          <w:rFonts w:ascii="Arial" w:cs="Arial" w:eastAsia="Arial" w:hAnsi="Arial"/>
          <w:sz w:val="10"/>
          <w:szCs w:val="10"/>
          <w:color w:val="auto"/>
        </w:rPr>
        <w:t>Our Cinemas 1,2,3 Term Loan is held by Sutton Hill Properties LLC (“SHP”), a 75% owned subsidiary of RDI. On September 29, 2023, we extended the maturity of this loan from October 3, 2023, to October 1, 2024. The loan is with Valley National Bank, carries an interest rate of 3.50% above monthly SOFR, with a floor of 7.50%, and includes provisions for a prepaid interest reserve.</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Union Square Financing</w:t>
      </w:r>
    </w:p>
    <w:p>
      <w:pPr>
        <w:spacing w:after="0" w:line="101" w:lineRule="exact"/>
        <w:rPr>
          <w:sz w:val="20"/>
          <w:szCs w:val="20"/>
          <w:color w:val="auto"/>
        </w:rPr>
      </w:pPr>
    </w:p>
    <w:p>
      <w:pPr>
        <w:ind w:right="220"/>
        <w:spacing w:after="0" w:line="237" w:lineRule="auto"/>
        <w:rPr>
          <w:sz w:val="20"/>
          <w:szCs w:val="20"/>
          <w:color w:val="auto"/>
        </w:rPr>
      </w:pPr>
      <w:r>
        <w:rPr>
          <w:rFonts w:ascii="Arial" w:cs="Arial" w:eastAsia="Arial" w:hAnsi="Arial"/>
          <w:sz w:val="10"/>
          <w:szCs w:val="10"/>
          <w:color w:val="auto"/>
        </w:rPr>
        <w:t>On May 7, 2021, we closed on a new three-year $55.0 million loan facility with Emerald Creek Capital secured by our 44 Union Square property and certain limited guarantees. The facility bears a variable interest rate of one month LIBOR plus 6.9% with a floor of 7.0 %</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80" w:right="640" w:bottom="1440" w:gutter="0" w:footer="0" w:header="0"/>
        </w:sectPr>
      </w:pPr>
    </w:p>
    <w:bookmarkStart w:id="17" w:name="page18"/>
    <w:bookmarkEnd w:id="17"/>
    <w:p>
      <w:pPr>
        <w:ind w:right="20"/>
        <w:spacing w:after="0" w:line="237" w:lineRule="auto"/>
        <w:rPr>
          <w:sz w:val="20"/>
          <w:szCs w:val="20"/>
          <w:color w:val="auto"/>
        </w:rPr>
      </w:pPr>
      <w:r>
        <w:rPr>
          <w:rFonts w:ascii="Arial" w:cs="Arial" w:eastAsia="Arial" w:hAnsi="Arial"/>
          <w:sz w:val="10"/>
          <w:szCs w:val="10"/>
          <w:color w:val="auto"/>
        </w:rPr>
        <w:t>and includes provisions for a prepaid interest and property tax reserve fund. The loan has two 12-month options to extend, and may be repaid at any time, without the payment of any premium. As these options are within our control, we continue to keep the loan classified as long-term. The loan currently carries an interest rate of 12.52%.</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Purchase Money Promissory Note</w:t>
      </w:r>
    </w:p>
    <w:p>
      <w:pPr>
        <w:spacing w:after="0" w:line="101" w:lineRule="exact"/>
        <w:rPr>
          <w:sz w:val="20"/>
          <w:szCs w:val="20"/>
          <w:color w:val="auto"/>
        </w:rPr>
      </w:pPr>
    </w:p>
    <w:p>
      <w:pPr>
        <w:ind w:right="20"/>
        <w:spacing w:after="0" w:line="237" w:lineRule="auto"/>
        <w:rPr>
          <w:sz w:val="20"/>
          <w:szCs w:val="20"/>
          <w:color w:val="auto"/>
        </w:rPr>
      </w:pPr>
      <w:r>
        <w:rPr>
          <w:rFonts w:ascii="Arial" w:cs="Arial" w:eastAsia="Arial" w:hAnsi="Arial"/>
          <w:sz w:val="10"/>
          <w:szCs w:val="10"/>
          <w:color w:val="auto"/>
        </w:rPr>
        <w:t>On September 18, 2019, we purchased for $5.5 million 407,000 shares of our Class A Common Stock in a privately negotiated transaction under our Share Repurchase Program. Of this amount, $ 3.5 million was paid by the issuance of a Purchase Money Promissory Note, which bears an interest rate of 5.0% per annum, payable in equal quarterly payments of principal plus accrued interest. The Purchase Money Promissory Note matures on September 18, 2024.</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Westpac Bank Corporate Credit Facility (NZ)</w:t>
      </w:r>
    </w:p>
    <w:p>
      <w:pPr>
        <w:spacing w:after="0" w:line="101" w:lineRule="exact"/>
        <w:rPr>
          <w:sz w:val="20"/>
          <w:szCs w:val="20"/>
          <w:color w:val="auto"/>
        </w:rPr>
      </w:pPr>
    </w:p>
    <w:p>
      <w:pPr>
        <w:ind w:right="100"/>
        <w:spacing w:after="0" w:line="237" w:lineRule="auto"/>
        <w:rPr>
          <w:sz w:val="20"/>
          <w:szCs w:val="20"/>
          <w:color w:val="auto"/>
        </w:rPr>
      </w:pPr>
      <w:r>
        <w:rPr>
          <w:rFonts w:ascii="Arial" w:cs="Arial" w:eastAsia="Arial" w:hAnsi="Arial"/>
          <w:sz w:val="10"/>
          <w:szCs w:val="10"/>
          <w:color w:val="auto"/>
        </w:rPr>
        <w:t>Our Westpac Corporate Credit Facility for NZ$13.8 million matures on January 1, 2024. The facility currently carries an interest rate and line of credit charge of 2.40% above the Bank Bill Bid Rate and 1.65% respectively. Westpac has waived the requirement to test certain covenants for each quarter since the third quarter of 2020, including the current quarter and the quarter ending December 31, 2023.</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Australian NAB Corporate Term Loan (AU)</w:t>
      </w:r>
    </w:p>
    <w:p>
      <w:pPr>
        <w:spacing w:after="0" w:line="101" w:lineRule="exact"/>
        <w:rPr>
          <w:sz w:val="20"/>
          <w:szCs w:val="20"/>
          <w:color w:val="auto"/>
        </w:rPr>
      </w:pPr>
    </w:p>
    <w:p>
      <w:pPr>
        <w:ind w:right="120"/>
        <w:spacing w:after="0" w:line="287" w:lineRule="auto"/>
        <w:rPr>
          <w:sz w:val="20"/>
          <w:szCs w:val="20"/>
          <w:color w:val="auto"/>
        </w:rPr>
      </w:pPr>
      <w:r>
        <w:rPr>
          <w:rFonts w:ascii="Arial" w:cs="Arial" w:eastAsia="Arial" w:hAnsi="Arial"/>
          <w:sz w:val="9"/>
          <w:szCs w:val="9"/>
          <w:color w:val="auto"/>
        </w:rPr>
        <w:t>Our Revolving Corporate Markets Loan Facility with National Australia Bank (“NAB”) matures on July 31, 2025. It currently consists of (i) a AU$100.5 million Corporate Loan facility at 1.75% above BBSY, of which AU $60.0 million is revolving and AU$40.5 million is core and (ii) a Bank Guarantee Facility of AU$5.0 million at a rate of 1.9% per annum. The last required AU$500,000 in principal payment for core Corporate Loan Facility, before maturity, was paid in full on October 31, 2023.</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13 – Other Liabilities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Other liabilities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788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940" w:type="dxa"/>
            <w:vAlign w:val="bottom"/>
          </w:tcPr>
          <w:p>
            <w:pPr>
              <w:jc w:val="right"/>
              <w:spacing w:after="0"/>
              <w:rPr>
                <w:sz w:val="20"/>
                <w:szCs w:val="20"/>
                <w:color w:val="auto"/>
              </w:rPr>
            </w:pPr>
            <w:r>
              <w:rPr>
                <w:rFonts w:ascii="Arial" w:cs="Arial" w:eastAsia="Arial" w:hAnsi="Arial"/>
                <w:sz w:val="8"/>
                <w:szCs w:val="8"/>
                <w:b w:val="1"/>
                <w:bCs w:val="1"/>
                <w:color w:val="auto"/>
              </w:rPr>
              <w:t>September 30,</w:t>
            </w: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jc w:val="right"/>
              <w:ind w:right="332"/>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98"/>
        </w:trPr>
        <w:tc>
          <w:tcPr>
            <w:tcW w:w="7880" w:type="dxa"/>
            <w:vAlign w:val="bottom"/>
            <w:gridSpan w:val="2"/>
            <w:vMerge w:val="continue"/>
          </w:tcPr>
          <w:p>
            <w:pPr>
              <w:spacing w:after="0"/>
              <w:rPr>
                <w:sz w:val="8"/>
                <w:szCs w:val="8"/>
                <w:color w:val="auto"/>
              </w:rPr>
            </w:pPr>
          </w:p>
        </w:tc>
        <w:tc>
          <w:tcPr>
            <w:tcW w:w="940" w:type="dxa"/>
            <w:vAlign w:val="bottom"/>
          </w:tcPr>
          <w:p>
            <w:pPr>
              <w:jc w:val="right"/>
              <w:ind w:right="169"/>
              <w:spacing w:after="0"/>
              <w:rPr>
                <w:sz w:val="20"/>
                <w:szCs w:val="20"/>
                <w:color w:val="auto"/>
              </w:rPr>
            </w:pPr>
            <w:r>
              <w:rPr>
                <w:rFonts w:ascii="Arial" w:cs="Arial" w:eastAsia="Arial" w:hAnsi="Arial"/>
                <w:sz w:val="8"/>
                <w:szCs w:val="8"/>
                <w:b w:val="1"/>
                <w:bCs w:val="1"/>
                <w:color w:val="auto"/>
              </w:rPr>
              <w:t>2023</w:t>
            </w: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jc w:val="right"/>
              <w:ind w:right="512"/>
              <w:spacing w:after="0"/>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100"/>
        </w:trPr>
        <w:tc>
          <w:tcPr>
            <w:tcW w:w="772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Current liabilities</w:t>
            </w:r>
          </w:p>
        </w:tc>
        <w:tc>
          <w:tcPr>
            <w:tcW w:w="16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7880" w:type="dxa"/>
            <w:vAlign w:val="bottom"/>
            <w:gridSpan w:val="2"/>
          </w:tcPr>
          <w:p>
            <w:pPr>
              <w:spacing w:after="0" w:line="105" w:lineRule="exact"/>
              <w:rPr>
                <w:sz w:val="20"/>
                <w:szCs w:val="20"/>
                <w:color w:val="auto"/>
              </w:rPr>
            </w:pPr>
            <w:r>
              <w:rPr>
                <w:rFonts w:ascii="Arial" w:cs="Arial" w:eastAsia="Arial" w:hAnsi="Arial"/>
                <w:sz w:val="10"/>
                <w:szCs w:val="10"/>
                <w:color w:val="auto"/>
              </w:rPr>
              <w:t>Lease liability</w:t>
            </w:r>
          </w:p>
        </w:tc>
        <w:tc>
          <w:tcPr>
            <w:tcW w:w="940" w:type="dxa"/>
            <w:vAlign w:val="bottom"/>
          </w:tcPr>
          <w:p>
            <w:pPr>
              <w:jc w:val="right"/>
              <w:ind w:right="869"/>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5,900</w:t>
            </w:r>
          </w:p>
        </w:tc>
        <w:tc>
          <w:tcPr>
            <w:tcW w:w="380" w:type="dxa"/>
            <w:vAlign w:val="bottom"/>
            <w:gridSpan w:val="2"/>
          </w:tcPr>
          <w:p>
            <w:pPr>
              <w:jc w:val="right"/>
              <w:ind w:right="111"/>
              <w:spacing w:after="0" w:line="105" w:lineRule="exact"/>
              <w:rPr>
                <w:sz w:val="20"/>
                <w:szCs w:val="20"/>
                <w:color w:val="auto"/>
              </w:rPr>
            </w:pPr>
            <w:r>
              <w:rPr>
                <w:rFonts w:ascii="Arial" w:cs="Arial" w:eastAsia="Arial" w:hAnsi="Arial"/>
                <w:sz w:val="10"/>
                <w:szCs w:val="10"/>
                <w:color w:val="auto"/>
              </w:rPr>
              <w:t>$</w:t>
            </w: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788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Accrued pension</w:t>
            </w:r>
          </w:p>
        </w:tc>
        <w:tc>
          <w:tcPr>
            <w:tcW w:w="9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684</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684</w:t>
            </w:r>
          </w:p>
        </w:tc>
        <w:tc>
          <w:tcPr>
            <w:tcW w:w="0" w:type="dxa"/>
            <w:vAlign w:val="bottom"/>
          </w:tcPr>
          <w:p>
            <w:pPr>
              <w:spacing w:after="0"/>
              <w:rPr>
                <w:sz w:val="1"/>
                <w:szCs w:val="1"/>
                <w:color w:val="auto"/>
              </w:rPr>
            </w:pPr>
          </w:p>
        </w:tc>
      </w:tr>
      <w:tr>
        <w:trPr>
          <w:trHeight w:val="105"/>
        </w:trPr>
        <w:tc>
          <w:tcPr>
            <w:tcW w:w="7880" w:type="dxa"/>
            <w:vAlign w:val="bottom"/>
            <w:gridSpan w:val="2"/>
          </w:tcPr>
          <w:p>
            <w:pPr>
              <w:spacing w:after="0" w:line="105" w:lineRule="exact"/>
              <w:rPr>
                <w:sz w:val="20"/>
                <w:szCs w:val="20"/>
                <w:color w:val="auto"/>
              </w:rPr>
            </w:pPr>
            <w:r>
              <w:rPr>
                <w:rFonts w:ascii="Arial" w:cs="Arial" w:eastAsia="Arial" w:hAnsi="Arial"/>
                <w:sz w:val="10"/>
                <w:szCs w:val="10"/>
                <w:color w:val="auto"/>
              </w:rPr>
              <w:t>Security deposit payable</w:t>
            </w:r>
          </w:p>
        </w:tc>
        <w:tc>
          <w:tcPr>
            <w:tcW w:w="94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53</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68</w:t>
            </w:r>
          </w:p>
        </w:tc>
        <w:tc>
          <w:tcPr>
            <w:tcW w:w="0" w:type="dxa"/>
            <w:vAlign w:val="bottom"/>
          </w:tcPr>
          <w:p>
            <w:pPr>
              <w:spacing w:after="0"/>
              <w:rPr>
                <w:sz w:val="1"/>
                <w:szCs w:val="1"/>
                <w:color w:val="auto"/>
              </w:rPr>
            </w:pPr>
          </w:p>
        </w:tc>
      </w:tr>
      <w:tr>
        <w:trPr>
          <w:trHeight w:val="105"/>
        </w:trPr>
        <w:tc>
          <w:tcPr>
            <w:tcW w:w="788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Finance lease liabilities</w:t>
            </w:r>
          </w:p>
        </w:tc>
        <w:tc>
          <w:tcPr>
            <w:tcW w:w="9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05"/>
        </w:trPr>
        <w:tc>
          <w:tcPr>
            <w:tcW w:w="7880" w:type="dxa"/>
            <w:vAlign w:val="bottom"/>
            <w:tcBorders>
              <w:bottom w:val="single" w:sz="8" w:color="CCEEFF"/>
            </w:tcBorders>
            <w:gridSpan w:val="2"/>
          </w:tcPr>
          <w:p>
            <w:pPr>
              <w:spacing w:after="0" w:line="105" w:lineRule="exact"/>
              <w:rPr>
                <w:sz w:val="20"/>
                <w:szCs w:val="20"/>
                <w:color w:val="auto"/>
              </w:rPr>
            </w:pPr>
            <w:r>
              <w:rPr>
                <w:rFonts w:ascii="Arial" w:cs="Arial" w:eastAsia="Arial" w:hAnsi="Arial"/>
                <w:sz w:val="10"/>
                <w:szCs w:val="10"/>
                <w:color w:val="auto"/>
              </w:rPr>
              <w:t>Other</w:t>
            </w:r>
          </w:p>
        </w:tc>
        <w:tc>
          <w:tcPr>
            <w:tcW w:w="9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33</w:t>
            </w:r>
          </w:p>
        </w:tc>
        <w:tc>
          <w:tcPr>
            <w:tcW w:w="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13"/>
        </w:trPr>
        <w:tc>
          <w:tcPr>
            <w:tcW w:w="7880" w:type="dxa"/>
            <w:vAlign w:val="bottom"/>
            <w:tcBorders>
              <w:bottom w:val="single" w:sz="8" w:color="CCEEFF"/>
            </w:tcBorders>
            <w:gridSpan w:val="2"/>
            <w:shd w:val="clear" w:color="auto" w:fill="CCEEFF"/>
          </w:tcPr>
          <w:p>
            <w:pPr>
              <w:ind w:left="80"/>
              <w:spacing w:after="0" w:line="93" w:lineRule="exact"/>
              <w:rPr>
                <w:sz w:val="20"/>
                <w:szCs w:val="20"/>
                <w:color w:val="auto"/>
              </w:rPr>
            </w:pPr>
            <w:r>
              <w:rPr>
                <w:rFonts w:ascii="Arial" w:cs="Arial" w:eastAsia="Arial" w:hAnsi="Arial"/>
                <w:sz w:val="10"/>
                <w:szCs w:val="10"/>
                <w:b w:val="1"/>
                <w:bCs w:val="1"/>
                <w:color w:val="auto"/>
              </w:rPr>
              <w:t>Other current liabilities</w:t>
            </w:r>
          </w:p>
        </w:tc>
        <w:tc>
          <w:tcPr>
            <w:tcW w:w="94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5"/>
                <w:szCs w:val="5"/>
                <w:b w:val="1"/>
                <w:bCs w:val="1"/>
                <w:color w:val="auto"/>
                <w:w w:val="70"/>
              </w:rPr>
              <w:t>$</w:t>
            </w:r>
          </w:p>
        </w:tc>
        <w:tc>
          <w:tcPr>
            <w:tcW w:w="34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6,673</w:t>
            </w:r>
          </w:p>
        </w:tc>
        <w:tc>
          <w:tcPr>
            <w:tcW w:w="1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jc w:val="right"/>
              <w:ind w:right="111"/>
              <w:spacing w:after="0" w:line="93" w:lineRule="exact"/>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813</w:t>
            </w:r>
          </w:p>
        </w:tc>
        <w:tc>
          <w:tcPr>
            <w:tcW w:w="0" w:type="dxa"/>
            <w:vAlign w:val="bottom"/>
          </w:tcPr>
          <w:p>
            <w:pPr>
              <w:spacing w:after="0"/>
              <w:rPr>
                <w:sz w:val="1"/>
                <w:szCs w:val="1"/>
                <w:color w:val="auto"/>
              </w:rPr>
            </w:pPr>
          </w:p>
        </w:tc>
      </w:tr>
      <w:tr>
        <w:trPr>
          <w:trHeight w:val="80"/>
        </w:trPr>
        <w:tc>
          <w:tcPr>
            <w:tcW w:w="7880" w:type="dxa"/>
            <w:vAlign w:val="bottom"/>
            <w:gridSpan w:val="2"/>
          </w:tcPr>
          <w:p>
            <w:pPr>
              <w:spacing w:after="0" w:line="80" w:lineRule="exact"/>
              <w:rPr>
                <w:sz w:val="20"/>
                <w:szCs w:val="20"/>
                <w:color w:val="auto"/>
              </w:rPr>
            </w:pPr>
            <w:r>
              <w:rPr>
                <w:rFonts w:ascii="Arial" w:cs="Arial" w:eastAsia="Arial" w:hAnsi="Arial"/>
                <w:sz w:val="9"/>
                <w:szCs w:val="9"/>
                <w:b w:val="1"/>
                <w:bCs w:val="1"/>
                <w:color w:val="auto"/>
              </w:rPr>
              <w:t>Other liabilities</w:t>
            </w:r>
          </w:p>
        </w:tc>
        <w:tc>
          <w:tcPr>
            <w:tcW w:w="9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788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Lease make-good provision</w:t>
            </w:r>
          </w:p>
        </w:tc>
        <w:tc>
          <w:tcPr>
            <w:tcW w:w="9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5,860</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6,131</w:t>
            </w:r>
          </w:p>
        </w:tc>
        <w:tc>
          <w:tcPr>
            <w:tcW w:w="0" w:type="dxa"/>
            <w:vAlign w:val="bottom"/>
          </w:tcPr>
          <w:p>
            <w:pPr>
              <w:spacing w:after="0"/>
              <w:rPr>
                <w:sz w:val="1"/>
                <w:szCs w:val="1"/>
                <w:color w:val="auto"/>
              </w:rPr>
            </w:pPr>
          </w:p>
        </w:tc>
      </w:tr>
      <w:tr>
        <w:trPr>
          <w:trHeight w:val="105"/>
        </w:trPr>
        <w:tc>
          <w:tcPr>
            <w:tcW w:w="7880" w:type="dxa"/>
            <w:vAlign w:val="bottom"/>
            <w:gridSpan w:val="2"/>
          </w:tcPr>
          <w:p>
            <w:pPr>
              <w:spacing w:after="0" w:line="105" w:lineRule="exact"/>
              <w:rPr>
                <w:sz w:val="20"/>
                <w:szCs w:val="20"/>
                <w:color w:val="auto"/>
              </w:rPr>
            </w:pPr>
            <w:r>
              <w:rPr>
                <w:rFonts w:ascii="Arial" w:cs="Arial" w:eastAsia="Arial" w:hAnsi="Arial"/>
                <w:sz w:val="10"/>
                <w:szCs w:val="10"/>
                <w:color w:val="auto"/>
              </w:rPr>
              <w:t>Accrued pension</w:t>
            </w:r>
          </w:p>
        </w:tc>
        <w:tc>
          <w:tcPr>
            <w:tcW w:w="94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2,771</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3,138</w:t>
            </w:r>
          </w:p>
        </w:tc>
        <w:tc>
          <w:tcPr>
            <w:tcW w:w="0" w:type="dxa"/>
            <w:vAlign w:val="bottom"/>
          </w:tcPr>
          <w:p>
            <w:pPr>
              <w:spacing w:after="0"/>
              <w:rPr>
                <w:sz w:val="1"/>
                <w:szCs w:val="1"/>
                <w:color w:val="auto"/>
              </w:rPr>
            </w:pPr>
          </w:p>
        </w:tc>
      </w:tr>
      <w:tr>
        <w:trPr>
          <w:trHeight w:val="105"/>
        </w:trPr>
        <w:tc>
          <w:tcPr>
            <w:tcW w:w="788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Deferred rent liability</w:t>
            </w:r>
          </w:p>
        </w:tc>
        <w:tc>
          <w:tcPr>
            <w:tcW w:w="9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1,537</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2,484</w:t>
            </w:r>
          </w:p>
        </w:tc>
        <w:tc>
          <w:tcPr>
            <w:tcW w:w="0" w:type="dxa"/>
            <w:vAlign w:val="bottom"/>
          </w:tcPr>
          <w:p>
            <w:pPr>
              <w:spacing w:after="0"/>
              <w:rPr>
                <w:sz w:val="1"/>
                <w:szCs w:val="1"/>
                <w:color w:val="auto"/>
              </w:rPr>
            </w:pPr>
          </w:p>
        </w:tc>
      </w:tr>
      <w:tr>
        <w:trPr>
          <w:trHeight w:val="105"/>
        </w:trPr>
        <w:tc>
          <w:tcPr>
            <w:tcW w:w="7880" w:type="dxa"/>
            <w:vAlign w:val="bottom"/>
            <w:gridSpan w:val="2"/>
          </w:tcPr>
          <w:p>
            <w:pPr>
              <w:spacing w:after="0" w:line="105" w:lineRule="exact"/>
              <w:rPr>
                <w:sz w:val="20"/>
                <w:szCs w:val="20"/>
                <w:color w:val="auto"/>
              </w:rPr>
            </w:pPr>
            <w:r>
              <w:rPr>
                <w:rFonts w:ascii="Arial" w:cs="Arial" w:eastAsia="Arial" w:hAnsi="Arial"/>
                <w:sz w:val="10"/>
                <w:szCs w:val="10"/>
                <w:color w:val="auto"/>
              </w:rPr>
              <w:t>Environmental reserve</w:t>
            </w:r>
          </w:p>
        </w:tc>
        <w:tc>
          <w:tcPr>
            <w:tcW w:w="94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1,656</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spacing w:after="0" w:line="105" w:lineRule="exact"/>
              <w:rPr>
                <w:sz w:val="20"/>
                <w:szCs w:val="20"/>
                <w:color w:val="auto"/>
              </w:rPr>
            </w:pPr>
            <w:r>
              <w:rPr>
                <w:rFonts w:ascii="Arial" w:cs="Arial" w:eastAsia="Arial" w:hAnsi="Arial"/>
                <w:sz w:val="10"/>
                <w:szCs w:val="10"/>
                <w:color w:val="auto"/>
              </w:rPr>
              <w:t>1,656</w:t>
            </w:r>
          </w:p>
        </w:tc>
        <w:tc>
          <w:tcPr>
            <w:tcW w:w="0" w:type="dxa"/>
            <w:vAlign w:val="bottom"/>
          </w:tcPr>
          <w:p>
            <w:pPr>
              <w:spacing w:after="0"/>
              <w:rPr>
                <w:sz w:val="1"/>
                <w:szCs w:val="1"/>
                <w:color w:val="auto"/>
              </w:rPr>
            </w:pPr>
          </w:p>
        </w:tc>
      </w:tr>
      <w:tr>
        <w:trPr>
          <w:trHeight w:val="105"/>
        </w:trPr>
        <w:tc>
          <w:tcPr>
            <w:tcW w:w="788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Lease liability</w:t>
            </w:r>
          </w:p>
        </w:tc>
        <w:tc>
          <w:tcPr>
            <w:tcW w:w="9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5,900</w:t>
            </w:r>
          </w:p>
        </w:tc>
        <w:tc>
          <w:tcPr>
            <w:tcW w:w="0" w:type="dxa"/>
            <w:vAlign w:val="bottom"/>
          </w:tcPr>
          <w:p>
            <w:pPr>
              <w:spacing w:after="0"/>
              <w:rPr>
                <w:sz w:val="1"/>
                <w:szCs w:val="1"/>
                <w:color w:val="auto"/>
              </w:rPr>
            </w:pPr>
          </w:p>
        </w:tc>
      </w:tr>
      <w:tr>
        <w:trPr>
          <w:trHeight w:val="105"/>
        </w:trPr>
        <w:tc>
          <w:tcPr>
            <w:tcW w:w="7880" w:type="dxa"/>
            <w:vAlign w:val="bottom"/>
            <w:tcBorders>
              <w:bottom w:val="single" w:sz="8" w:color="CCEEFF"/>
            </w:tcBorders>
            <w:gridSpan w:val="2"/>
          </w:tcPr>
          <w:p>
            <w:pPr>
              <w:spacing w:after="0" w:line="105" w:lineRule="exact"/>
              <w:rPr>
                <w:sz w:val="20"/>
                <w:szCs w:val="20"/>
                <w:color w:val="auto"/>
              </w:rPr>
            </w:pPr>
            <w:r>
              <w:rPr>
                <w:rFonts w:ascii="Arial" w:cs="Arial" w:eastAsia="Arial" w:hAnsi="Arial"/>
                <w:sz w:val="10"/>
                <w:szCs w:val="10"/>
                <w:color w:val="auto"/>
              </w:rPr>
              <w:t>Acquired leases</w:t>
            </w:r>
          </w:p>
        </w:tc>
        <w:tc>
          <w:tcPr>
            <w:tcW w:w="9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5</w:t>
            </w:r>
          </w:p>
        </w:tc>
        <w:tc>
          <w:tcPr>
            <w:tcW w:w="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93"/>
        </w:trPr>
        <w:tc>
          <w:tcPr>
            <w:tcW w:w="7880" w:type="dxa"/>
            <w:vAlign w:val="bottom"/>
            <w:tcBorders>
              <w:bottom w:val="single" w:sz="8" w:color="CCEEFF"/>
            </w:tcBorders>
            <w:gridSpan w:val="2"/>
            <w:shd w:val="clear" w:color="auto" w:fill="CCEEFF"/>
          </w:tcPr>
          <w:p>
            <w:pPr>
              <w:ind w:left="80"/>
              <w:spacing w:after="0" w:line="93" w:lineRule="exact"/>
              <w:rPr>
                <w:sz w:val="20"/>
                <w:szCs w:val="20"/>
                <w:color w:val="auto"/>
              </w:rPr>
            </w:pPr>
            <w:r>
              <w:rPr>
                <w:rFonts w:ascii="Arial" w:cs="Arial" w:eastAsia="Arial" w:hAnsi="Arial"/>
                <w:sz w:val="10"/>
                <w:szCs w:val="10"/>
                <w:b w:val="1"/>
                <w:bCs w:val="1"/>
                <w:color w:val="auto"/>
              </w:rPr>
              <w:t>Other non-current liabilities</w:t>
            </w:r>
          </w:p>
        </w:tc>
        <w:tc>
          <w:tcPr>
            <w:tcW w:w="94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5"/>
                <w:szCs w:val="5"/>
                <w:b w:val="1"/>
                <w:bCs w:val="1"/>
                <w:color w:val="auto"/>
                <w:w w:val="70"/>
              </w:rPr>
              <w:t>$</w:t>
            </w:r>
          </w:p>
        </w:tc>
        <w:tc>
          <w:tcPr>
            <w:tcW w:w="34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w w:val="97"/>
              </w:rPr>
              <w:t>11,829</w:t>
            </w:r>
          </w:p>
        </w:tc>
        <w:tc>
          <w:tcPr>
            <w:tcW w:w="16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ind w:right="111"/>
              <w:spacing w:after="0" w:line="93" w:lineRule="exact"/>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19,320</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Pension Liability – Supplemental Executive Retirement Plan</w:t>
      </w:r>
    </w:p>
    <w:p>
      <w:pPr>
        <w:spacing w:after="0" w:line="97"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Details of our Supplemental Executive Retirement Plan are disclosed in </w:t>
      </w:r>
      <w:r>
        <w:rPr>
          <w:rFonts w:ascii="Arial" w:cs="Arial" w:eastAsia="Arial" w:hAnsi="Arial"/>
          <w:sz w:val="10"/>
          <w:szCs w:val="10"/>
          <w:i w:val="1"/>
          <w:iCs w:val="1"/>
          <w:color w:val="auto"/>
        </w:rPr>
        <w:t>Note 13 – Pension and Other Liabilities</w:t>
      </w:r>
      <w:r>
        <w:rPr>
          <w:rFonts w:ascii="Arial" w:cs="Arial" w:eastAsia="Arial" w:hAnsi="Arial"/>
          <w:sz w:val="10"/>
          <w:szCs w:val="10"/>
          <w:color w:val="auto"/>
        </w:rPr>
        <w:t xml:space="preserve"> in our 2022 Form 10-K.</w:t>
      </w:r>
    </w:p>
    <w:p>
      <w:pPr>
        <w:spacing w:after="0" w:line="99" w:lineRule="exact"/>
        <w:rPr>
          <w:sz w:val="20"/>
          <w:szCs w:val="20"/>
          <w:color w:val="auto"/>
        </w:rPr>
      </w:pPr>
    </w:p>
    <w:p>
      <w:pPr>
        <w:ind w:right="320"/>
        <w:spacing w:after="0" w:line="237" w:lineRule="auto"/>
        <w:rPr>
          <w:sz w:val="20"/>
          <w:szCs w:val="20"/>
          <w:color w:val="auto"/>
        </w:rPr>
      </w:pPr>
      <w:r>
        <w:rPr>
          <w:rFonts w:ascii="Arial" w:cs="Arial" w:eastAsia="Arial" w:hAnsi="Arial"/>
          <w:sz w:val="10"/>
          <w:szCs w:val="10"/>
          <w:color w:val="auto"/>
        </w:rPr>
        <w:t>Included in our current and non-current liabilities are accrued pension costs of $3.5 million on September 30, 2023. The benefits of our pension plan are fully vested and therefore no service costs were recognized for the nine months ended September 30, 2023, and 2022. Our pension plan is unfunded.</w:t>
      </w:r>
    </w:p>
    <w:p>
      <w:pPr>
        <w:spacing w:after="0" w:line="88" w:lineRule="exact"/>
        <w:rPr>
          <w:sz w:val="20"/>
          <w:szCs w:val="20"/>
          <w:color w:val="auto"/>
        </w:rPr>
      </w:pPr>
    </w:p>
    <w:p>
      <w:pPr>
        <w:ind w:right="80"/>
        <w:spacing w:after="0" w:line="237" w:lineRule="auto"/>
        <w:rPr>
          <w:sz w:val="20"/>
          <w:szCs w:val="20"/>
          <w:color w:val="auto"/>
        </w:rPr>
      </w:pPr>
      <w:r>
        <w:rPr>
          <w:rFonts w:ascii="Arial" w:cs="Arial" w:eastAsia="Arial" w:hAnsi="Arial"/>
          <w:sz w:val="10"/>
          <w:szCs w:val="10"/>
          <w:color w:val="auto"/>
        </w:rPr>
        <w:t>During the quarter and nine months ended September 30, 2023, the interest cost was $47,000 and $146,000, respectively, and the actuarial loss was $52,000 and $155,000, respectively. During the quarter and nine months ended September 30, 2022, the interest cost was $53,000 and $165,000, respectively, and the actuarial loss was $52,000 and $155,000,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565" w:right="640" w:bottom="1440" w:gutter="0" w:footer="0" w:header="0"/>
        </w:sectPr>
      </w:pPr>
    </w:p>
    <w:bookmarkStart w:id="18" w:name="page19"/>
    <w:bookmarkEnd w:id="18"/>
    <w:p>
      <w:pPr>
        <w:spacing w:after="0"/>
        <w:rPr>
          <w:sz w:val="20"/>
          <w:szCs w:val="20"/>
          <w:color w:val="auto"/>
        </w:rPr>
      </w:pPr>
      <w:r>
        <w:rPr>
          <w:rFonts w:ascii="Arial" w:cs="Arial" w:eastAsia="Arial" w:hAnsi="Arial"/>
          <w:sz w:val="10"/>
          <w:szCs w:val="10"/>
          <w:b w:val="1"/>
          <w:bCs w:val="1"/>
          <w:color w:val="auto"/>
        </w:rPr>
        <w:t>Note 14 – Accumulated Other Comprehensive Income</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summarizes the changes in each component of accumulated other comprehensive income attributable to RDI:</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260" w:type="dxa"/>
            <w:vAlign w:val="bottom"/>
          </w:tcPr>
          <w:p>
            <w:pPr>
              <w:spacing w:after="0"/>
              <w:rPr>
                <w:sz w:val="7"/>
                <w:szCs w:val="7"/>
                <w:color w:val="auto"/>
              </w:rPr>
            </w:pPr>
          </w:p>
        </w:tc>
        <w:tc>
          <w:tcPr>
            <w:tcW w:w="30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jc w:val="center"/>
              <w:ind w:left="204"/>
              <w:spacing w:after="0"/>
              <w:rPr>
                <w:sz w:val="20"/>
                <w:szCs w:val="20"/>
                <w:color w:val="auto"/>
              </w:rPr>
            </w:pPr>
            <w:r>
              <w:rPr>
                <w:rFonts w:ascii="Arial" w:cs="Arial" w:eastAsia="Arial" w:hAnsi="Arial"/>
                <w:sz w:val="8"/>
                <w:szCs w:val="8"/>
                <w:b w:val="1"/>
                <w:bCs w:val="1"/>
                <w:color w:val="auto"/>
              </w:rPr>
              <w:t>Unrealized</w:t>
            </w: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60" w:type="dxa"/>
            <w:vAlign w:val="bottom"/>
          </w:tcPr>
          <w:p>
            <w:pPr>
              <w:spacing w:after="0"/>
              <w:rPr>
                <w:sz w:val="7"/>
                <w:szCs w:val="7"/>
                <w:color w:val="auto"/>
              </w:rPr>
            </w:pPr>
          </w:p>
        </w:tc>
        <w:tc>
          <w:tcPr>
            <w:tcW w:w="3040" w:type="dxa"/>
            <w:vAlign w:val="bottom"/>
          </w:tcPr>
          <w:p>
            <w:pPr>
              <w:spacing w:after="0"/>
              <w:rPr>
                <w:sz w:val="7"/>
                <w:szCs w:val="7"/>
                <w:color w:val="auto"/>
              </w:rPr>
            </w:pPr>
          </w:p>
        </w:tc>
        <w:tc>
          <w:tcPr>
            <w:tcW w:w="800" w:type="dxa"/>
            <w:vAlign w:val="bottom"/>
            <w:vMerge w:val="restart"/>
          </w:tcPr>
          <w:p>
            <w:pPr>
              <w:jc w:val="center"/>
              <w:ind w:left="336"/>
              <w:spacing w:after="0"/>
              <w:rPr>
                <w:sz w:val="20"/>
                <w:szCs w:val="20"/>
                <w:color w:val="auto"/>
              </w:rPr>
            </w:pPr>
            <w:r>
              <w:rPr>
                <w:rFonts w:ascii="Arial" w:cs="Arial" w:eastAsia="Arial" w:hAnsi="Arial"/>
                <w:sz w:val="8"/>
                <w:szCs w:val="8"/>
                <w:b w:val="1"/>
                <w:bCs w:val="1"/>
                <w:color w:val="auto"/>
              </w:rPr>
              <w:t>Foreign</w:t>
            </w: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jc w:val="center"/>
              <w:ind w:left="204"/>
              <w:spacing w:after="0" w:line="83" w:lineRule="exact"/>
              <w:rPr>
                <w:sz w:val="20"/>
                <w:szCs w:val="20"/>
                <w:color w:val="auto"/>
              </w:rPr>
            </w:pPr>
            <w:r>
              <w:rPr>
                <w:rFonts w:ascii="Arial" w:cs="Arial" w:eastAsia="Arial" w:hAnsi="Arial"/>
                <w:sz w:val="8"/>
                <w:szCs w:val="8"/>
                <w:b w:val="1"/>
                <w:bCs w:val="1"/>
                <w:color w:val="auto"/>
              </w:rPr>
              <w:t>Gain​ (Losses)</w:t>
            </w: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restart"/>
          </w:tcPr>
          <w:p>
            <w:pPr>
              <w:jc w:val="center"/>
              <w:ind w:left="276"/>
              <w:spacing w:after="0"/>
              <w:rPr>
                <w:sz w:val="20"/>
                <w:szCs w:val="20"/>
                <w:color w:val="auto"/>
              </w:rPr>
            </w:pPr>
            <w:r>
              <w:rPr>
                <w:rFonts w:ascii="Arial" w:cs="Arial" w:eastAsia="Arial" w:hAnsi="Arial"/>
                <w:sz w:val="8"/>
                <w:szCs w:val="8"/>
                <w:b w:val="1"/>
                <w:bCs w:val="1"/>
                <w:color w:val="auto"/>
              </w:rPr>
              <w:t>Accrued</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restart"/>
          </w:tcPr>
          <w:p>
            <w:pPr>
              <w:jc w:val="center"/>
              <w:ind w:left="256"/>
              <w:spacing w:after="0"/>
              <w:rPr>
                <w:sz w:val="20"/>
                <w:szCs w:val="20"/>
                <w:color w:val="auto"/>
              </w:rPr>
            </w:pPr>
            <w:r>
              <w:rPr>
                <w:rFonts w:ascii="Arial" w:cs="Arial" w:eastAsia="Arial" w:hAnsi="Arial"/>
                <w:sz w:val="8"/>
                <w:szCs w:val="8"/>
                <w:b w:val="1"/>
                <w:bCs w:val="1"/>
                <w:color w:val="auto"/>
                <w:w w:val="97"/>
              </w:rPr>
              <w:t>Hedge</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60" w:type="dxa"/>
            <w:vAlign w:val="bottom"/>
          </w:tcPr>
          <w:p>
            <w:pPr>
              <w:spacing w:after="0"/>
              <w:rPr>
                <w:sz w:val="7"/>
                <w:szCs w:val="7"/>
                <w:color w:val="auto"/>
              </w:rPr>
            </w:pPr>
          </w:p>
        </w:tc>
        <w:tc>
          <w:tcPr>
            <w:tcW w:w="30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jc w:val="center"/>
              <w:ind w:left="224"/>
              <w:spacing w:after="0" w:line="83" w:lineRule="exact"/>
              <w:rPr>
                <w:sz w:val="20"/>
                <w:szCs w:val="20"/>
                <w:color w:val="auto"/>
              </w:rPr>
            </w:pPr>
            <w:r>
              <w:rPr>
                <w:rFonts w:ascii="Arial" w:cs="Arial" w:eastAsia="Arial" w:hAnsi="Arial"/>
                <w:sz w:val="8"/>
                <w:szCs w:val="8"/>
                <w:b w:val="1"/>
                <w:bCs w:val="1"/>
                <w:color w:val="auto"/>
              </w:rPr>
              <w:t>on​ Available-</w:t>
            </w: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30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800" w:type="dxa"/>
            <w:vAlign w:val="bottom"/>
          </w:tcPr>
          <w:p>
            <w:pPr>
              <w:jc w:val="center"/>
              <w:ind w:left="316"/>
              <w:spacing w:after="0" w:line="83" w:lineRule="exact"/>
              <w:rPr>
                <w:sz w:val="20"/>
                <w:szCs w:val="20"/>
                <w:color w:val="auto"/>
              </w:rPr>
            </w:pPr>
            <w:r>
              <w:rPr>
                <w:rFonts w:ascii="Arial" w:cs="Arial" w:eastAsia="Arial" w:hAnsi="Arial"/>
                <w:sz w:val="8"/>
                <w:szCs w:val="8"/>
                <w:b w:val="1"/>
                <w:bCs w:val="1"/>
                <w:color w:val="auto"/>
              </w:rPr>
              <w:t>Currency​</w:t>
            </w: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jc w:val="center"/>
              <w:ind w:left="204"/>
              <w:spacing w:after="0" w:line="83" w:lineRule="exact"/>
              <w:rPr>
                <w:sz w:val="20"/>
                <w:szCs w:val="20"/>
                <w:color w:val="auto"/>
              </w:rPr>
            </w:pPr>
            <w:r>
              <w:rPr>
                <w:rFonts w:ascii="Arial" w:cs="Arial" w:eastAsia="Arial" w:hAnsi="Arial"/>
                <w:sz w:val="8"/>
                <w:szCs w:val="8"/>
                <w:b w:val="1"/>
                <w:bCs w:val="1"/>
                <w:color w:val="auto"/>
              </w:rPr>
              <w:t>for​-Sale</w:t>
            </w: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jc w:val="center"/>
              <w:ind w:left="256"/>
              <w:spacing w:after="0" w:line="83" w:lineRule="exact"/>
              <w:rPr>
                <w:sz w:val="20"/>
                <w:szCs w:val="20"/>
                <w:color w:val="auto"/>
              </w:rPr>
            </w:pPr>
            <w:r>
              <w:rPr>
                <w:rFonts w:ascii="Arial" w:cs="Arial" w:eastAsia="Arial" w:hAnsi="Arial"/>
                <w:sz w:val="8"/>
                <w:szCs w:val="8"/>
                <w:b w:val="1"/>
                <w:bCs w:val="1"/>
                <w:color w:val="auto"/>
              </w:rPr>
              <w:t>​Pension</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jc w:val="center"/>
              <w:ind w:left="256"/>
              <w:spacing w:after="0" w:line="83" w:lineRule="exact"/>
              <w:rPr>
                <w:sz w:val="20"/>
                <w:szCs w:val="20"/>
                <w:color w:val="auto"/>
              </w:rPr>
            </w:pPr>
            <w:r>
              <w:rPr>
                <w:rFonts w:ascii="Arial" w:cs="Arial" w:eastAsia="Arial" w:hAnsi="Arial"/>
                <w:sz w:val="8"/>
                <w:szCs w:val="8"/>
                <w:b w:val="1"/>
                <w:bCs w:val="1"/>
                <w:color w:val="auto"/>
                <w:w w:val="99"/>
              </w:rPr>
              <w:t>Accounting​</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98"/>
        </w:trPr>
        <w:tc>
          <w:tcPr>
            <w:tcW w:w="4300" w:type="dxa"/>
            <w:vAlign w:val="bottom"/>
            <w:gridSpan w:val="2"/>
            <w:vMerge w:val="continue"/>
          </w:tcPr>
          <w:p>
            <w:pPr>
              <w:spacing w:after="0"/>
              <w:rPr>
                <w:sz w:val="8"/>
                <w:szCs w:val="8"/>
                <w:color w:val="auto"/>
              </w:rPr>
            </w:pPr>
          </w:p>
        </w:tc>
        <w:tc>
          <w:tcPr>
            <w:tcW w:w="800" w:type="dxa"/>
            <w:vAlign w:val="bottom"/>
          </w:tcPr>
          <w:p>
            <w:pPr>
              <w:jc w:val="center"/>
              <w:ind w:left="316"/>
              <w:spacing w:after="0"/>
              <w:rPr>
                <w:sz w:val="20"/>
                <w:szCs w:val="20"/>
                <w:color w:val="auto"/>
              </w:rPr>
            </w:pPr>
            <w:r>
              <w:rPr>
                <w:rFonts w:ascii="Arial" w:cs="Arial" w:eastAsia="Arial" w:hAnsi="Arial"/>
                <w:sz w:val="8"/>
                <w:szCs w:val="8"/>
                <w:b w:val="1"/>
                <w:bCs w:val="1"/>
                <w:color w:val="auto"/>
                <w:w w:val="95"/>
              </w:rPr>
              <w:t>Items​</w:t>
            </w: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left="224"/>
              <w:spacing w:after="0"/>
              <w:rPr>
                <w:sz w:val="20"/>
                <w:szCs w:val="20"/>
                <w:color w:val="auto"/>
              </w:rPr>
            </w:pPr>
            <w:r>
              <w:rPr>
                <w:rFonts w:ascii="Arial" w:cs="Arial" w:eastAsia="Arial" w:hAnsi="Arial"/>
                <w:sz w:val="8"/>
                <w:szCs w:val="8"/>
                <w:b w:val="1"/>
                <w:bCs w:val="1"/>
                <w:color w:val="auto"/>
              </w:rPr>
              <w:t>Investments​</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jc w:val="center"/>
              <w:ind w:left="276"/>
              <w:spacing w:after="0"/>
              <w:rPr>
                <w:sz w:val="20"/>
                <w:szCs w:val="20"/>
                <w:color w:val="auto"/>
              </w:rPr>
            </w:pPr>
            <w:r>
              <w:rPr>
                <w:rFonts w:ascii="Arial" w:cs="Arial" w:eastAsia="Arial" w:hAnsi="Arial"/>
                <w:sz w:val="8"/>
                <w:szCs w:val="8"/>
                <w:b w:val="1"/>
                <w:bCs w:val="1"/>
                <w:color w:val="auto"/>
              </w:rPr>
              <w:t>​Service Costs</w:t>
            </w: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jc w:val="center"/>
              <w:ind w:left="256"/>
              <w:spacing w:after="0"/>
              <w:rPr>
                <w:sz w:val="20"/>
                <w:szCs w:val="20"/>
                <w:color w:val="auto"/>
              </w:rPr>
            </w:pPr>
            <w:r>
              <w:rPr>
                <w:rFonts w:ascii="Arial" w:cs="Arial" w:eastAsia="Arial" w:hAnsi="Arial"/>
                <w:sz w:val="8"/>
                <w:szCs w:val="8"/>
                <w:b w:val="1"/>
                <w:bCs w:val="1"/>
                <w:color w:val="auto"/>
              </w:rPr>
              <w:t>Reserve​</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300" w:type="dxa"/>
            <w:vAlign w:val="bottom"/>
            <w:tcBorders>
              <w:top w:val="single" w:sz="8" w:color="auto"/>
            </w:tcBorders>
            <w:gridSpan w:val="2"/>
            <w:shd w:val="clear" w:color="auto" w:fill="CCEEFF"/>
          </w:tcPr>
          <w:p>
            <w:pPr>
              <w:spacing w:after="0" w:line="100" w:lineRule="exact"/>
              <w:rPr>
                <w:sz w:val="20"/>
                <w:szCs w:val="20"/>
                <w:color w:val="auto"/>
              </w:rPr>
            </w:pPr>
            <w:r>
              <w:rPr>
                <w:rFonts w:ascii="Arial" w:cs="Arial" w:eastAsia="Arial" w:hAnsi="Arial"/>
                <w:sz w:val="10"/>
                <w:szCs w:val="10"/>
                <w:color w:val="auto"/>
              </w:rPr>
              <w:t>Balance at January 1, 2023</w:t>
            </w:r>
          </w:p>
        </w:tc>
        <w:tc>
          <w:tcPr>
            <w:tcW w:w="800" w:type="dxa"/>
            <w:vAlign w:val="bottom"/>
            <w:tcBorders>
              <w:top w:val="single" w:sz="8" w:color="auto"/>
            </w:tcBorders>
            <w:shd w:val="clear" w:color="auto" w:fill="CCEEFF"/>
          </w:tcPr>
          <w:p>
            <w:pPr>
              <w:jc w:val="right"/>
              <w:ind w:right="696"/>
              <w:spacing w:after="0" w:line="100"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(697)</w:t>
            </w:r>
          </w:p>
        </w:tc>
        <w:tc>
          <w:tcPr>
            <w:tcW w:w="1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jc w:val="right"/>
              <w:ind w:right="824"/>
              <w:spacing w:after="0"/>
              <w:rPr>
                <w:sz w:val="20"/>
                <w:szCs w:val="20"/>
                <w:color w:val="auto"/>
              </w:rPr>
            </w:pPr>
            <w:r>
              <w:rPr>
                <w:rFonts w:ascii="Arial" w:cs="Arial" w:eastAsia="Arial" w:hAnsi="Arial"/>
                <w:sz w:val="5"/>
                <w:szCs w:val="5"/>
                <w:color w:val="auto"/>
                <w:w w:val="70"/>
              </w:rPr>
              <w:t>$</w:t>
            </w:r>
          </w:p>
        </w:tc>
        <w:tc>
          <w:tcPr>
            <w:tcW w:w="2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(18)</w:t>
            </w:r>
          </w:p>
        </w:tc>
        <w:tc>
          <w:tcPr>
            <w:tcW w:w="14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jc w:val="right"/>
              <w:ind w:right="756"/>
              <w:spacing w:after="0" w:line="100"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w w:val="94"/>
              </w:rPr>
              <w:t>(1,822)</w:t>
            </w:r>
          </w:p>
        </w:tc>
        <w:tc>
          <w:tcPr>
            <w:tcW w:w="14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jc w:val="right"/>
              <w:ind w:right="756"/>
              <w:spacing w:after="0" w:line="100" w:lineRule="exact"/>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580</w:t>
            </w:r>
          </w:p>
        </w:tc>
        <w:tc>
          <w:tcPr>
            <w:tcW w:w="1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jc w:val="right"/>
              <w:ind w:right="131"/>
              <w:spacing w:after="0" w:line="100" w:lineRule="exact"/>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(1,957)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2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260" w:type="dxa"/>
            <w:vAlign w:val="bottom"/>
            <w:tcBorders>
              <w:bottom w:val="single" w:sz="8" w:color="auto"/>
            </w:tcBorders>
            <w:shd w:val="clear" w:color="auto" w:fill="CCEEFF"/>
          </w:tcPr>
          <w:p>
            <w:pPr>
              <w:spacing w:after="0" w:line="98" w:lineRule="exact"/>
              <w:rPr>
                <w:sz w:val="20"/>
                <w:szCs w:val="20"/>
                <w:color w:val="auto"/>
              </w:rPr>
            </w:pPr>
            <w:r>
              <w:rPr>
                <w:rFonts w:ascii="Arial" w:cs="Arial" w:eastAsia="Arial" w:hAnsi="Arial"/>
                <w:sz w:val="10"/>
                <w:szCs w:val="10"/>
                <w:color w:val="auto"/>
                <w:w w:val="95"/>
              </w:rPr>
              <w:t>Change related to derivatives</w:t>
            </w:r>
          </w:p>
        </w:tc>
        <w:tc>
          <w:tcPr>
            <w:tcW w:w="30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300" w:type="dxa"/>
            <w:vAlign w:val="bottom"/>
            <w:gridSpan w:val="2"/>
          </w:tcPr>
          <w:p>
            <w:pPr>
              <w:spacing w:after="0" w:line="93" w:lineRule="exact"/>
              <w:rPr>
                <w:sz w:val="20"/>
                <w:szCs w:val="20"/>
                <w:color w:val="auto"/>
              </w:rPr>
            </w:pPr>
            <w:r>
              <w:rPr>
                <w:rFonts w:ascii="Arial" w:cs="Arial" w:eastAsia="Arial" w:hAnsi="Arial"/>
                <w:sz w:val="10"/>
                <w:szCs w:val="10"/>
                <w:color w:val="auto"/>
              </w:rPr>
              <w:t>Total change in hedge fair value recorded in Other Comprehensive Income</w:t>
            </w:r>
          </w:p>
        </w:tc>
        <w:tc>
          <w:tcPr>
            <w:tcW w:w="800" w:type="dxa"/>
            <w:vAlign w:val="bottom"/>
          </w:tcPr>
          <w:p>
            <w:pPr>
              <w:spacing w:after="0"/>
              <w:rPr>
                <w:sz w:val="8"/>
                <w:szCs w:val="8"/>
                <w:color w:val="auto"/>
              </w:rPr>
            </w:pPr>
          </w:p>
        </w:tc>
        <w:tc>
          <w:tcPr>
            <w:tcW w:w="520" w:type="dxa"/>
            <w:vAlign w:val="bottom"/>
            <w:gridSpan w:val="2"/>
          </w:tcPr>
          <w:p>
            <w:pPr>
              <w:jc w:val="right"/>
              <w:ind w:right="180"/>
              <w:spacing w:after="0" w:line="93" w:lineRule="exact"/>
              <w:rPr>
                <w:sz w:val="20"/>
                <w:szCs w:val="20"/>
                <w:color w:val="auto"/>
              </w:rPr>
            </w:pPr>
            <w:r>
              <w:rPr>
                <w:rFonts w:ascii="Arial" w:cs="Arial" w:eastAsia="Arial" w:hAnsi="Arial"/>
                <w:sz w:val="10"/>
                <w:szCs w:val="10"/>
                <w:color w:val="auto"/>
              </w:rPr>
              <w:t>—</w:t>
            </w:r>
          </w:p>
        </w:tc>
        <w:tc>
          <w:tcPr>
            <w:tcW w:w="900" w:type="dxa"/>
            <w:vAlign w:val="bottom"/>
          </w:tcPr>
          <w:p>
            <w:pPr>
              <w:spacing w:after="0"/>
              <w:rPr>
                <w:sz w:val="8"/>
                <w:szCs w:val="8"/>
                <w:color w:val="auto"/>
              </w:rPr>
            </w:pPr>
          </w:p>
        </w:tc>
        <w:tc>
          <w:tcPr>
            <w:tcW w:w="400" w:type="dxa"/>
            <w:vAlign w:val="bottom"/>
            <w:gridSpan w:val="2"/>
          </w:tcPr>
          <w:p>
            <w:pPr>
              <w:jc w:val="center"/>
              <w:ind w:right="60"/>
              <w:spacing w:after="0" w:line="93" w:lineRule="exact"/>
              <w:rPr>
                <w:sz w:val="20"/>
                <w:szCs w:val="20"/>
                <w:color w:val="auto"/>
              </w:rPr>
            </w:pPr>
            <w:r>
              <w:rPr>
                <w:rFonts w:ascii="Arial" w:cs="Arial" w:eastAsia="Arial" w:hAnsi="Arial"/>
                <w:sz w:val="10"/>
                <w:szCs w:val="10"/>
                <w:color w:val="auto"/>
                <w:w w:val="99"/>
              </w:rPr>
              <w:t>—</w:t>
            </w:r>
          </w:p>
        </w:tc>
        <w:tc>
          <w:tcPr>
            <w:tcW w:w="860" w:type="dxa"/>
            <w:vAlign w:val="bottom"/>
          </w:tcPr>
          <w:p>
            <w:pPr>
              <w:spacing w:after="0"/>
              <w:rPr>
                <w:sz w:val="8"/>
                <w:szCs w:val="8"/>
                <w:color w:val="auto"/>
              </w:rPr>
            </w:pPr>
          </w:p>
        </w:tc>
        <w:tc>
          <w:tcPr>
            <w:tcW w:w="460" w:type="dxa"/>
            <w:vAlign w:val="bottom"/>
            <w:gridSpan w:val="2"/>
          </w:tcPr>
          <w:p>
            <w:pPr>
              <w:jc w:val="right"/>
              <w:ind w:right="180"/>
              <w:spacing w:after="0" w:line="93" w:lineRule="exact"/>
              <w:rPr>
                <w:sz w:val="20"/>
                <w:szCs w:val="20"/>
                <w:color w:val="auto"/>
              </w:rPr>
            </w:pPr>
            <w:r>
              <w:rPr>
                <w:rFonts w:ascii="Arial" w:cs="Arial" w:eastAsia="Arial" w:hAnsi="Arial"/>
                <w:sz w:val="10"/>
                <w:szCs w:val="10"/>
                <w:color w:val="auto"/>
              </w:rPr>
              <w:t>—</w:t>
            </w:r>
          </w:p>
        </w:tc>
        <w:tc>
          <w:tcPr>
            <w:tcW w:w="860" w:type="dxa"/>
            <w:vAlign w:val="bottom"/>
          </w:tcPr>
          <w:p>
            <w:pPr>
              <w:spacing w:after="0"/>
              <w:rPr>
                <w:sz w:val="8"/>
                <w:szCs w:val="8"/>
                <w:color w:val="auto"/>
              </w:rPr>
            </w:pPr>
          </w:p>
        </w:tc>
        <w:tc>
          <w:tcPr>
            <w:tcW w:w="440" w:type="dxa"/>
            <w:vAlign w:val="bottom"/>
            <w:gridSpan w:val="2"/>
          </w:tcPr>
          <w:p>
            <w:pPr>
              <w:jc w:val="right"/>
              <w:ind w:right="140"/>
              <w:spacing w:after="0" w:line="93" w:lineRule="exact"/>
              <w:rPr>
                <w:sz w:val="20"/>
                <w:szCs w:val="20"/>
                <w:color w:val="auto"/>
              </w:rPr>
            </w:pPr>
            <w:r>
              <w:rPr>
                <w:rFonts w:ascii="Arial" w:cs="Arial" w:eastAsia="Arial" w:hAnsi="Arial"/>
                <w:sz w:val="10"/>
                <w:szCs w:val="10"/>
                <w:color w:val="auto"/>
              </w:rPr>
              <w:t>(2)</w:t>
            </w:r>
          </w:p>
        </w:tc>
        <w:tc>
          <w:tcPr>
            <w:tcW w:w="240" w:type="dxa"/>
            <w:vAlign w:val="bottom"/>
          </w:tcPr>
          <w:p>
            <w:pPr>
              <w:spacing w:after="0"/>
              <w:rPr>
                <w:sz w:val="8"/>
                <w:szCs w:val="8"/>
                <w:color w:val="auto"/>
              </w:rPr>
            </w:pPr>
          </w:p>
        </w:tc>
        <w:tc>
          <w:tcPr>
            <w:tcW w:w="840" w:type="dxa"/>
            <w:vAlign w:val="bottom"/>
          </w:tcPr>
          <w:p>
            <w:pPr>
              <w:jc w:val="right"/>
              <w:spacing w:after="0" w:line="93" w:lineRule="exact"/>
              <w:rPr>
                <w:sz w:val="20"/>
                <w:szCs w:val="20"/>
                <w:color w:val="auto"/>
              </w:rPr>
            </w:pPr>
            <w:r>
              <w:rPr>
                <w:rFonts w:ascii="Arial" w:cs="Arial" w:eastAsia="Arial" w:hAnsi="Arial"/>
                <w:sz w:val="10"/>
                <w:szCs w:val="10"/>
                <w:color w:val="auto"/>
              </w:rPr>
              <w:t>(2)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30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Amounts reclassified from accumulated other comprehensive income</w:t>
            </w:r>
          </w:p>
        </w:tc>
        <w:tc>
          <w:tcPr>
            <w:tcW w:w="8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center"/>
              <w:ind w:right="60"/>
              <w:spacing w:after="0" w:line="105" w:lineRule="exact"/>
              <w:rPr>
                <w:sz w:val="20"/>
                <w:szCs w:val="20"/>
                <w:color w:val="auto"/>
              </w:rPr>
            </w:pPr>
            <w:r>
              <w:rPr>
                <w:rFonts w:ascii="Arial" w:cs="Arial" w:eastAsia="Arial" w:hAnsi="Arial"/>
                <w:sz w:val="10"/>
                <w:szCs w:val="10"/>
                <w:color w:val="auto"/>
                <w:w w:val="99"/>
              </w:rPr>
              <w:t>—</w:t>
            </w:r>
          </w:p>
        </w:tc>
        <w:tc>
          <w:tcPr>
            <w:tcW w:w="8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(811)</w:t>
            </w: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(811)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4300" w:type="dxa"/>
            <w:vAlign w:val="bottom"/>
            <w:gridSpan w:val="2"/>
          </w:tcPr>
          <w:p>
            <w:pPr>
              <w:spacing w:after="0" w:line="93" w:lineRule="exact"/>
              <w:rPr>
                <w:sz w:val="20"/>
                <w:szCs w:val="20"/>
                <w:color w:val="auto"/>
              </w:rPr>
            </w:pPr>
            <w:r>
              <w:rPr>
                <w:rFonts w:ascii="Arial" w:cs="Arial" w:eastAsia="Arial" w:hAnsi="Arial"/>
                <w:sz w:val="10"/>
                <w:szCs w:val="10"/>
                <w:color w:val="auto"/>
              </w:rPr>
              <w:t>Net change related to derivatives</w:t>
            </w:r>
          </w:p>
        </w:tc>
        <w:tc>
          <w:tcPr>
            <w:tcW w:w="8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jc w:val="center"/>
              <w:ind w:left="31"/>
              <w:spacing w:after="0" w:line="93"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(813)</w:t>
            </w:r>
          </w:p>
        </w:tc>
        <w:tc>
          <w:tcPr>
            <w:tcW w:w="1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(813)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260" w:type="dxa"/>
            <w:vAlign w:val="bottom"/>
            <w:shd w:val="clear" w:color="auto" w:fill="CCEEFF"/>
          </w:tcPr>
          <w:p>
            <w:pPr>
              <w:spacing w:after="0"/>
              <w:rPr>
                <w:sz w:val="9"/>
                <w:szCs w:val="9"/>
                <w:color w:val="auto"/>
              </w:rPr>
            </w:pPr>
          </w:p>
        </w:tc>
        <w:tc>
          <w:tcPr>
            <w:tcW w:w="3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300" w:type="dxa"/>
            <w:vAlign w:val="bottom"/>
            <w:gridSpan w:val="2"/>
          </w:tcPr>
          <w:p>
            <w:pPr>
              <w:spacing w:after="0" w:line="105" w:lineRule="exact"/>
              <w:rPr>
                <w:sz w:val="20"/>
                <w:szCs w:val="20"/>
                <w:color w:val="auto"/>
              </w:rPr>
            </w:pPr>
            <w:r>
              <w:rPr>
                <w:rFonts w:ascii="Arial" w:cs="Arial" w:eastAsia="Arial" w:hAnsi="Arial"/>
                <w:sz w:val="10"/>
                <w:szCs w:val="10"/>
                <w:color w:val="auto"/>
              </w:rPr>
              <w:t>Net current-period other comprehensive income (loss)</w:t>
            </w:r>
          </w:p>
        </w:tc>
        <w:tc>
          <w:tcPr>
            <w:tcW w:w="800" w:type="dxa"/>
            <w:vAlign w:val="bottom"/>
          </w:tcPr>
          <w:p>
            <w:pPr>
              <w:spacing w:after="0"/>
              <w:rPr>
                <w:sz w:val="9"/>
                <w:szCs w:val="9"/>
                <w:color w:val="auto"/>
              </w:rPr>
            </w:pPr>
          </w:p>
        </w:tc>
        <w:tc>
          <w:tcPr>
            <w:tcW w:w="52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(3,033)</w:t>
            </w:r>
          </w:p>
        </w:tc>
        <w:tc>
          <w:tcPr>
            <w:tcW w:w="900" w:type="dxa"/>
            <w:vAlign w:val="bottom"/>
          </w:tcPr>
          <w:p>
            <w:pPr>
              <w:spacing w:after="0"/>
              <w:rPr>
                <w:sz w:val="9"/>
                <w:szCs w:val="9"/>
                <w:color w:val="auto"/>
              </w:rPr>
            </w:pPr>
          </w:p>
        </w:tc>
        <w:tc>
          <w:tcPr>
            <w:tcW w:w="40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1</w:t>
            </w:r>
          </w:p>
        </w:tc>
        <w:tc>
          <w:tcPr>
            <w:tcW w:w="860" w:type="dxa"/>
            <w:vAlign w:val="bottom"/>
          </w:tcPr>
          <w:p>
            <w:pPr>
              <w:spacing w:after="0"/>
              <w:rPr>
                <w:sz w:val="9"/>
                <w:szCs w:val="9"/>
                <w:color w:val="auto"/>
              </w:rPr>
            </w:pP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rPr>
              <w:t>155</w:t>
            </w: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(813)</w:t>
            </w:r>
          </w:p>
        </w:tc>
        <w:tc>
          <w:tcPr>
            <w:tcW w:w="240" w:type="dxa"/>
            <w:vAlign w:val="bottom"/>
          </w:tcPr>
          <w:p>
            <w:pPr>
              <w:spacing w:after="0"/>
              <w:rPr>
                <w:sz w:val="9"/>
                <w:szCs w:val="9"/>
                <w:color w:val="auto"/>
              </w:rPr>
            </w:pPr>
          </w:p>
        </w:tc>
        <w:tc>
          <w:tcPr>
            <w:tcW w:w="840" w:type="dxa"/>
            <w:vAlign w:val="bottom"/>
          </w:tcPr>
          <w:p>
            <w:pPr>
              <w:jc w:val="right"/>
              <w:spacing w:after="0" w:line="105" w:lineRule="exact"/>
              <w:rPr>
                <w:sz w:val="20"/>
                <w:szCs w:val="20"/>
                <w:color w:val="auto"/>
              </w:rPr>
            </w:pPr>
            <w:r>
              <w:rPr>
                <w:rFonts w:ascii="Arial" w:cs="Arial" w:eastAsia="Arial" w:hAnsi="Arial"/>
                <w:sz w:val="10"/>
                <w:szCs w:val="10"/>
                <w:color w:val="auto"/>
              </w:rPr>
              <w:t>(3,690)</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4300" w:type="dxa"/>
            <w:vAlign w:val="bottom"/>
            <w:tcBorders>
              <w:top w:val="single" w:sz="8" w:color="CCEEFF"/>
              <w:bottom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 at September 30, 2023</w:t>
            </w:r>
          </w:p>
        </w:tc>
        <w:tc>
          <w:tcPr>
            <w:tcW w:w="800" w:type="dxa"/>
            <w:vAlign w:val="bottom"/>
            <w:tcBorders>
              <w:top w:val="single" w:sz="8" w:color="auto"/>
              <w:bottom w:val="single" w:sz="8" w:color="auto"/>
            </w:tcBorders>
            <w:shd w:val="clear" w:color="auto" w:fill="CCEEFF"/>
          </w:tcPr>
          <w:p>
            <w:pPr>
              <w:jc w:val="right"/>
              <w:ind w:right="696"/>
              <w:spacing w:after="0" w:line="93" w:lineRule="exact"/>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(3,730)</w:t>
            </w: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900" w:type="dxa"/>
            <w:vAlign w:val="bottom"/>
            <w:tcBorders>
              <w:top w:val="single" w:sz="8" w:color="auto"/>
              <w:bottom w:val="single" w:sz="8" w:color="auto"/>
            </w:tcBorders>
            <w:shd w:val="clear" w:color="auto" w:fill="CCEEFF"/>
          </w:tcPr>
          <w:p>
            <w:pPr>
              <w:jc w:val="right"/>
              <w:ind w:right="824"/>
              <w:spacing w:after="0"/>
              <w:rPr>
                <w:sz w:val="20"/>
                <w:szCs w:val="20"/>
                <w:color w:val="auto"/>
              </w:rPr>
            </w:pPr>
            <w:r>
              <w:rPr>
                <w:rFonts w:ascii="Arial" w:cs="Arial" w:eastAsia="Arial" w:hAnsi="Arial"/>
                <w:sz w:val="5"/>
                <w:szCs w:val="5"/>
                <w:b w:val="1"/>
                <w:bCs w:val="1"/>
                <w:color w:val="auto"/>
                <w:w w:val="70"/>
              </w:rPr>
              <w:t>$</w:t>
            </w:r>
          </w:p>
        </w:tc>
        <w:tc>
          <w:tcPr>
            <w:tcW w:w="260" w:type="dxa"/>
            <w:vAlign w:val="bottom"/>
            <w:tcBorders>
              <w:top w:val="single" w:sz="8" w:color="auto"/>
              <w:bottom w:val="single" w:sz="8" w:color="auto"/>
            </w:tcBorders>
            <w:shd w:val="clear" w:color="auto" w:fill="CCEEFF"/>
          </w:tcPr>
          <w:p>
            <w:pPr>
              <w:jc w:val="center"/>
              <w:ind w:left="31"/>
              <w:spacing w:after="0" w:line="93" w:lineRule="exact"/>
              <w:rPr>
                <w:sz w:val="20"/>
                <w:szCs w:val="20"/>
                <w:color w:val="auto"/>
              </w:rPr>
            </w:pPr>
            <w:r>
              <w:rPr>
                <w:rFonts w:ascii="Arial" w:cs="Arial" w:eastAsia="Arial" w:hAnsi="Arial"/>
                <w:sz w:val="10"/>
                <w:szCs w:val="10"/>
                <w:b w:val="1"/>
                <w:bCs w:val="1"/>
                <w:color w:val="auto"/>
              </w:rPr>
              <w:t>(17)</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860" w:type="dxa"/>
            <w:vAlign w:val="bottom"/>
            <w:tcBorders>
              <w:top w:val="single" w:sz="8" w:color="auto"/>
              <w:bottom w:val="single" w:sz="8" w:color="auto"/>
            </w:tcBorders>
            <w:shd w:val="clear" w:color="auto" w:fill="CCEEFF"/>
          </w:tcPr>
          <w:p>
            <w:pPr>
              <w:jc w:val="right"/>
              <w:ind w:right="756"/>
              <w:spacing w:after="0" w:line="93" w:lineRule="exact"/>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w w:val="94"/>
              </w:rPr>
              <w:t>(1,667)</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860" w:type="dxa"/>
            <w:vAlign w:val="bottom"/>
            <w:tcBorders>
              <w:top w:val="single" w:sz="8" w:color="auto"/>
              <w:bottom w:val="single" w:sz="8" w:color="auto"/>
            </w:tcBorders>
            <w:shd w:val="clear" w:color="auto" w:fill="CCEEFF"/>
          </w:tcPr>
          <w:p>
            <w:pPr>
              <w:jc w:val="right"/>
              <w:ind w:right="756"/>
              <w:spacing w:after="0" w:line="93" w:lineRule="exact"/>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(233)</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31"/>
              <w:spacing w:after="0" w:line="93" w:lineRule="exact"/>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(5,647)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15 – Commitments and Contingencies</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Litigation General</w:t>
      </w:r>
    </w:p>
    <w:p>
      <w:pPr>
        <w:spacing w:after="0" w:line="101" w:lineRule="exact"/>
        <w:rPr>
          <w:sz w:val="20"/>
          <w:szCs w:val="20"/>
          <w:color w:val="auto"/>
        </w:rPr>
      </w:pPr>
    </w:p>
    <w:p>
      <w:pPr>
        <w:ind w:right="40"/>
        <w:spacing w:after="0" w:line="228" w:lineRule="auto"/>
        <w:rPr>
          <w:sz w:val="20"/>
          <w:szCs w:val="20"/>
          <w:color w:val="auto"/>
        </w:rPr>
      </w:pPr>
      <w:r>
        <w:rPr>
          <w:rFonts w:ascii="Arial" w:cs="Arial" w:eastAsia="Arial" w:hAnsi="Arial"/>
          <w:sz w:val="10"/>
          <w:szCs w:val="10"/>
          <w:color w:val="auto"/>
        </w:rPr>
        <w:t>Insofar as our Company is aware, there are no claims, arbitration proceedings, or litigation proceedings that constitute material contingent liabilities of our Company. Such matters require significant judgments based on the facts known to us. These judgments are inherently uncertain and can change significantly when additional facts become known. We provide accruals for matters that have probable likelihood of occurrence and can be properly estimated as to their expected negative outcome. We do not record expected gains until the proceeds are received by us. However, we typically make no accruals for potential costs of defense, as such amounts are inherently uncertain and dependent upon the scope, extent and aggressiveness of the activities of the applicable plaintiff.</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Litigation Matters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We are currently involved in certain legal proceedings and, as required, have accrued estimates of probable and estimable losses for the resolution of these claims, including legal costs.</w:t>
      </w:r>
    </w:p>
    <w:p>
      <w:pPr>
        <w:spacing w:after="0" w:line="31" w:lineRule="exact"/>
        <w:rPr>
          <w:sz w:val="20"/>
          <w:szCs w:val="20"/>
          <w:color w:val="auto"/>
        </w:rPr>
      </w:pPr>
    </w:p>
    <w:p>
      <w:pPr>
        <w:jc w:val="both"/>
        <w:ind w:left="360" w:right="40"/>
        <w:spacing w:after="0" w:line="233" w:lineRule="auto"/>
        <w:rPr>
          <w:sz w:val="20"/>
          <w:szCs w:val="20"/>
          <w:color w:val="auto"/>
        </w:rPr>
      </w:pPr>
      <w:r>
        <w:rPr>
          <w:rFonts w:ascii="Arial" w:cs="Arial" w:eastAsia="Arial" w:hAnsi="Arial"/>
          <w:sz w:val="10"/>
          <w:szCs w:val="10"/>
          <w:color w:val="auto"/>
        </w:rPr>
        <w:t xml:space="preserve">Where we are the </w:t>
      </w:r>
      <w:r>
        <w:rPr>
          <w:rFonts w:ascii="Arial" w:cs="Arial" w:eastAsia="Arial" w:hAnsi="Arial"/>
          <w:sz w:val="10"/>
          <w:szCs w:val="10"/>
          <w:i w:val="1"/>
          <w:iCs w:val="1"/>
          <w:u w:val="single" w:color="auto"/>
          <w:color w:val="auto"/>
        </w:rPr>
        <w:t>plaintiffs</w:t>
      </w:r>
      <w:r>
        <w:rPr>
          <w:rFonts w:ascii="Arial" w:cs="Arial" w:eastAsia="Arial" w:hAnsi="Arial"/>
          <w:sz w:val="10"/>
          <w:szCs w:val="10"/>
          <w:color w:val="auto"/>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25" w:lineRule="exact"/>
        <w:rPr>
          <w:sz w:val="20"/>
          <w:szCs w:val="20"/>
          <w:color w:val="auto"/>
        </w:rPr>
      </w:pPr>
    </w:p>
    <w:p>
      <w:pPr>
        <w:jc w:val="both"/>
        <w:ind w:left="360" w:right="60"/>
        <w:spacing w:after="0" w:line="230" w:lineRule="auto"/>
        <w:rPr>
          <w:sz w:val="20"/>
          <w:szCs w:val="20"/>
          <w:color w:val="auto"/>
        </w:rPr>
      </w:pPr>
      <w:r>
        <w:rPr>
          <w:rFonts w:ascii="Arial" w:cs="Arial" w:eastAsia="Arial" w:hAnsi="Arial"/>
          <w:sz w:val="10"/>
          <w:szCs w:val="10"/>
          <w:color w:val="auto"/>
        </w:rPr>
        <w:t xml:space="preserve">Where we are the </w:t>
      </w:r>
      <w:r>
        <w:rPr>
          <w:rFonts w:ascii="Arial" w:cs="Arial" w:eastAsia="Arial" w:hAnsi="Arial"/>
          <w:sz w:val="10"/>
          <w:szCs w:val="10"/>
          <w:i w:val="1"/>
          <w:iCs w:val="1"/>
          <w:u w:val="single" w:color="auto"/>
          <w:color w:val="auto"/>
        </w:rPr>
        <w:t>defendants</w:t>
      </w:r>
      <w:r>
        <w:rPr>
          <w:rFonts w:ascii="Arial" w:cs="Arial" w:eastAsia="Arial" w:hAnsi="Arial"/>
          <w:sz w:val="10"/>
          <w:szCs w:val="10"/>
          <w:color w:val="auto"/>
        </w:rPr>
        <w:t xml:space="preserve">, we accrue for probable damages that insurance may not cover as they become known and can be reasonably estimated, as permitted under ASC 450-20 </w:t>
      </w:r>
      <w:r>
        <w:rPr>
          <w:rFonts w:ascii="Arial" w:cs="Arial" w:eastAsia="Arial" w:hAnsi="Arial"/>
          <w:sz w:val="10"/>
          <w:szCs w:val="10"/>
          <w:i w:val="1"/>
          <w:iCs w:val="1"/>
          <w:color w:val="auto"/>
        </w:rPr>
        <w:t>Loss Contingencies</w:t>
      </w:r>
      <w:r>
        <w:rPr>
          <w:rFonts w:ascii="Arial" w:cs="Arial" w:eastAsia="Arial" w:hAnsi="Arial"/>
          <w:sz w:val="10"/>
          <w:szCs w:val="10"/>
          <w:color w:val="auto"/>
        </w:rPr>
        <w:t>.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u w:val="single" w:color="auto"/>
          <w:color w:val="auto"/>
        </w:rPr>
        <w:t>Environmental and Asbestos Claims on Reading Legacy Operations</w:t>
      </w:r>
    </w:p>
    <w:p>
      <w:pPr>
        <w:spacing w:after="0" w:line="101" w:lineRule="exact"/>
        <w:rPr>
          <w:sz w:val="20"/>
          <w:szCs w:val="20"/>
          <w:color w:val="auto"/>
        </w:rPr>
      </w:pPr>
    </w:p>
    <w:p>
      <w:pPr>
        <w:ind w:right="220"/>
        <w:spacing w:after="0" w:line="228" w:lineRule="auto"/>
        <w:rPr>
          <w:sz w:val="20"/>
          <w:szCs w:val="20"/>
          <w:color w:val="auto"/>
        </w:rPr>
      </w:pPr>
      <w:r>
        <w:rPr>
          <w:rFonts w:ascii="Arial" w:cs="Arial" w:eastAsia="Arial" w:hAnsi="Arial"/>
          <w:sz w:val="10"/>
          <w:szCs w:val="10"/>
          <w:color w:val="auto"/>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88" w:lineRule="exact"/>
        <w:rPr>
          <w:sz w:val="20"/>
          <w:szCs w:val="20"/>
          <w:color w:val="auto"/>
        </w:rPr>
      </w:pPr>
    </w:p>
    <w:p>
      <w:pPr>
        <w:ind w:right="560"/>
        <w:spacing w:after="0" w:line="237" w:lineRule="auto"/>
        <w:rPr>
          <w:sz w:val="20"/>
          <w:szCs w:val="20"/>
          <w:color w:val="auto"/>
        </w:rPr>
      </w:pPr>
      <w:r>
        <w:rPr>
          <w:rFonts w:ascii="Arial" w:cs="Arial" w:eastAsia="Arial" w:hAnsi="Arial"/>
          <w:sz w:val="10"/>
          <w:szCs w:val="10"/>
          <w:color w:val="auto"/>
        </w:rPr>
        <w:t>From time to time, there are claims brought against us relating to the exposure of former employees to asbestos and/or coal dust. These are generally covered by an insurance settlement reached in September 1990 with our insurance providers1555. However, this insurance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559" w:right="640" w:bottom="1440" w:gutter="0" w:footer="0" w:header="0"/>
        </w:sectPr>
      </w:pPr>
    </w:p>
    <w:bookmarkStart w:id="19" w:name="page20"/>
    <w:bookmarkEnd w:id="19"/>
    <w:p>
      <w:pPr>
        <w:ind w:right="60"/>
        <w:spacing w:after="0" w:line="237" w:lineRule="auto"/>
        <w:rPr>
          <w:sz w:val="20"/>
          <w:szCs w:val="20"/>
          <w:color w:val="auto"/>
        </w:rPr>
      </w:pPr>
      <w:r>
        <w:rPr>
          <w:rFonts w:ascii="Arial" w:cs="Arial" w:eastAsia="Arial" w:hAnsi="Arial"/>
          <w:sz w:val="10"/>
          <w:szCs w:val="10"/>
          <w:color w:val="auto"/>
        </w:rPr>
        <w:t>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not material.</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16 – Non-controlling Interests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These are composed of the following enterprises: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0"/>
          <w:szCs w:val="10"/>
          <w:color w:val="auto"/>
        </w:rPr>
        <w:t>Australia Country Cinemas Pty Ltd. - 25% noncontrolling interest owned by Panorama Group International Pty Ltd;</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0"/>
          <w:szCs w:val="10"/>
          <w:color w:val="auto"/>
        </w:rPr>
        <w:t>Shadow View Land and Farming, LLC - 50% noncontrolling membership interest owned by the estate of Mr. James J. Cotter, Sr. (the “Cotter Estate”); and,</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0"/>
          <w:szCs w:val="10"/>
          <w:color w:val="auto"/>
        </w:rPr>
        <w:t>Sutton Hill Properties, LLC - 25% noncontrolling interest owned by Sutton Hill Capital, LLC (which in turn is 50% owned by the Cotter Estate).</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The components of noncontrolling interests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48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right"/>
              <w:ind w:right="86"/>
              <w:spacing w:after="0"/>
              <w:rPr>
                <w:sz w:val="20"/>
                <w:szCs w:val="20"/>
                <w:color w:val="auto"/>
              </w:rPr>
            </w:pPr>
            <w:r>
              <w:rPr>
                <w:rFonts w:ascii="Arial" w:cs="Arial" w:eastAsia="Arial" w:hAnsi="Arial"/>
                <w:sz w:val="8"/>
                <w:szCs w:val="8"/>
                <w:b w:val="1"/>
                <w:bCs w:val="1"/>
                <w:color w:val="auto"/>
              </w:rPr>
              <w:t>September 30,</w:t>
            </w: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gridSpan w:val="2"/>
          </w:tcPr>
          <w:p>
            <w:pPr>
              <w:ind w:left="40"/>
              <w:spacing w:after="0"/>
              <w:rPr>
                <w:sz w:val="20"/>
                <w:szCs w:val="20"/>
                <w:color w:val="auto"/>
              </w:rPr>
            </w:pPr>
            <w:r>
              <w:rPr>
                <w:rFonts w:ascii="Arial" w:cs="Arial" w:eastAsia="Arial" w:hAnsi="Arial"/>
                <w:sz w:val="8"/>
                <w:szCs w:val="8"/>
                <w:b w:val="1"/>
                <w:bCs w:val="1"/>
                <w:color w:val="auto"/>
              </w:rPr>
              <w:t>December 31,</w:t>
            </w: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48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266"/>
              <w:spacing w:after="0"/>
              <w:rPr>
                <w:sz w:val="20"/>
                <w:szCs w:val="20"/>
                <w:color w:val="auto"/>
              </w:rPr>
            </w:pPr>
            <w:r>
              <w:rPr>
                <w:rFonts w:ascii="Arial" w:cs="Arial" w:eastAsia="Arial" w:hAnsi="Arial"/>
                <w:sz w:val="8"/>
                <w:szCs w:val="8"/>
                <w:b w:val="1"/>
                <w:bCs w:val="1"/>
                <w:color w:val="auto"/>
              </w:rPr>
              <w:t>2023</w:t>
            </w: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2022</w:t>
            </w:r>
          </w:p>
        </w:tc>
        <w:tc>
          <w:tcPr>
            <w:tcW w:w="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80" w:type="dxa"/>
            <w:vAlign w:val="bottom"/>
            <w:gridSpan w:val="2"/>
            <w:shd w:val="clear" w:color="auto" w:fill="CCEEFF"/>
          </w:tcPr>
          <w:p>
            <w:pPr>
              <w:spacing w:after="0" w:line="100" w:lineRule="exact"/>
              <w:rPr>
                <w:sz w:val="20"/>
                <w:szCs w:val="20"/>
                <w:color w:val="auto"/>
              </w:rPr>
            </w:pPr>
            <w:r>
              <w:rPr>
                <w:rFonts w:ascii="Arial" w:cs="Arial" w:eastAsia="Arial" w:hAnsi="Arial"/>
                <w:sz w:val="10"/>
                <w:szCs w:val="10"/>
                <w:color w:val="auto"/>
              </w:rPr>
              <w:t>Australian Country Cinemas, Pty Ltd</w:t>
            </w:r>
          </w:p>
        </w:tc>
        <w:tc>
          <w:tcPr>
            <w:tcW w:w="28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tcBorders>
              <w:right w:val="single" w:sz="8" w:color="CCEEFF"/>
            </w:tcBorders>
            <w:shd w:val="clear" w:color="auto" w:fill="CCEEFF"/>
          </w:tcPr>
          <w:p>
            <w:pPr>
              <w:spacing w:after="0"/>
              <w:rPr>
                <w:sz w:val="8"/>
                <w:szCs w:val="8"/>
                <w:color w:val="auto"/>
              </w:rPr>
            </w:pPr>
          </w:p>
        </w:tc>
        <w:tc>
          <w:tcPr>
            <w:tcW w:w="70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gridSpan w:val="2"/>
            <w:shd w:val="clear" w:color="auto" w:fill="CCEEFF"/>
          </w:tcPr>
          <w:p>
            <w:pPr>
              <w:spacing w:after="0" w:line="100"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82</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3"/>
            <w:shd w:val="clear" w:color="auto" w:fill="CCEEFF"/>
          </w:tcPr>
          <w:p>
            <w:pPr>
              <w:jc w:val="center"/>
              <w:ind w:right="111"/>
              <w:spacing w:after="0" w:line="100"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26</w:t>
            </w:r>
          </w:p>
        </w:tc>
        <w:tc>
          <w:tcPr>
            <w:tcW w:w="0" w:type="dxa"/>
            <w:vAlign w:val="bottom"/>
          </w:tcPr>
          <w:p>
            <w:pPr>
              <w:spacing w:after="0"/>
              <w:rPr>
                <w:sz w:val="1"/>
                <w:szCs w:val="1"/>
                <w:color w:val="auto"/>
              </w:rPr>
            </w:pPr>
          </w:p>
        </w:tc>
      </w:tr>
      <w:tr>
        <w:trPr>
          <w:trHeight w:val="105"/>
        </w:trPr>
        <w:tc>
          <w:tcPr>
            <w:tcW w:w="2480" w:type="dxa"/>
            <w:vAlign w:val="bottom"/>
            <w:gridSpan w:val="2"/>
          </w:tcPr>
          <w:p>
            <w:pPr>
              <w:spacing w:after="0" w:line="105" w:lineRule="exact"/>
              <w:rPr>
                <w:sz w:val="20"/>
                <w:szCs w:val="20"/>
                <w:color w:val="auto"/>
              </w:rPr>
            </w:pPr>
            <w:r>
              <w:rPr>
                <w:rFonts w:ascii="Arial" w:cs="Arial" w:eastAsia="Arial" w:hAnsi="Arial"/>
                <w:sz w:val="10"/>
                <w:szCs w:val="10"/>
                <w:color w:val="auto"/>
              </w:rPr>
              <w:t>Shadow View Land and Farming, LLC</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(2)</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jc w:val="right"/>
              <w:spacing w:after="0" w:line="105"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05"/>
        </w:trPr>
        <w:tc>
          <w:tcPr>
            <w:tcW w:w="248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Sutton Hill Properties, LLC</w:t>
            </w:r>
          </w:p>
        </w:tc>
        <w:tc>
          <w:tcPr>
            <w:tcW w:w="28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(23)</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400</w:t>
            </w:r>
          </w:p>
        </w:tc>
        <w:tc>
          <w:tcPr>
            <w:tcW w:w="0" w:type="dxa"/>
            <w:vAlign w:val="bottom"/>
          </w:tcPr>
          <w:p>
            <w:pPr>
              <w:spacing w:after="0"/>
              <w:rPr>
                <w:sz w:val="1"/>
                <w:szCs w:val="1"/>
                <w:color w:val="auto"/>
              </w:rPr>
            </w:pPr>
          </w:p>
        </w:tc>
      </w:tr>
      <w:tr>
        <w:trPr>
          <w:trHeight w:val="93"/>
        </w:trPr>
        <w:tc>
          <w:tcPr>
            <w:tcW w:w="2480" w:type="dxa"/>
            <w:vAlign w:val="bottom"/>
            <w:gridSpan w:val="2"/>
          </w:tcPr>
          <w:p>
            <w:pPr>
              <w:spacing w:after="0" w:line="93" w:lineRule="exact"/>
              <w:rPr>
                <w:sz w:val="20"/>
                <w:szCs w:val="20"/>
                <w:color w:val="auto"/>
              </w:rPr>
            </w:pPr>
            <w:r>
              <w:rPr>
                <w:rFonts w:ascii="Arial" w:cs="Arial" w:eastAsia="Arial" w:hAnsi="Arial"/>
                <w:sz w:val="10"/>
                <w:szCs w:val="10"/>
                <w:b w:val="1"/>
                <w:bCs w:val="1"/>
                <w:color w:val="auto"/>
                <w:w w:val="97"/>
              </w:rPr>
              <w:t>Noncontrolling interests in consolidated subsidiaries</w:t>
            </w: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gridSpan w:val="2"/>
          </w:tcPr>
          <w:p>
            <w:pPr>
              <w:spacing w:after="0" w:line="93" w:lineRule="exact"/>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57</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auto"/>
            </w:tcBorders>
            <w:gridSpan w:val="2"/>
          </w:tcPr>
          <w:p>
            <w:pPr>
              <w:jc w:val="center"/>
              <w:ind w:right="231"/>
              <w:spacing w:after="0" w:line="93" w:lineRule="exact"/>
              <w:rPr>
                <w:sz w:val="20"/>
                <w:szCs w:val="20"/>
                <w:color w:val="auto"/>
              </w:rPr>
            </w:pPr>
            <w:r>
              <w:rPr>
                <w:rFonts w:ascii="Arial" w:cs="Arial" w:eastAsia="Arial" w:hAnsi="Arial"/>
                <w:sz w:val="10"/>
                <w:szCs w:val="10"/>
                <w:b w:val="1"/>
                <w:bCs w:val="1"/>
                <w:color w:val="auto"/>
              </w:rPr>
              <w:t>$</w:t>
            </w: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423</w:t>
            </w:r>
          </w:p>
        </w:tc>
        <w:tc>
          <w:tcPr>
            <w:tcW w:w="0" w:type="dxa"/>
            <w:vAlign w:val="bottom"/>
          </w:tcPr>
          <w:p>
            <w:pPr>
              <w:spacing w:after="0"/>
              <w:rPr>
                <w:sz w:val="1"/>
                <w:szCs w:val="1"/>
                <w:color w:val="auto"/>
              </w:rPr>
            </w:pPr>
          </w:p>
        </w:tc>
      </w:tr>
      <w:tr>
        <w:trPr>
          <w:trHeight w:val="218"/>
        </w:trPr>
        <w:tc>
          <w:tcPr>
            <w:tcW w:w="3560" w:type="dxa"/>
            <w:vAlign w:val="bottom"/>
            <w:gridSpan w:val="6"/>
          </w:tcPr>
          <w:p>
            <w:pPr>
              <w:spacing w:after="0"/>
              <w:rPr>
                <w:sz w:val="20"/>
                <w:szCs w:val="20"/>
                <w:color w:val="auto"/>
              </w:rPr>
            </w:pPr>
            <w:r>
              <w:rPr>
                <w:rFonts w:ascii="Arial" w:cs="Arial" w:eastAsia="Arial" w:hAnsi="Arial"/>
                <w:sz w:val="10"/>
                <w:szCs w:val="10"/>
                <w:color w:val="auto"/>
                <w:w w:val="98"/>
              </w:rPr>
              <w:t>The components of income attributable to noncontrolling interests are as follows: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4"/>
          </w:tcPr>
          <w:p>
            <w:pPr>
              <w:jc w:val="center"/>
              <w:ind w:left="224"/>
              <w:spacing w:after="0"/>
              <w:rPr>
                <w:sz w:val="20"/>
                <w:szCs w:val="20"/>
                <w:color w:val="auto"/>
              </w:rPr>
            </w:pPr>
            <w:r>
              <w:rPr>
                <w:rFonts w:ascii="Arial" w:cs="Arial" w:eastAsia="Arial" w:hAnsi="Arial"/>
                <w:sz w:val="8"/>
                <w:szCs w:val="8"/>
                <w:b w:val="1"/>
                <w:bCs w:val="1"/>
                <w:color w:val="auto"/>
              </w:rPr>
              <w:t>Quarter Ended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7"/>
          </w:tcPr>
          <w:p>
            <w:pPr>
              <w:jc w:val="center"/>
              <w:ind w:left="786"/>
              <w:spacing w:after="0"/>
              <w:rPr>
                <w:sz w:val="20"/>
                <w:szCs w:val="20"/>
                <w:color w:val="auto"/>
              </w:rPr>
            </w:pPr>
            <w:r>
              <w:rPr>
                <w:rFonts w:ascii="Arial" w:cs="Arial" w:eastAsia="Arial" w:hAnsi="Arial"/>
                <w:sz w:val="8"/>
                <w:szCs w:val="8"/>
                <w:b w:val="1"/>
                <w:bCs w:val="1"/>
                <w:color w:val="auto"/>
              </w:rPr>
              <w:t>Nine Months Ended</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248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4"/>
          </w:tcPr>
          <w:p>
            <w:pPr>
              <w:jc w:val="center"/>
              <w:ind w:left="224"/>
              <w:spacing w:after="0"/>
              <w:rPr>
                <w:sz w:val="20"/>
                <w:szCs w:val="20"/>
                <w:color w:val="auto"/>
              </w:rPr>
            </w:pPr>
            <w:r>
              <w:rPr>
                <w:rFonts w:ascii="Arial" w:cs="Arial" w:eastAsia="Arial" w:hAnsi="Arial"/>
                <w:sz w:val="8"/>
                <w:szCs w:val="8"/>
                <w:b w:val="1"/>
                <w:bCs w:val="1"/>
                <w:color w:val="auto"/>
              </w:rPr>
              <w:t>September 30,</w:t>
            </w: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6"/>
          </w:tcPr>
          <w:p>
            <w:pPr>
              <w:jc w:val="center"/>
              <w:ind w:right="11"/>
              <w:spacing w:after="0"/>
              <w:rPr>
                <w:sz w:val="20"/>
                <w:szCs w:val="20"/>
                <w:color w:val="auto"/>
              </w:rPr>
            </w:pPr>
            <w:r>
              <w:rPr>
                <w:rFonts w:ascii="Arial" w:cs="Arial" w:eastAsia="Arial" w:hAnsi="Arial"/>
                <w:sz w:val="8"/>
                <w:szCs w:val="8"/>
                <w:b w:val="1"/>
                <w:bCs w:val="1"/>
                <w:color w:val="auto"/>
              </w:rPr>
              <w:t>September 30,</w:t>
            </w: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480" w:type="dxa"/>
            <w:vAlign w:val="bottom"/>
            <w:tcBorders>
              <w:bottom w:val="single" w:sz="8" w:color="auto"/>
            </w:tcBorders>
            <w:gridSpan w:val="2"/>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jc w:val="right"/>
              <w:ind w:right="524"/>
              <w:spacing w:after="0" w:line="78" w:lineRule="exact"/>
              <w:rPr>
                <w:sz w:val="20"/>
                <w:szCs w:val="20"/>
                <w:color w:val="auto"/>
              </w:rPr>
            </w:pPr>
            <w:r>
              <w:rPr>
                <w:rFonts w:ascii="Arial" w:cs="Arial" w:eastAsia="Arial" w:hAnsi="Arial"/>
                <w:sz w:val="8"/>
                <w:szCs w:val="8"/>
                <w:b w:val="1"/>
                <w:bCs w:val="1"/>
                <w:color w:val="auto"/>
                <w:w w:val="89"/>
              </w:rPr>
              <w:t>2023</w:t>
            </w: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tcPr>
          <w:p>
            <w:pPr>
              <w:jc w:val="right"/>
              <w:ind w:right="505"/>
              <w:spacing w:after="0" w:line="78" w:lineRule="exact"/>
              <w:rPr>
                <w:sz w:val="20"/>
                <w:szCs w:val="20"/>
                <w:color w:val="auto"/>
              </w:rPr>
            </w:pPr>
            <w:r>
              <w:rPr>
                <w:rFonts w:ascii="Arial" w:cs="Arial" w:eastAsia="Arial" w:hAnsi="Arial"/>
                <w:sz w:val="8"/>
                <w:szCs w:val="8"/>
                <w:b w:val="1"/>
                <w:bCs w:val="1"/>
                <w:color w:val="auto"/>
              </w:rPr>
              <w:t>2022</w:t>
            </w: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jc w:val="right"/>
              <w:ind w:right="266"/>
              <w:spacing w:after="0" w:line="78" w:lineRule="exact"/>
              <w:rPr>
                <w:sz w:val="20"/>
                <w:szCs w:val="20"/>
                <w:color w:val="auto"/>
              </w:rPr>
            </w:pPr>
            <w:r>
              <w:rPr>
                <w:rFonts w:ascii="Arial" w:cs="Arial" w:eastAsia="Arial" w:hAnsi="Arial"/>
                <w:sz w:val="8"/>
                <w:szCs w:val="8"/>
                <w:b w:val="1"/>
                <w:bCs w:val="1"/>
                <w:color w:val="auto"/>
              </w:rPr>
              <w:t>2023</w:t>
            </w: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ind w:left="20"/>
              <w:spacing w:after="0" w:line="78" w:lineRule="exact"/>
              <w:rPr>
                <w:sz w:val="20"/>
                <w:szCs w:val="20"/>
                <w:color w:val="auto"/>
              </w:rPr>
            </w:pPr>
            <w:r>
              <w:rPr>
                <w:rFonts w:ascii="Arial" w:cs="Arial" w:eastAsia="Arial" w:hAnsi="Arial"/>
                <w:sz w:val="8"/>
                <w:szCs w:val="8"/>
                <w:b w:val="1"/>
                <w:bCs w:val="1"/>
                <w:color w:val="auto"/>
              </w:rPr>
              <w:t>2022</w:t>
            </w:r>
          </w:p>
        </w:tc>
        <w:tc>
          <w:tcPr>
            <w:tcW w:w="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480" w:type="dxa"/>
            <w:vAlign w:val="bottom"/>
            <w:gridSpan w:val="2"/>
            <w:shd w:val="clear" w:color="auto" w:fill="CCEEFF"/>
          </w:tcPr>
          <w:p>
            <w:pPr>
              <w:spacing w:after="0" w:line="100" w:lineRule="exact"/>
              <w:rPr>
                <w:sz w:val="20"/>
                <w:szCs w:val="20"/>
                <w:color w:val="auto"/>
              </w:rPr>
            </w:pPr>
            <w:r>
              <w:rPr>
                <w:rFonts w:ascii="Arial" w:cs="Arial" w:eastAsia="Arial" w:hAnsi="Arial"/>
                <w:sz w:val="10"/>
                <w:szCs w:val="10"/>
                <w:color w:val="auto"/>
              </w:rPr>
              <w:t>Australian Country Cinemas, Pty Ltd</w:t>
            </w:r>
          </w:p>
        </w:tc>
        <w:tc>
          <w:tcPr>
            <w:tcW w:w="28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tcBorders>
              <w:right w:val="single" w:sz="8" w:color="CCEEFF"/>
            </w:tcBorders>
            <w:shd w:val="clear" w:color="auto" w:fill="CCEEFF"/>
          </w:tcPr>
          <w:p>
            <w:pPr>
              <w:spacing w:after="0"/>
              <w:rPr>
                <w:sz w:val="8"/>
                <w:szCs w:val="8"/>
                <w:color w:val="auto"/>
              </w:rPr>
            </w:pPr>
          </w:p>
        </w:tc>
        <w:tc>
          <w:tcPr>
            <w:tcW w:w="70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ind w:right="388"/>
              <w:spacing w:after="0"/>
              <w:rPr>
                <w:sz w:val="20"/>
                <w:szCs w:val="20"/>
                <w:color w:val="auto"/>
              </w:rPr>
            </w:pPr>
            <w:r>
              <w:rPr>
                <w:rFonts w:ascii="Arial" w:cs="Arial" w:eastAsia="Arial" w:hAnsi="Arial"/>
                <w:sz w:val="5"/>
                <w:szCs w:val="5"/>
                <w:color w:val="auto"/>
                <w:w w:val="70"/>
              </w:rPr>
              <w:t>$</w:t>
            </w: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4"/>
              <w:spacing w:after="0" w:line="100" w:lineRule="exact"/>
              <w:rPr>
                <w:sz w:val="20"/>
                <w:szCs w:val="20"/>
                <w:color w:val="auto"/>
              </w:rPr>
            </w:pPr>
            <w:r>
              <w:rPr>
                <w:rFonts w:ascii="Arial" w:cs="Arial" w:eastAsia="Arial" w:hAnsi="Arial"/>
                <w:sz w:val="10"/>
                <w:szCs w:val="10"/>
                <w:color w:val="auto"/>
              </w:rPr>
              <w:t>25</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line="100"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15</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100"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60</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3"/>
            <w:shd w:val="clear" w:color="auto" w:fill="CCEEFF"/>
          </w:tcPr>
          <w:p>
            <w:pPr>
              <w:jc w:val="center"/>
              <w:ind w:right="111"/>
              <w:spacing w:after="0" w:line="100"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color w:val="auto"/>
              </w:rPr>
              <w:t>76</w:t>
            </w:r>
          </w:p>
        </w:tc>
        <w:tc>
          <w:tcPr>
            <w:tcW w:w="0" w:type="dxa"/>
            <w:vAlign w:val="bottom"/>
          </w:tcPr>
          <w:p>
            <w:pPr>
              <w:spacing w:after="0"/>
              <w:rPr>
                <w:sz w:val="1"/>
                <w:szCs w:val="1"/>
                <w:color w:val="auto"/>
              </w:rPr>
            </w:pPr>
          </w:p>
        </w:tc>
      </w:tr>
      <w:tr>
        <w:trPr>
          <w:trHeight w:val="105"/>
        </w:trPr>
        <w:tc>
          <w:tcPr>
            <w:tcW w:w="2480" w:type="dxa"/>
            <w:vAlign w:val="bottom"/>
            <w:gridSpan w:val="2"/>
          </w:tcPr>
          <w:p>
            <w:pPr>
              <w:spacing w:after="0" w:line="105" w:lineRule="exact"/>
              <w:rPr>
                <w:sz w:val="20"/>
                <w:szCs w:val="20"/>
                <w:color w:val="auto"/>
              </w:rPr>
            </w:pPr>
            <w:r>
              <w:rPr>
                <w:rFonts w:ascii="Arial" w:cs="Arial" w:eastAsia="Arial" w:hAnsi="Arial"/>
                <w:sz w:val="10"/>
                <w:szCs w:val="10"/>
                <w:color w:val="auto"/>
              </w:rPr>
              <w:t>Shadow View Land and Farming, LLC</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4"/>
              <w:spacing w:after="0" w:line="105"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0"/>
                <w:szCs w:val="10"/>
                <w:color w:val="auto"/>
              </w:rPr>
              <w:t>(3)</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jc w:val="right"/>
              <w:spacing w:after="0" w:line="105"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jc w:val="right"/>
              <w:spacing w:after="0" w:line="105"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05"/>
        </w:trPr>
        <w:tc>
          <w:tcPr>
            <w:tcW w:w="248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Sutton Hill Properties, LLC</w:t>
            </w:r>
          </w:p>
        </w:tc>
        <w:tc>
          <w:tcPr>
            <w:tcW w:w="28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0"/>
              <w:spacing w:after="0" w:line="105" w:lineRule="exact"/>
              <w:rPr>
                <w:sz w:val="20"/>
                <w:szCs w:val="20"/>
                <w:color w:val="auto"/>
              </w:rPr>
            </w:pPr>
            <w:r>
              <w:rPr>
                <w:rFonts w:ascii="Arial" w:cs="Arial" w:eastAsia="Arial" w:hAnsi="Arial"/>
                <w:sz w:val="10"/>
                <w:szCs w:val="10"/>
                <w:color w:val="auto"/>
              </w:rPr>
              <w:t>(91)</w:t>
            </w: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26"/>
              <w:spacing w:after="0" w:line="105" w:lineRule="exact"/>
              <w:rPr>
                <w:sz w:val="20"/>
                <w:szCs w:val="20"/>
                <w:color w:val="auto"/>
              </w:rPr>
            </w:pPr>
            <w:r>
              <w:rPr>
                <w:rFonts w:ascii="Arial" w:cs="Arial" w:eastAsia="Arial" w:hAnsi="Arial"/>
                <w:sz w:val="10"/>
                <w:szCs w:val="10"/>
                <w:color w:val="auto"/>
              </w:rPr>
              <w:t>(134)</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80" w:type="dxa"/>
            <w:vAlign w:val="bottom"/>
            <w:gridSpan w:val="3"/>
            <w:shd w:val="clear" w:color="auto" w:fill="CCEEFF"/>
          </w:tcPr>
          <w:p>
            <w:pPr>
              <w:jc w:val="right"/>
              <w:ind w:right="20"/>
              <w:spacing w:after="0" w:line="105" w:lineRule="exact"/>
              <w:rPr>
                <w:sz w:val="20"/>
                <w:szCs w:val="20"/>
                <w:color w:val="auto"/>
              </w:rPr>
            </w:pPr>
            <w:r>
              <w:rPr>
                <w:rFonts w:ascii="Arial" w:cs="Arial" w:eastAsia="Arial" w:hAnsi="Arial"/>
                <w:sz w:val="10"/>
                <w:szCs w:val="10"/>
                <w:color w:val="auto"/>
              </w:rPr>
              <w:t>(422)</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(300)</w:t>
            </w:r>
          </w:p>
        </w:tc>
        <w:tc>
          <w:tcPr>
            <w:tcW w:w="0" w:type="dxa"/>
            <w:vAlign w:val="bottom"/>
          </w:tcPr>
          <w:p>
            <w:pPr>
              <w:spacing w:after="0"/>
              <w:rPr>
                <w:sz w:val="1"/>
                <w:szCs w:val="1"/>
                <w:color w:val="auto"/>
              </w:rPr>
            </w:pPr>
          </w:p>
        </w:tc>
      </w:tr>
      <w:tr>
        <w:trPr>
          <w:trHeight w:val="93"/>
        </w:trPr>
        <w:tc>
          <w:tcPr>
            <w:tcW w:w="3040" w:type="dxa"/>
            <w:vAlign w:val="bottom"/>
            <w:gridSpan w:val="4"/>
          </w:tcPr>
          <w:p>
            <w:pPr>
              <w:spacing w:after="0" w:line="93" w:lineRule="exact"/>
              <w:rPr>
                <w:sz w:val="20"/>
                <w:szCs w:val="20"/>
                <w:color w:val="auto"/>
              </w:rPr>
            </w:pPr>
            <w:r>
              <w:rPr>
                <w:rFonts w:ascii="Arial" w:cs="Arial" w:eastAsia="Arial" w:hAnsi="Arial"/>
                <w:sz w:val="10"/>
                <w:szCs w:val="10"/>
                <w:b w:val="1"/>
                <w:bCs w:val="1"/>
                <w:color w:val="auto"/>
              </w:rPr>
              <w:t>Net income (loss) attributable to noncontrolling interests</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5"/>
                <w:szCs w:val="5"/>
                <w:b w:val="1"/>
                <w:bCs w:val="1"/>
                <w:color w:val="auto"/>
                <w:w w:val="70"/>
              </w:rPr>
              <w:t>$</w:t>
            </w:r>
          </w:p>
        </w:tc>
        <w:tc>
          <w:tcPr>
            <w:tcW w:w="80" w:type="dxa"/>
            <w:vAlign w:val="bottom"/>
            <w:tcBorders>
              <w:top w:val="single" w:sz="8" w:color="auto"/>
              <w:bottom w:val="single" w:sz="8" w:color="auto"/>
            </w:tcBorders>
          </w:tcPr>
          <w:p>
            <w:pPr>
              <w:spacing w:after="0"/>
              <w:rPr>
                <w:sz w:val="8"/>
                <w:szCs w:val="8"/>
                <w:color w:val="auto"/>
              </w:rPr>
            </w:pPr>
          </w:p>
        </w:tc>
        <w:tc>
          <w:tcPr>
            <w:tcW w:w="74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(65)</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top w:val="single" w:sz="8" w:color="auto"/>
              <w:bottom w:val="single" w:sz="8" w:color="auto"/>
            </w:tcBorders>
          </w:tcPr>
          <w:p>
            <w:pPr>
              <w:spacing w:after="0" w:line="93" w:lineRule="exact"/>
              <w:rPr>
                <w:sz w:val="20"/>
                <w:szCs w:val="20"/>
                <w:color w:val="auto"/>
              </w:rPr>
            </w:pPr>
            <w:r>
              <w:rPr>
                <w:rFonts w:ascii="Arial" w:cs="Arial" w:eastAsia="Arial" w:hAnsi="Arial"/>
                <w:sz w:val="10"/>
                <w:szCs w:val="10"/>
                <w:b w:val="1"/>
                <w:bCs w:val="1"/>
                <w:color w:val="auto"/>
              </w:rPr>
              <w:t>$</w:t>
            </w:r>
          </w:p>
        </w:tc>
        <w:tc>
          <w:tcPr>
            <w:tcW w:w="12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(122)</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line="93" w:lineRule="exact"/>
              <w:rPr>
                <w:sz w:val="20"/>
                <w:szCs w:val="20"/>
                <w:color w:val="auto"/>
              </w:rPr>
            </w:pPr>
            <w:r>
              <w:rPr>
                <w:rFonts w:ascii="Arial" w:cs="Arial" w:eastAsia="Arial" w:hAnsi="Arial"/>
                <w:sz w:val="10"/>
                <w:szCs w:val="10"/>
                <w:b w:val="1"/>
                <w:bCs w:val="1"/>
                <w:color w:val="auto"/>
              </w:rPr>
              <w:t>$</w:t>
            </w:r>
          </w:p>
        </w:tc>
        <w:tc>
          <w:tcPr>
            <w:tcW w:w="90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auto"/>
            </w:tcBorders>
            <w:gridSpan w:val="2"/>
          </w:tcPr>
          <w:p>
            <w:pPr>
              <w:jc w:val="right"/>
              <w:spacing w:after="0" w:line="93" w:lineRule="exact"/>
              <w:rPr>
                <w:sz w:val="20"/>
                <w:szCs w:val="20"/>
                <w:color w:val="auto"/>
              </w:rPr>
            </w:pPr>
            <w:r>
              <w:rPr>
                <w:rFonts w:ascii="Arial" w:cs="Arial" w:eastAsia="Arial" w:hAnsi="Arial"/>
                <w:sz w:val="10"/>
                <w:szCs w:val="10"/>
                <w:b w:val="1"/>
                <w:bCs w:val="1"/>
                <w:color w:val="auto"/>
              </w:rPr>
              <w:t>(361)</w:t>
            </w:r>
          </w:p>
        </w:tc>
        <w:tc>
          <w:tcPr>
            <w:tcW w:w="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320" w:type="dxa"/>
            <w:vAlign w:val="bottom"/>
            <w:tcBorders>
              <w:top w:val="single" w:sz="8" w:color="auto"/>
              <w:bottom w:val="single" w:sz="8" w:color="auto"/>
            </w:tcBorders>
          </w:tcPr>
          <w:p>
            <w:pPr>
              <w:jc w:val="center"/>
              <w:ind w:right="231"/>
              <w:spacing w:after="0" w:line="93" w:lineRule="exact"/>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(228)</w:t>
            </w:r>
          </w:p>
        </w:tc>
        <w:tc>
          <w:tcPr>
            <w:tcW w:w="0" w:type="dxa"/>
            <w:vAlign w:val="bottom"/>
          </w:tcPr>
          <w:p>
            <w:pPr>
              <w:spacing w:after="0"/>
              <w:rPr>
                <w:sz w:val="1"/>
                <w:szCs w:val="1"/>
                <w:color w:val="auto"/>
              </w:rPr>
            </w:pPr>
          </w:p>
        </w:tc>
      </w:tr>
      <w:tr>
        <w:trPr>
          <w:trHeight w:val="198"/>
        </w:trPr>
        <w:tc>
          <w:tcPr>
            <w:tcW w:w="276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w w:val="96"/>
              </w:rPr>
              <w:t>Summary of Controlling and Noncontrolling Stockholders’ Equity</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60" w:type="dxa"/>
            <w:vAlign w:val="bottom"/>
            <w:gridSpan w:val="7"/>
          </w:tcPr>
          <w:p>
            <w:pPr>
              <w:spacing w:after="0"/>
              <w:rPr>
                <w:sz w:val="20"/>
                <w:szCs w:val="20"/>
                <w:color w:val="auto"/>
              </w:rPr>
            </w:pPr>
            <w:r>
              <w:rPr>
                <w:rFonts w:ascii="Arial" w:cs="Arial" w:eastAsia="Arial" w:hAnsi="Arial"/>
                <w:sz w:val="10"/>
                <w:szCs w:val="10"/>
                <w:color w:val="auto"/>
              </w:rPr>
              <w:t>A summary of the changes in controlling and noncontrolling stockholders’ equity is as follows: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7"/>
                <w:szCs w:val="7"/>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w w:val="94"/>
              </w:rPr>
              <w:t>Retained</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86"/>
              <w:spacing w:after="0"/>
              <w:rPr>
                <w:sz w:val="20"/>
                <w:szCs w:val="20"/>
                <w:color w:val="auto"/>
              </w:rPr>
            </w:pPr>
            <w:r>
              <w:rPr>
                <w:rFonts w:ascii="Arial" w:cs="Arial" w:eastAsia="Arial" w:hAnsi="Arial"/>
                <w:sz w:val="7"/>
                <w:szCs w:val="7"/>
                <w:b w:val="1"/>
                <w:bCs w:val="1"/>
                <w:color w:val="auto"/>
                <w:w w:val="95"/>
              </w:rPr>
              <w:t>Accumulated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66"/>
              <w:spacing w:after="0"/>
              <w:rPr>
                <w:sz w:val="20"/>
                <w:szCs w:val="20"/>
                <w:color w:val="auto"/>
              </w:rPr>
            </w:pPr>
            <w:r>
              <w:rPr>
                <w:rFonts w:ascii="Arial" w:cs="Arial" w:eastAsia="Arial" w:hAnsi="Arial"/>
                <w:sz w:val="7"/>
                <w:szCs w:val="7"/>
                <w:b w:val="1"/>
                <w:bCs w:val="1"/>
                <w:color w:val="auto"/>
                <w:w w:val="93"/>
              </w:rPr>
              <w:t>Reading</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gridSpan w:val="2"/>
          </w:tcPr>
          <w:p>
            <w:pPr>
              <w:jc w:val="center"/>
              <w:ind w:right="166"/>
              <w:spacing w:after="0" w:line="48" w:lineRule="exact"/>
              <w:rPr>
                <w:sz w:val="20"/>
                <w:szCs w:val="20"/>
                <w:color w:val="auto"/>
              </w:rPr>
            </w:pPr>
            <w:r>
              <w:rPr>
                <w:rFonts w:ascii="Arial" w:cs="Arial" w:eastAsia="Arial" w:hAnsi="Arial"/>
                <w:sz w:val="5"/>
                <w:szCs w:val="5"/>
                <w:b w:val="1"/>
                <w:bCs w:val="1"/>
                <w:color w:val="auto"/>
              </w:rPr>
              <w:t>Class A</w:t>
            </w:r>
          </w:p>
        </w:tc>
        <w:tc>
          <w:tcPr>
            <w:tcW w:w="100" w:type="dxa"/>
            <w:vAlign w:val="bottom"/>
          </w:tcPr>
          <w:p>
            <w:pPr>
              <w:spacing w:after="0"/>
              <w:rPr>
                <w:sz w:val="4"/>
                <w:szCs w:val="4"/>
                <w:color w:val="auto"/>
              </w:rPr>
            </w:pPr>
          </w:p>
        </w:tc>
        <w:tc>
          <w:tcPr>
            <w:tcW w:w="420" w:type="dxa"/>
            <w:vAlign w:val="bottom"/>
            <w:tcBorders>
              <w:right w:val="single" w:sz="8" w:color="auto"/>
            </w:tcBorders>
          </w:tcPr>
          <w:p>
            <w:pPr>
              <w:jc w:val="center"/>
              <w:ind w:right="108"/>
              <w:spacing w:after="0" w:line="48" w:lineRule="exact"/>
              <w:rPr>
                <w:sz w:val="20"/>
                <w:szCs w:val="20"/>
                <w:color w:val="auto"/>
              </w:rPr>
            </w:pPr>
            <w:r>
              <w:rPr>
                <w:rFonts w:ascii="Arial" w:cs="Arial" w:eastAsia="Arial" w:hAnsi="Arial"/>
                <w:sz w:val="5"/>
                <w:szCs w:val="5"/>
                <w:b w:val="1"/>
                <w:bCs w:val="1"/>
                <w:color w:val="auto"/>
              </w:rPr>
              <w:t>Class A</w:t>
            </w:r>
          </w:p>
        </w:tc>
        <w:tc>
          <w:tcPr>
            <w:tcW w:w="700" w:type="dxa"/>
            <w:vAlign w:val="bottom"/>
            <w:tcBorders>
              <w:right w:val="single" w:sz="8" w:color="auto"/>
            </w:tcBorders>
          </w:tcPr>
          <w:p>
            <w:pPr>
              <w:jc w:val="center"/>
              <w:spacing w:after="0" w:line="48" w:lineRule="exact"/>
              <w:rPr>
                <w:sz w:val="20"/>
                <w:szCs w:val="20"/>
                <w:color w:val="auto"/>
              </w:rPr>
            </w:pPr>
            <w:r>
              <w:rPr>
                <w:rFonts w:ascii="Arial" w:cs="Arial" w:eastAsia="Arial" w:hAnsi="Arial"/>
                <w:sz w:val="5"/>
                <w:szCs w:val="5"/>
                <w:b w:val="1"/>
                <w:bCs w:val="1"/>
                <w:color w:val="auto"/>
              </w:rPr>
              <w:t>Class B</w:t>
            </w:r>
          </w:p>
        </w:tc>
        <w:tc>
          <w:tcPr>
            <w:tcW w:w="120" w:type="dxa"/>
            <w:vAlign w:val="bottom"/>
          </w:tcPr>
          <w:p>
            <w:pPr>
              <w:spacing w:after="0"/>
              <w:rPr>
                <w:sz w:val="4"/>
                <w:szCs w:val="4"/>
                <w:color w:val="auto"/>
              </w:rPr>
            </w:pPr>
          </w:p>
        </w:tc>
        <w:tc>
          <w:tcPr>
            <w:tcW w:w="440" w:type="dxa"/>
            <w:vAlign w:val="bottom"/>
            <w:tcBorders>
              <w:right w:val="single" w:sz="8" w:color="auto"/>
            </w:tcBorders>
          </w:tcPr>
          <w:p>
            <w:pPr>
              <w:jc w:val="right"/>
              <w:ind w:right="148"/>
              <w:spacing w:after="0" w:line="48" w:lineRule="exact"/>
              <w:rPr>
                <w:sz w:val="20"/>
                <w:szCs w:val="20"/>
                <w:color w:val="auto"/>
              </w:rPr>
            </w:pPr>
            <w:r>
              <w:rPr>
                <w:rFonts w:ascii="Arial" w:cs="Arial" w:eastAsia="Arial" w:hAnsi="Arial"/>
                <w:sz w:val="5"/>
                <w:szCs w:val="5"/>
                <w:b w:val="1"/>
                <w:bCs w:val="1"/>
                <w:color w:val="auto"/>
              </w:rPr>
              <w:t>Class B</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gridSpan w:val="2"/>
          </w:tcPr>
          <w:p>
            <w:pPr>
              <w:jc w:val="center"/>
              <w:ind w:right="88"/>
              <w:spacing w:after="0" w:line="48" w:lineRule="exact"/>
              <w:rPr>
                <w:sz w:val="20"/>
                <w:szCs w:val="20"/>
                <w:color w:val="auto"/>
              </w:rPr>
            </w:pPr>
            <w:r>
              <w:rPr>
                <w:rFonts w:ascii="Arial" w:cs="Arial" w:eastAsia="Arial" w:hAnsi="Arial"/>
                <w:sz w:val="5"/>
                <w:szCs w:val="5"/>
                <w:b w:val="1"/>
                <w:bCs w:val="1"/>
                <w:color w:val="auto"/>
              </w:rPr>
              <w:t>Additional</w:t>
            </w:r>
          </w:p>
        </w:tc>
        <w:tc>
          <w:tcPr>
            <w:tcW w:w="80" w:type="dxa"/>
            <w:vAlign w:val="bottom"/>
          </w:tcPr>
          <w:p>
            <w:pPr>
              <w:spacing w:after="0"/>
              <w:rPr>
                <w:sz w:val="4"/>
                <w:szCs w:val="4"/>
                <w:color w:val="auto"/>
              </w:rPr>
            </w:pPr>
          </w:p>
        </w:tc>
        <w:tc>
          <w:tcPr>
            <w:tcW w:w="760" w:type="dxa"/>
            <w:vAlign w:val="bottom"/>
            <w:gridSpan w:val="2"/>
          </w:tcPr>
          <w:p>
            <w:pPr>
              <w:jc w:val="center"/>
              <w:ind w:right="120"/>
              <w:spacing w:after="0" w:line="48" w:lineRule="exact"/>
              <w:rPr>
                <w:sz w:val="20"/>
                <w:szCs w:val="20"/>
                <w:color w:val="auto"/>
              </w:rPr>
            </w:pPr>
            <w:r>
              <w:rPr>
                <w:rFonts w:ascii="Arial" w:cs="Arial" w:eastAsia="Arial" w:hAnsi="Arial"/>
                <w:sz w:val="5"/>
                <w:szCs w:val="5"/>
                <w:b w:val="1"/>
                <w:bCs w:val="1"/>
                <w:color w:val="auto"/>
              </w:rPr>
              <w:t>Earnings</w:t>
            </w:r>
          </w:p>
        </w:tc>
        <w:tc>
          <w:tcPr>
            <w:tcW w:w="140" w:type="dxa"/>
            <w:vAlign w:val="bottom"/>
          </w:tcPr>
          <w:p>
            <w:pPr>
              <w:spacing w:after="0"/>
              <w:rPr>
                <w:sz w:val="4"/>
                <w:szCs w:val="4"/>
                <w:color w:val="auto"/>
              </w:rPr>
            </w:pPr>
          </w:p>
        </w:tc>
        <w:tc>
          <w:tcPr>
            <w:tcW w:w="480" w:type="dxa"/>
            <w:vAlign w:val="bottom"/>
            <w:vMerge w:val="restart"/>
          </w:tcPr>
          <w:p>
            <w:pPr>
              <w:spacing w:after="0"/>
              <w:rPr>
                <w:sz w:val="20"/>
                <w:szCs w:val="20"/>
                <w:color w:val="auto"/>
              </w:rPr>
            </w:pPr>
            <w:r>
              <w:rPr>
                <w:rFonts w:ascii="Arial" w:cs="Arial" w:eastAsia="Arial" w:hAnsi="Arial"/>
                <w:sz w:val="7"/>
                <w:szCs w:val="7"/>
                <w:b w:val="1"/>
                <w:bCs w:val="1"/>
                <w:color w:val="auto"/>
              </w:rPr>
              <w:t>Treasury</w:t>
            </w:r>
          </w:p>
        </w:tc>
        <w:tc>
          <w:tcPr>
            <w:tcW w:w="120" w:type="dxa"/>
            <w:vAlign w:val="bottom"/>
          </w:tcPr>
          <w:p>
            <w:pPr>
              <w:spacing w:after="0"/>
              <w:rPr>
                <w:sz w:val="4"/>
                <w:szCs w:val="4"/>
                <w:color w:val="auto"/>
              </w:rPr>
            </w:pPr>
          </w:p>
        </w:tc>
        <w:tc>
          <w:tcPr>
            <w:tcW w:w="840" w:type="dxa"/>
            <w:vAlign w:val="bottom"/>
            <w:gridSpan w:val="2"/>
          </w:tcPr>
          <w:p>
            <w:pPr>
              <w:jc w:val="center"/>
              <w:ind w:right="186"/>
              <w:spacing w:after="0" w:line="48" w:lineRule="exact"/>
              <w:rPr>
                <w:sz w:val="20"/>
                <w:szCs w:val="20"/>
                <w:color w:val="auto"/>
              </w:rPr>
            </w:pPr>
            <w:r>
              <w:rPr>
                <w:rFonts w:ascii="Arial" w:cs="Arial" w:eastAsia="Arial" w:hAnsi="Arial"/>
                <w:sz w:val="5"/>
                <w:szCs w:val="5"/>
                <w:b w:val="1"/>
                <w:bCs w:val="1"/>
                <w:color w:val="auto"/>
              </w:rPr>
              <w:t>Other</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jc w:val="center"/>
              <w:ind w:right="206"/>
              <w:spacing w:after="0" w:line="48" w:lineRule="exact"/>
              <w:rPr>
                <w:sz w:val="20"/>
                <w:szCs w:val="20"/>
                <w:color w:val="auto"/>
              </w:rPr>
            </w:pPr>
            <w:r>
              <w:rPr>
                <w:rFonts w:ascii="Arial" w:cs="Arial" w:eastAsia="Arial" w:hAnsi="Arial"/>
                <w:sz w:val="5"/>
                <w:szCs w:val="5"/>
                <w:b w:val="1"/>
                <w:bCs w:val="1"/>
                <w:color w:val="auto"/>
              </w:rPr>
              <w:t>International Inc.</w:t>
            </w:r>
          </w:p>
        </w:tc>
        <w:tc>
          <w:tcPr>
            <w:tcW w:w="740" w:type="dxa"/>
            <w:vAlign w:val="bottom"/>
            <w:gridSpan w:val="6"/>
            <w:vMerge w:val="restart"/>
          </w:tcPr>
          <w:p>
            <w:pPr>
              <w:jc w:val="center"/>
              <w:ind w:left="99"/>
              <w:spacing w:after="0"/>
              <w:rPr>
                <w:sz w:val="20"/>
                <w:szCs w:val="20"/>
                <w:color w:val="auto"/>
              </w:rPr>
            </w:pPr>
            <w:r>
              <w:rPr>
                <w:rFonts w:ascii="Arial" w:cs="Arial" w:eastAsia="Arial" w:hAnsi="Arial"/>
                <w:sz w:val="7"/>
                <w:szCs w:val="7"/>
                <w:b w:val="1"/>
                <w:bCs w:val="1"/>
                <w:color w:val="auto"/>
                <w:w w:val="96"/>
              </w:rPr>
              <w:t>Noncontrolling</w:t>
            </w:r>
          </w:p>
        </w:tc>
        <w:tc>
          <w:tcPr>
            <w:tcW w:w="200" w:type="dxa"/>
            <w:vAlign w:val="bottom"/>
          </w:tcPr>
          <w:p>
            <w:pPr>
              <w:spacing w:after="0"/>
              <w:rPr>
                <w:sz w:val="4"/>
                <w:szCs w:val="4"/>
                <w:color w:val="auto"/>
              </w:rPr>
            </w:pPr>
          </w:p>
        </w:tc>
        <w:tc>
          <w:tcPr>
            <w:tcW w:w="500" w:type="dxa"/>
            <w:vAlign w:val="bottom"/>
          </w:tcPr>
          <w:p>
            <w:pPr>
              <w:jc w:val="center"/>
              <w:ind w:left="188"/>
              <w:spacing w:after="0" w:line="48" w:lineRule="exact"/>
              <w:rPr>
                <w:sz w:val="20"/>
                <w:szCs w:val="20"/>
                <w:color w:val="auto"/>
              </w:rPr>
            </w:pPr>
            <w:r>
              <w:rPr>
                <w:rFonts w:ascii="Arial" w:cs="Arial" w:eastAsia="Arial" w:hAnsi="Arial"/>
                <w:sz w:val="5"/>
                <w:szCs w:val="5"/>
                <w:b w:val="1"/>
                <w:bCs w:val="1"/>
                <w:color w:val="auto"/>
              </w:rPr>
              <w:t>Total</w:t>
            </w: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i w:val="1"/>
                <w:iCs w:val="1"/>
                <w:color w:val="auto"/>
              </w:rPr>
              <w:t>(Dollars in thousands, except shares)</w:t>
            </w:r>
          </w:p>
        </w:tc>
        <w:tc>
          <w:tcPr>
            <w:tcW w:w="140" w:type="dxa"/>
            <w:vAlign w:val="bottom"/>
          </w:tcPr>
          <w:p>
            <w:pPr>
              <w:spacing w:after="0"/>
              <w:rPr>
                <w:sz w:val="5"/>
                <w:szCs w:val="5"/>
                <w:color w:val="auto"/>
              </w:rPr>
            </w:pPr>
          </w:p>
        </w:tc>
        <w:tc>
          <w:tcPr>
            <w:tcW w:w="560" w:type="dxa"/>
            <w:vAlign w:val="bottom"/>
            <w:tcBorders>
              <w:right w:val="single" w:sz="8" w:color="auto"/>
            </w:tcBorders>
            <w:gridSpan w:val="2"/>
          </w:tcPr>
          <w:p>
            <w:pPr>
              <w:jc w:val="center"/>
              <w:ind w:right="146"/>
              <w:spacing w:after="0" w:line="68" w:lineRule="exact"/>
              <w:rPr>
                <w:sz w:val="20"/>
                <w:szCs w:val="20"/>
                <w:color w:val="auto"/>
              </w:rPr>
            </w:pPr>
            <w:r>
              <w:rPr>
                <w:rFonts w:ascii="Arial" w:cs="Arial" w:eastAsia="Arial" w:hAnsi="Arial"/>
                <w:sz w:val="7"/>
                <w:szCs w:val="7"/>
                <w:b w:val="1"/>
                <w:bCs w:val="1"/>
                <w:color w:val="auto"/>
              </w:rPr>
              <w:t>Non-Voting</w:t>
            </w:r>
          </w:p>
        </w:tc>
        <w:tc>
          <w:tcPr>
            <w:tcW w:w="100" w:type="dxa"/>
            <w:vAlign w:val="bottom"/>
          </w:tcPr>
          <w:p>
            <w:pPr>
              <w:spacing w:after="0"/>
              <w:rPr>
                <w:sz w:val="5"/>
                <w:szCs w:val="5"/>
                <w:color w:val="auto"/>
              </w:rPr>
            </w:pPr>
          </w:p>
        </w:tc>
        <w:tc>
          <w:tcPr>
            <w:tcW w:w="420" w:type="dxa"/>
            <w:vAlign w:val="bottom"/>
            <w:tcBorders>
              <w:right w:val="single" w:sz="8" w:color="auto"/>
            </w:tcBorders>
          </w:tcPr>
          <w:p>
            <w:pPr>
              <w:jc w:val="center"/>
              <w:ind w:right="108"/>
              <w:spacing w:after="0" w:line="68" w:lineRule="exact"/>
              <w:rPr>
                <w:sz w:val="20"/>
                <w:szCs w:val="20"/>
                <w:color w:val="auto"/>
              </w:rPr>
            </w:pPr>
            <w:r>
              <w:rPr>
                <w:rFonts w:ascii="Arial" w:cs="Arial" w:eastAsia="Arial" w:hAnsi="Arial"/>
                <w:sz w:val="7"/>
                <w:szCs w:val="7"/>
                <w:b w:val="1"/>
                <w:bCs w:val="1"/>
                <w:color w:val="auto"/>
              </w:rPr>
              <w:t>Par</w:t>
            </w:r>
          </w:p>
        </w:tc>
        <w:tc>
          <w:tcPr>
            <w:tcW w:w="700" w:type="dxa"/>
            <w:vAlign w:val="bottom"/>
            <w:tcBorders>
              <w:right w:val="single" w:sz="8" w:color="auto"/>
            </w:tcBorders>
          </w:tcPr>
          <w:p>
            <w:pPr>
              <w:jc w:val="center"/>
              <w:spacing w:after="0" w:line="68" w:lineRule="exact"/>
              <w:rPr>
                <w:sz w:val="20"/>
                <w:szCs w:val="20"/>
                <w:color w:val="auto"/>
              </w:rPr>
            </w:pPr>
            <w:r>
              <w:rPr>
                <w:rFonts w:ascii="Arial" w:cs="Arial" w:eastAsia="Arial" w:hAnsi="Arial"/>
                <w:sz w:val="7"/>
                <w:szCs w:val="7"/>
                <w:b w:val="1"/>
                <w:bCs w:val="1"/>
                <w:color w:val="auto"/>
                <w:w w:val="91"/>
              </w:rPr>
              <w:t>Voting</w:t>
            </w:r>
          </w:p>
        </w:tc>
        <w:tc>
          <w:tcPr>
            <w:tcW w:w="120" w:type="dxa"/>
            <w:vAlign w:val="bottom"/>
          </w:tcPr>
          <w:p>
            <w:pPr>
              <w:spacing w:after="0"/>
              <w:rPr>
                <w:sz w:val="5"/>
                <w:szCs w:val="5"/>
                <w:color w:val="auto"/>
              </w:rPr>
            </w:pPr>
          </w:p>
        </w:tc>
        <w:tc>
          <w:tcPr>
            <w:tcW w:w="440" w:type="dxa"/>
            <w:vAlign w:val="bottom"/>
            <w:tcBorders>
              <w:right w:val="single" w:sz="8" w:color="auto"/>
            </w:tcBorders>
          </w:tcPr>
          <w:p>
            <w:pPr>
              <w:jc w:val="right"/>
              <w:ind w:right="208"/>
              <w:spacing w:after="0" w:line="68" w:lineRule="exact"/>
              <w:rPr>
                <w:sz w:val="20"/>
                <w:szCs w:val="20"/>
                <w:color w:val="auto"/>
              </w:rPr>
            </w:pPr>
            <w:r>
              <w:rPr>
                <w:rFonts w:ascii="Arial" w:cs="Arial" w:eastAsia="Arial" w:hAnsi="Arial"/>
                <w:sz w:val="7"/>
                <w:szCs w:val="7"/>
                <w:b w:val="1"/>
                <w:bCs w:val="1"/>
                <w:color w:val="auto"/>
              </w:rPr>
              <w:t>Par</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jc w:val="center"/>
              <w:ind w:right="128"/>
              <w:spacing w:after="0" w:line="68" w:lineRule="exact"/>
              <w:rPr>
                <w:sz w:val="20"/>
                <w:szCs w:val="20"/>
                <w:color w:val="auto"/>
              </w:rPr>
            </w:pPr>
            <w:r>
              <w:rPr>
                <w:rFonts w:ascii="Arial" w:cs="Arial" w:eastAsia="Arial" w:hAnsi="Arial"/>
                <w:sz w:val="7"/>
                <w:szCs w:val="7"/>
                <w:b w:val="1"/>
                <w:bCs w:val="1"/>
                <w:color w:val="auto"/>
                <w:w w:val="94"/>
              </w:rPr>
              <w:t>Paid-In</w:t>
            </w:r>
          </w:p>
        </w:tc>
        <w:tc>
          <w:tcPr>
            <w:tcW w:w="80" w:type="dxa"/>
            <w:vAlign w:val="bottom"/>
          </w:tcPr>
          <w:p>
            <w:pPr>
              <w:spacing w:after="0"/>
              <w:rPr>
                <w:sz w:val="5"/>
                <w:szCs w:val="5"/>
                <w:color w:val="auto"/>
              </w:rPr>
            </w:pPr>
          </w:p>
        </w:tc>
        <w:tc>
          <w:tcPr>
            <w:tcW w:w="760" w:type="dxa"/>
            <w:vAlign w:val="bottom"/>
            <w:gridSpan w:val="2"/>
          </w:tcPr>
          <w:p>
            <w:pPr>
              <w:jc w:val="center"/>
              <w:ind w:right="160"/>
              <w:spacing w:after="0" w:line="68" w:lineRule="exact"/>
              <w:rPr>
                <w:sz w:val="20"/>
                <w:szCs w:val="20"/>
                <w:color w:val="auto"/>
              </w:rPr>
            </w:pPr>
            <w:r>
              <w:rPr>
                <w:rFonts w:ascii="Arial" w:cs="Arial" w:eastAsia="Arial" w:hAnsi="Arial"/>
                <w:sz w:val="7"/>
                <w:szCs w:val="7"/>
                <w:b w:val="1"/>
                <w:bCs w:val="1"/>
                <w:color w:val="auto"/>
                <w:w w:val="94"/>
              </w:rPr>
              <w:t>(Accumulated</w:t>
            </w: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tcPr>
          <w:p>
            <w:pPr>
              <w:jc w:val="center"/>
              <w:ind w:right="186"/>
              <w:spacing w:after="0" w:line="68" w:lineRule="exact"/>
              <w:rPr>
                <w:sz w:val="20"/>
                <w:szCs w:val="20"/>
                <w:color w:val="auto"/>
              </w:rPr>
            </w:pPr>
            <w:r>
              <w:rPr>
                <w:rFonts w:ascii="Arial" w:cs="Arial" w:eastAsia="Arial" w:hAnsi="Arial"/>
                <w:sz w:val="7"/>
                <w:szCs w:val="7"/>
                <w:b w:val="1"/>
                <w:bCs w:val="1"/>
                <w:color w:val="auto"/>
                <w:w w:val="95"/>
              </w:rPr>
              <w:t>Comprehensive</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jc w:val="center"/>
              <w:ind w:right="186"/>
              <w:spacing w:after="0" w:line="68" w:lineRule="exact"/>
              <w:rPr>
                <w:sz w:val="20"/>
                <w:szCs w:val="20"/>
                <w:color w:val="auto"/>
              </w:rPr>
            </w:pPr>
            <w:r>
              <w:rPr>
                <w:rFonts w:ascii="Arial" w:cs="Arial" w:eastAsia="Arial" w:hAnsi="Arial"/>
                <w:sz w:val="7"/>
                <w:szCs w:val="7"/>
                <w:b w:val="1"/>
                <w:bCs w:val="1"/>
                <w:color w:val="auto"/>
                <w:w w:val="94"/>
              </w:rPr>
              <w:t>Stockholders’</w:t>
            </w:r>
          </w:p>
        </w:tc>
        <w:tc>
          <w:tcPr>
            <w:tcW w:w="74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gridSpan w:val="2"/>
          </w:tcPr>
          <w:p>
            <w:pPr>
              <w:jc w:val="center"/>
              <w:ind w:right="2"/>
              <w:spacing w:after="0" w:line="68" w:lineRule="exact"/>
              <w:rPr>
                <w:sz w:val="20"/>
                <w:szCs w:val="20"/>
                <w:color w:val="auto"/>
              </w:rPr>
            </w:pPr>
            <w:r>
              <w:rPr>
                <w:rFonts w:ascii="Arial" w:cs="Arial" w:eastAsia="Arial" w:hAnsi="Arial"/>
                <w:sz w:val="7"/>
                <w:szCs w:val="7"/>
                <w:b w:val="1"/>
                <w:bCs w:val="1"/>
                <w:color w:val="auto"/>
                <w:w w:val="94"/>
              </w:rPr>
              <w:t>Stockholders’</w:t>
            </w:r>
          </w:p>
        </w:tc>
        <w:tc>
          <w:tcPr>
            <w:tcW w:w="0" w:type="dxa"/>
            <w:vAlign w:val="bottom"/>
          </w:tcPr>
          <w:p>
            <w:pPr>
              <w:spacing w:after="0"/>
              <w:rPr>
                <w:sz w:val="1"/>
                <w:szCs w:val="1"/>
                <w:color w:val="auto"/>
              </w:rPr>
            </w:pPr>
          </w:p>
        </w:tc>
      </w:tr>
      <w:tr>
        <w:trPr>
          <w:trHeight w:val="75"/>
        </w:trPr>
        <w:tc>
          <w:tcPr>
            <w:tcW w:w="2340" w:type="dxa"/>
            <w:vAlign w:val="bottom"/>
            <w:tcBorders>
              <w:bottom w:val="single" w:sz="8" w:color="auto"/>
              <w:right w:val="single" w:sz="8" w:color="auto"/>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gridSpan w:val="2"/>
          </w:tcPr>
          <w:p>
            <w:pPr>
              <w:jc w:val="center"/>
              <w:ind w:right="146"/>
              <w:spacing w:after="0" w:line="75" w:lineRule="exact"/>
              <w:rPr>
                <w:sz w:val="20"/>
                <w:szCs w:val="20"/>
                <w:color w:val="auto"/>
              </w:rPr>
            </w:pPr>
            <w:r>
              <w:rPr>
                <w:rFonts w:ascii="Arial" w:cs="Arial" w:eastAsia="Arial" w:hAnsi="Arial"/>
                <w:sz w:val="7"/>
                <w:szCs w:val="7"/>
                <w:b w:val="1"/>
                <w:bCs w:val="1"/>
                <w:color w:val="auto"/>
                <w:w w:val="94"/>
              </w:rPr>
              <w:t>Shares</w:t>
            </w: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jc w:val="center"/>
              <w:ind w:right="88"/>
              <w:spacing w:after="0" w:line="75" w:lineRule="exact"/>
              <w:rPr>
                <w:sz w:val="20"/>
                <w:szCs w:val="20"/>
                <w:color w:val="auto"/>
              </w:rPr>
            </w:pPr>
            <w:r>
              <w:rPr>
                <w:rFonts w:ascii="Arial" w:cs="Arial" w:eastAsia="Arial" w:hAnsi="Arial"/>
                <w:sz w:val="7"/>
                <w:szCs w:val="7"/>
                <w:b w:val="1"/>
                <w:bCs w:val="1"/>
                <w:color w:val="auto"/>
                <w:w w:val="96"/>
              </w:rPr>
              <w:t>Value</w:t>
            </w:r>
          </w:p>
        </w:tc>
        <w:tc>
          <w:tcPr>
            <w:tcW w:w="700" w:type="dxa"/>
            <w:vAlign w:val="bottom"/>
            <w:tcBorders>
              <w:bottom w:val="single" w:sz="8" w:color="auto"/>
              <w:right w:val="single" w:sz="8" w:color="auto"/>
            </w:tcBorders>
          </w:tcPr>
          <w:p>
            <w:pPr>
              <w:jc w:val="center"/>
              <w:spacing w:after="0" w:line="75" w:lineRule="exact"/>
              <w:rPr>
                <w:sz w:val="20"/>
                <w:szCs w:val="20"/>
                <w:color w:val="auto"/>
              </w:rPr>
            </w:pPr>
            <w:r>
              <w:rPr>
                <w:rFonts w:ascii="Arial" w:cs="Arial" w:eastAsia="Arial" w:hAnsi="Arial"/>
                <w:sz w:val="7"/>
                <w:szCs w:val="7"/>
                <w:b w:val="1"/>
                <w:bCs w:val="1"/>
                <w:color w:val="auto"/>
                <w:w w:val="94"/>
              </w:rPr>
              <w:t>Shares</w:t>
            </w:r>
          </w:p>
        </w:tc>
        <w:tc>
          <w:tcPr>
            <w:tcW w:w="12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jc w:val="right"/>
              <w:ind w:right="168"/>
              <w:spacing w:after="0" w:line="75" w:lineRule="exact"/>
              <w:rPr>
                <w:sz w:val="20"/>
                <w:szCs w:val="20"/>
                <w:color w:val="auto"/>
              </w:rPr>
            </w:pPr>
            <w:r>
              <w:rPr>
                <w:rFonts w:ascii="Arial" w:cs="Arial" w:eastAsia="Arial" w:hAnsi="Arial"/>
                <w:sz w:val="7"/>
                <w:szCs w:val="7"/>
                <w:b w:val="1"/>
                <w:bCs w:val="1"/>
                <w:color w:val="auto"/>
              </w:rPr>
              <w:t>Value</w:t>
            </w: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jc w:val="center"/>
              <w:ind w:right="128"/>
              <w:spacing w:after="0" w:line="75" w:lineRule="exact"/>
              <w:rPr>
                <w:sz w:val="20"/>
                <w:szCs w:val="20"/>
                <w:color w:val="auto"/>
              </w:rPr>
            </w:pPr>
            <w:r>
              <w:rPr>
                <w:rFonts w:ascii="Arial" w:cs="Arial" w:eastAsia="Arial" w:hAnsi="Arial"/>
                <w:sz w:val="7"/>
                <w:szCs w:val="7"/>
                <w:b w:val="1"/>
                <w:bCs w:val="1"/>
                <w:color w:val="auto"/>
                <w:w w:val="94"/>
              </w:rPr>
              <w:t>Capital</w:t>
            </w:r>
          </w:p>
        </w:tc>
        <w:tc>
          <w:tcPr>
            <w:tcW w:w="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2"/>
          </w:tcPr>
          <w:p>
            <w:pPr>
              <w:jc w:val="center"/>
              <w:ind w:right="120"/>
              <w:spacing w:after="0" w:line="75" w:lineRule="exact"/>
              <w:rPr>
                <w:sz w:val="20"/>
                <w:szCs w:val="20"/>
                <w:color w:val="auto"/>
              </w:rPr>
            </w:pPr>
            <w:r>
              <w:rPr>
                <w:rFonts w:ascii="Arial" w:cs="Arial" w:eastAsia="Arial" w:hAnsi="Arial"/>
                <w:sz w:val="7"/>
                <w:szCs w:val="7"/>
                <w:b w:val="1"/>
                <w:bCs w:val="1"/>
                <w:color w:val="auto"/>
              </w:rPr>
              <w:t>Deficit)</w:t>
            </w: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jc w:val="right"/>
              <w:ind w:right="186"/>
              <w:spacing w:after="0" w:line="75" w:lineRule="exact"/>
              <w:rPr>
                <w:sz w:val="20"/>
                <w:szCs w:val="20"/>
                <w:color w:val="auto"/>
              </w:rPr>
            </w:pPr>
            <w:r>
              <w:rPr>
                <w:rFonts w:ascii="Arial" w:cs="Arial" w:eastAsia="Arial" w:hAnsi="Arial"/>
                <w:sz w:val="7"/>
                <w:szCs w:val="7"/>
                <w:b w:val="1"/>
                <w:bCs w:val="1"/>
                <w:color w:val="auto"/>
              </w:rPr>
              <w:t>Shares</w:t>
            </w: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tcPr>
          <w:p>
            <w:pPr>
              <w:jc w:val="center"/>
              <w:ind w:right="166"/>
              <w:spacing w:after="0" w:line="75" w:lineRule="exact"/>
              <w:rPr>
                <w:sz w:val="20"/>
                <w:szCs w:val="20"/>
                <w:color w:val="auto"/>
              </w:rPr>
            </w:pPr>
            <w:r>
              <w:rPr>
                <w:rFonts w:ascii="Arial" w:cs="Arial" w:eastAsia="Arial" w:hAnsi="Arial"/>
                <w:sz w:val="7"/>
                <w:szCs w:val="7"/>
                <w:b w:val="1"/>
                <w:bCs w:val="1"/>
                <w:color w:val="auto"/>
                <w:w w:val="92"/>
              </w:rPr>
              <w:t>Income (Loss)</w:t>
            </w: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jc w:val="center"/>
              <w:ind w:right="186"/>
              <w:spacing w:after="0" w:line="75" w:lineRule="exact"/>
              <w:rPr>
                <w:sz w:val="20"/>
                <w:szCs w:val="20"/>
                <w:color w:val="auto"/>
              </w:rPr>
            </w:pPr>
            <w:r>
              <w:rPr>
                <w:rFonts w:ascii="Arial" w:cs="Arial" w:eastAsia="Arial" w:hAnsi="Arial"/>
                <w:sz w:val="7"/>
                <w:szCs w:val="7"/>
                <w:b w:val="1"/>
                <w:bCs w:val="1"/>
                <w:color w:val="auto"/>
                <w:w w:val="93"/>
              </w:rPr>
              <w:t>Equity</w:t>
            </w: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gridSpan w:val="3"/>
          </w:tcPr>
          <w:p>
            <w:pPr>
              <w:jc w:val="center"/>
              <w:ind w:right="91"/>
              <w:spacing w:after="0" w:line="75" w:lineRule="exact"/>
              <w:rPr>
                <w:sz w:val="20"/>
                <w:szCs w:val="20"/>
                <w:color w:val="auto"/>
              </w:rPr>
            </w:pPr>
            <w:r>
              <w:rPr>
                <w:rFonts w:ascii="Arial" w:cs="Arial" w:eastAsia="Arial" w:hAnsi="Arial"/>
                <w:sz w:val="7"/>
                <w:szCs w:val="7"/>
                <w:b w:val="1"/>
                <w:bCs w:val="1"/>
                <w:color w:val="auto"/>
                <w:w w:val="95"/>
              </w:rPr>
              <w:t>Interests</w:t>
            </w: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jc w:val="center"/>
              <w:ind w:left="228"/>
              <w:spacing w:after="0" w:line="75" w:lineRule="exact"/>
              <w:rPr>
                <w:sz w:val="20"/>
                <w:szCs w:val="20"/>
                <w:color w:val="auto"/>
              </w:rPr>
            </w:pPr>
            <w:r>
              <w:rPr>
                <w:rFonts w:ascii="Arial" w:cs="Arial" w:eastAsia="Arial" w:hAnsi="Arial"/>
                <w:sz w:val="7"/>
                <w:szCs w:val="7"/>
                <w:b w:val="1"/>
                <w:bCs w:val="1"/>
                <w:color w:val="auto"/>
                <w:w w:val="93"/>
              </w:rPr>
              <w:t>Equity</w:t>
            </w:r>
          </w:p>
        </w:tc>
        <w:tc>
          <w:tcPr>
            <w:tcW w:w="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340" w:type="dxa"/>
            <w:vAlign w:val="bottom"/>
            <w:tcBorders>
              <w:bottom w:val="single" w:sz="8" w:color="auto"/>
              <w:right w:val="single" w:sz="8" w:color="auto"/>
            </w:tcBorders>
            <w:shd w:val="clear" w:color="auto" w:fill="CCEEFF"/>
          </w:tcPr>
          <w:p>
            <w:pPr>
              <w:spacing w:after="0" w:line="55" w:lineRule="exact"/>
              <w:rPr>
                <w:sz w:val="20"/>
                <w:szCs w:val="20"/>
                <w:color w:val="auto"/>
              </w:rPr>
            </w:pPr>
            <w:r>
              <w:rPr>
                <w:rFonts w:ascii="Arial" w:cs="Arial" w:eastAsia="Arial" w:hAnsi="Arial"/>
                <w:sz w:val="6"/>
                <w:szCs w:val="6"/>
                <w:color w:val="auto"/>
              </w:rPr>
              <w:t>At January 1, 2023</w:t>
            </w:r>
          </w:p>
        </w:tc>
        <w:tc>
          <w:tcPr>
            <w:tcW w:w="140" w:type="dxa"/>
            <w:vAlign w:val="bottom"/>
            <w:tcBorders>
              <w:bottom w:val="single" w:sz="8" w:color="auto"/>
            </w:tcBorders>
            <w:shd w:val="clear" w:color="auto" w:fill="CCEEFF"/>
          </w:tcPr>
          <w:p>
            <w:pPr>
              <w:spacing w:after="0"/>
              <w:rPr>
                <w:sz w:val="4"/>
                <w:szCs w:val="4"/>
                <w:color w:val="auto"/>
              </w:rPr>
            </w:pPr>
          </w:p>
        </w:tc>
        <w:tc>
          <w:tcPr>
            <w:tcW w:w="560" w:type="dxa"/>
            <w:vAlign w:val="bottom"/>
            <w:tcBorders>
              <w:bottom w:val="single" w:sz="8" w:color="auto"/>
              <w:right w:val="single" w:sz="8" w:color="auto"/>
            </w:tcBorders>
            <w:gridSpan w:val="2"/>
            <w:shd w:val="clear" w:color="auto" w:fill="CCEEFF"/>
          </w:tcPr>
          <w:p>
            <w:pPr>
              <w:jc w:val="right"/>
              <w:ind w:right="46"/>
              <w:spacing w:after="0" w:line="55" w:lineRule="exact"/>
              <w:rPr>
                <w:sz w:val="20"/>
                <w:szCs w:val="20"/>
                <w:color w:val="auto"/>
              </w:rPr>
            </w:pPr>
            <w:r>
              <w:rPr>
                <w:rFonts w:ascii="Arial" w:cs="Arial" w:eastAsia="Arial" w:hAnsi="Arial"/>
                <w:sz w:val="6"/>
                <w:szCs w:val="6"/>
                <w:color w:val="auto"/>
              </w:rPr>
              <w:t>20,412</w:t>
            </w:r>
          </w:p>
        </w:tc>
        <w:tc>
          <w:tcPr>
            <w:tcW w:w="10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auto"/>
              <w:right w:val="single" w:sz="8" w:color="auto"/>
            </w:tcBorders>
            <w:shd w:val="clear" w:color="auto" w:fill="CCEEFF"/>
          </w:tcPr>
          <w:p>
            <w:pPr>
              <w:jc w:val="right"/>
              <w:ind w:right="28"/>
              <w:spacing w:after="0" w:line="55" w:lineRule="exact"/>
              <w:rPr>
                <w:sz w:val="20"/>
                <w:szCs w:val="20"/>
                <w:color w:val="auto"/>
              </w:rPr>
            </w:pPr>
            <w:r>
              <w:rPr>
                <w:rFonts w:ascii="Arial" w:cs="Arial" w:eastAsia="Arial" w:hAnsi="Arial"/>
                <w:sz w:val="6"/>
                <w:szCs w:val="6"/>
                <w:color w:val="auto"/>
              </w:rPr>
              <w:t>235</w:t>
            </w:r>
          </w:p>
        </w:tc>
        <w:tc>
          <w:tcPr>
            <w:tcW w:w="700" w:type="dxa"/>
            <w:vAlign w:val="bottom"/>
            <w:tcBorders>
              <w:bottom w:val="single" w:sz="8" w:color="auto"/>
              <w:right w:val="single" w:sz="8" w:color="auto"/>
            </w:tcBorders>
            <w:shd w:val="clear" w:color="auto" w:fill="CCEEFF"/>
          </w:tcPr>
          <w:p>
            <w:pPr>
              <w:jc w:val="right"/>
              <w:ind w:right="48"/>
              <w:spacing w:after="0" w:line="55" w:lineRule="exact"/>
              <w:rPr>
                <w:sz w:val="20"/>
                <w:szCs w:val="20"/>
                <w:color w:val="auto"/>
              </w:rPr>
            </w:pPr>
            <w:r>
              <w:rPr>
                <w:rFonts w:ascii="Arial" w:cs="Arial" w:eastAsia="Arial" w:hAnsi="Arial"/>
                <w:sz w:val="6"/>
                <w:szCs w:val="6"/>
                <w:color w:val="auto"/>
              </w:rPr>
              <w:t>1,681</w:t>
            </w:r>
          </w:p>
        </w:tc>
        <w:tc>
          <w:tcPr>
            <w:tcW w:w="12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440" w:type="dxa"/>
            <w:vAlign w:val="bottom"/>
            <w:tcBorders>
              <w:bottom w:val="single" w:sz="8" w:color="auto"/>
              <w:right w:val="single" w:sz="8" w:color="auto"/>
            </w:tcBorders>
            <w:shd w:val="clear" w:color="auto" w:fill="CCEEFF"/>
          </w:tcPr>
          <w:p>
            <w:pPr>
              <w:jc w:val="right"/>
              <w:ind w:right="48"/>
              <w:spacing w:after="0" w:line="55" w:lineRule="exact"/>
              <w:rPr>
                <w:sz w:val="20"/>
                <w:szCs w:val="20"/>
                <w:color w:val="auto"/>
              </w:rPr>
            </w:pPr>
            <w:r>
              <w:rPr>
                <w:rFonts w:ascii="Arial" w:cs="Arial" w:eastAsia="Arial" w:hAnsi="Arial"/>
                <w:sz w:val="6"/>
                <w:szCs w:val="6"/>
                <w:color w:val="auto"/>
              </w:rPr>
              <w:t>17</w:t>
            </w:r>
          </w:p>
        </w:tc>
        <w:tc>
          <w:tcPr>
            <w:tcW w:w="20" w:type="dxa"/>
            <w:vAlign w:val="bottom"/>
            <w:tcBorders>
              <w:bottom w:val="single" w:sz="8" w:color="auto"/>
            </w:tcBorders>
            <w:shd w:val="clear" w:color="auto" w:fill="CCEEFF"/>
          </w:tcPr>
          <w:p>
            <w:pPr>
              <w:spacing w:after="0"/>
              <w:rPr>
                <w:sz w:val="4"/>
                <w:szCs w:val="4"/>
                <w:color w:val="auto"/>
              </w:rPr>
            </w:pPr>
          </w:p>
        </w:tc>
        <w:tc>
          <w:tcPr>
            <w:tcW w:w="10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auto"/>
            </w:tcBorders>
            <w:gridSpan w:val="2"/>
            <w:shd w:val="clear" w:color="auto" w:fill="CCEEFF"/>
          </w:tcPr>
          <w:p>
            <w:pPr>
              <w:jc w:val="right"/>
              <w:ind w:right="8"/>
              <w:spacing w:after="0" w:line="55" w:lineRule="exact"/>
              <w:rPr>
                <w:sz w:val="20"/>
                <w:szCs w:val="20"/>
                <w:color w:val="auto"/>
              </w:rPr>
            </w:pPr>
            <w:r>
              <w:rPr>
                <w:rFonts w:ascii="Arial" w:cs="Arial" w:eastAsia="Arial" w:hAnsi="Arial"/>
                <w:sz w:val="6"/>
                <w:szCs w:val="6"/>
                <w:color w:val="auto"/>
              </w:rPr>
              <w:t>153,784</w:t>
            </w:r>
          </w:p>
        </w:tc>
        <w:tc>
          <w:tcPr>
            <w:tcW w:w="8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760" w:type="dxa"/>
            <w:vAlign w:val="bottom"/>
            <w:tcBorders>
              <w:bottom w:val="single" w:sz="8" w:color="auto"/>
            </w:tcBorders>
            <w:gridSpan w:val="2"/>
            <w:shd w:val="clear" w:color="auto" w:fill="CCEEFF"/>
          </w:tcPr>
          <w:p>
            <w:pPr>
              <w:jc w:val="right"/>
              <w:ind w:right="20"/>
              <w:spacing w:after="0" w:line="55" w:lineRule="exact"/>
              <w:rPr>
                <w:sz w:val="20"/>
                <w:szCs w:val="20"/>
                <w:color w:val="auto"/>
              </w:rPr>
            </w:pPr>
            <w:r>
              <w:rPr>
                <w:rFonts w:ascii="Arial" w:cs="Arial" w:eastAsia="Arial" w:hAnsi="Arial"/>
                <w:sz w:val="6"/>
                <w:szCs w:val="6"/>
                <w:color w:val="auto"/>
              </w:rPr>
              <w:t>(48,816)</w:t>
            </w:r>
          </w:p>
        </w:tc>
        <w:tc>
          <w:tcPr>
            <w:tcW w:w="140" w:type="dxa"/>
            <w:vAlign w:val="bottom"/>
            <w:tcBorders>
              <w:bottom w:val="single" w:sz="8" w:color="auto"/>
            </w:tcBorders>
            <w:shd w:val="clear" w:color="auto" w:fill="CCEEFF"/>
          </w:tcPr>
          <w:p>
            <w:pPr>
              <w:jc w:val="center"/>
              <w:spacing w:after="0" w:line="55" w:lineRule="exact"/>
              <w:rPr>
                <w:sz w:val="20"/>
                <w:szCs w:val="20"/>
                <w:color w:val="auto"/>
              </w:rPr>
            </w:pPr>
            <w:r>
              <w:rPr>
                <w:rFonts w:ascii="Arial" w:cs="Arial" w:eastAsia="Arial" w:hAnsi="Arial"/>
                <w:sz w:val="6"/>
                <w:szCs w:val="6"/>
                <w:color w:val="auto"/>
              </w:rPr>
              <w:t>$</w:t>
            </w:r>
          </w:p>
        </w:tc>
        <w:tc>
          <w:tcPr>
            <w:tcW w:w="480" w:type="dxa"/>
            <w:vAlign w:val="bottom"/>
            <w:tcBorders>
              <w:bottom w:val="single" w:sz="8" w:color="auto"/>
            </w:tcBorders>
            <w:shd w:val="clear" w:color="auto" w:fill="CCEEFF"/>
          </w:tcPr>
          <w:p>
            <w:pPr>
              <w:jc w:val="right"/>
              <w:ind w:right="6"/>
              <w:spacing w:after="0" w:line="55" w:lineRule="exact"/>
              <w:rPr>
                <w:sz w:val="20"/>
                <w:szCs w:val="20"/>
                <w:color w:val="auto"/>
              </w:rPr>
            </w:pPr>
            <w:r>
              <w:rPr>
                <w:rFonts w:ascii="Arial" w:cs="Arial" w:eastAsia="Arial" w:hAnsi="Arial"/>
                <w:sz w:val="6"/>
                <w:szCs w:val="6"/>
                <w:color w:val="auto"/>
              </w:rPr>
              <w:t>(40,407)</w:t>
            </w:r>
          </w:p>
        </w:tc>
        <w:tc>
          <w:tcPr>
            <w:tcW w:w="120" w:type="dxa"/>
            <w:vAlign w:val="bottom"/>
            <w:tcBorders>
              <w:bottom w:val="single" w:sz="8" w:color="auto"/>
            </w:tcBorders>
            <w:shd w:val="clear" w:color="auto" w:fill="CCEEFF"/>
          </w:tcPr>
          <w:p>
            <w:pPr>
              <w:jc w:val="right"/>
              <w:ind w:right="9"/>
              <w:spacing w:after="0" w:line="55" w:lineRule="exact"/>
              <w:rPr>
                <w:sz w:val="20"/>
                <w:szCs w:val="20"/>
                <w:color w:val="auto"/>
              </w:rPr>
            </w:pPr>
            <w:r>
              <w:rPr>
                <w:rFonts w:ascii="Arial" w:cs="Arial" w:eastAsia="Arial" w:hAnsi="Arial"/>
                <w:sz w:val="6"/>
                <w:szCs w:val="6"/>
                <w:color w:val="auto"/>
              </w:rPr>
              <w:t>$</w:t>
            </w:r>
          </w:p>
        </w:tc>
        <w:tc>
          <w:tcPr>
            <w:tcW w:w="840" w:type="dxa"/>
            <w:vAlign w:val="bottom"/>
            <w:tcBorders>
              <w:bottom w:val="single" w:sz="8" w:color="auto"/>
            </w:tcBorders>
            <w:gridSpan w:val="2"/>
            <w:shd w:val="clear" w:color="auto" w:fill="CCEEFF"/>
          </w:tcPr>
          <w:p>
            <w:pPr>
              <w:jc w:val="right"/>
              <w:ind w:right="26"/>
              <w:spacing w:after="0" w:line="55" w:lineRule="exact"/>
              <w:rPr>
                <w:sz w:val="20"/>
                <w:szCs w:val="20"/>
                <w:color w:val="auto"/>
              </w:rPr>
            </w:pPr>
            <w:r>
              <w:rPr>
                <w:rFonts w:ascii="Arial" w:cs="Arial" w:eastAsia="Arial" w:hAnsi="Arial"/>
                <w:sz w:val="6"/>
                <w:szCs w:val="6"/>
                <w:color w:val="auto"/>
              </w:rPr>
              <w:t>(1,957)</w:t>
            </w:r>
          </w:p>
        </w:tc>
        <w:tc>
          <w:tcPr>
            <w:tcW w:w="140" w:type="dxa"/>
            <w:vAlign w:val="bottom"/>
            <w:tcBorders>
              <w:bottom w:val="single" w:sz="8" w:color="auto"/>
            </w:tcBorders>
            <w:gridSpan w:val="2"/>
            <w:shd w:val="clear" w:color="auto" w:fill="CCEEFF"/>
          </w:tcPr>
          <w:p>
            <w:pPr>
              <w:jc w:val="right"/>
              <w:ind w:right="11"/>
              <w:spacing w:after="0" w:line="55" w:lineRule="exact"/>
              <w:rPr>
                <w:sz w:val="20"/>
                <w:szCs w:val="20"/>
                <w:color w:val="auto"/>
              </w:rPr>
            </w:pPr>
            <w:r>
              <w:rPr>
                <w:rFonts w:ascii="Arial" w:cs="Arial" w:eastAsia="Arial" w:hAnsi="Arial"/>
                <w:sz w:val="6"/>
                <w:szCs w:val="6"/>
                <w:color w:val="auto"/>
              </w:rPr>
              <w:t>$</w:t>
            </w:r>
          </w:p>
        </w:tc>
        <w:tc>
          <w:tcPr>
            <w:tcW w:w="90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62,856</w:t>
            </w:r>
          </w:p>
        </w:tc>
        <w:tc>
          <w:tcPr>
            <w:tcW w:w="240" w:type="dxa"/>
            <w:vAlign w:val="bottom"/>
            <w:tcBorders>
              <w:bottom w:val="single" w:sz="8" w:color="auto"/>
            </w:tcBorders>
            <w:shd w:val="clear" w:color="auto" w:fill="CCEEFF"/>
          </w:tcPr>
          <w:p>
            <w:pPr>
              <w:jc w:val="right"/>
              <w:ind w:right="99"/>
              <w:spacing w:after="0" w:line="55" w:lineRule="exact"/>
              <w:rPr>
                <w:sz w:val="20"/>
                <w:szCs w:val="20"/>
                <w:color w:val="auto"/>
              </w:rPr>
            </w:pPr>
            <w:r>
              <w:rPr>
                <w:rFonts w:ascii="Arial" w:cs="Arial" w:eastAsia="Arial" w:hAnsi="Arial"/>
                <w:sz w:val="6"/>
                <w:szCs w:val="6"/>
                <w:color w:val="auto"/>
              </w:rPr>
              <w:t>$</w:t>
            </w:r>
          </w:p>
        </w:tc>
        <w:tc>
          <w:tcPr>
            <w:tcW w:w="20" w:type="dxa"/>
            <w:vAlign w:val="bottom"/>
            <w:tcBorders>
              <w:bottom w:val="single" w:sz="8" w:color="auto"/>
            </w:tcBorders>
            <w:shd w:val="clear" w:color="auto" w:fill="CCEEFF"/>
          </w:tcPr>
          <w:p>
            <w:pPr>
              <w:spacing w:after="0"/>
              <w:rPr>
                <w:sz w:val="4"/>
                <w:szCs w:val="4"/>
                <w:color w:val="auto"/>
              </w:rPr>
            </w:pPr>
          </w:p>
        </w:tc>
        <w:tc>
          <w:tcPr>
            <w:tcW w:w="20" w:type="dxa"/>
            <w:vAlign w:val="bottom"/>
            <w:tcBorders>
              <w:bottom w:val="single" w:sz="8" w:color="auto"/>
            </w:tcBorders>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20" w:type="dxa"/>
            <w:vAlign w:val="bottom"/>
            <w:tcBorders>
              <w:bottom w:val="single" w:sz="8" w:color="auto"/>
            </w:tcBorders>
            <w:shd w:val="clear" w:color="auto" w:fill="CCEEFF"/>
          </w:tcPr>
          <w:p>
            <w:pPr>
              <w:spacing w:after="0"/>
              <w:rPr>
                <w:sz w:val="4"/>
                <w:szCs w:val="4"/>
                <w:color w:val="auto"/>
              </w:rPr>
            </w:pPr>
          </w:p>
        </w:tc>
        <w:tc>
          <w:tcPr>
            <w:tcW w:w="320" w:type="dxa"/>
            <w:vAlign w:val="bottom"/>
            <w:tcBorders>
              <w:bottom w:val="single" w:sz="8" w:color="auto"/>
            </w:tcBorders>
            <w:shd w:val="clear" w:color="auto" w:fill="CCEEFF"/>
          </w:tcPr>
          <w:p>
            <w:pPr>
              <w:spacing w:after="0"/>
              <w:rPr>
                <w:sz w:val="4"/>
                <w:szCs w:val="4"/>
                <w:color w:val="auto"/>
              </w:rPr>
            </w:pPr>
          </w:p>
        </w:tc>
        <w:tc>
          <w:tcPr>
            <w:tcW w:w="200" w:type="dxa"/>
            <w:vAlign w:val="bottom"/>
            <w:tcBorders>
              <w:bottom w:val="single" w:sz="8" w:color="auto"/>
            </w:tcBorders>
            <w:shd w:val="clear" w:color="auto" w:fill="CCEEFF"/>
          </w:tcPr>
          <w:p>
            <w:pPr>
              <w:jc w:val="right"/>
              <w:ind w:right="7"/>
              <w:spacing w:after="0" w:line="55" w:lineRule="exact"/>
              <w:rPr>
                <w:sz w:val="20"/>
                <w:szCs w:val="20"/>
                <w:color w:val="auto"/>
              </w:rPr>
            </w:pPr>
            <w:r>
              <w:rPr>
                <w:rFonts w:ascii="Arial" w:cs="Arial" w:eastAsia="Arial" w:hAnsi="Arial"/>
                <w:sz w:val="6"/>
                <w:szCs w:val="6"/>
                <w:color w:val="auto"/>
              </w:rPr>
              <w:t>423</w:t>
            </w:r>
          </w:p>
        </w:tc>
        <w:tc>
          <w:tcPr>
            <w:tcW w:w="500" w:type="dxa"/>
            <w:vAlign w:val="bottom"/>
            <w:tcBorders>
              <w:bottom w:val="single" w:sz="8" w:color="auto"/>
            </w:tcBorders>
            <w:shd w:val="clear" w:color="auto" w:fill="CCEEFF"/>
          </w:tcPr>
          <w:p>
            <w:pPr>
              <w:ind w:left="40"/>
              <w:spacing w:after="0" w:line="55"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63,279</w:t>
            </w:r>
          </w:p>
        </w:tc>
        <w:tc>
          <w:tcPr>
            <w:tcW w:w="0" w:type="dxa"/>
            <w:vAlign w:val="bottom"/>
          </w:tcPr>
          <w:p>
            <w:pPr>
              <w:spacing w:after="0"/>
              <w:rPr>
                <w:sz w:val="1"/>
                <w:szCs w:val="1"/>
                <w:color w:val="auto"/>
              </w:rPr>
            </w:pPr>
          </w:p>
        </w:tc>
      </w:tr>
      <w:tr>
        <w:trPr>
          <w:trHeight w:val="63"/>
        </w:trPr>
        <w:tc>
          <w:tcPr>
            <w:tcW w:w="234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Net income (loss)</w:t>
            </w: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right w:val="single" w:sz="8" w:color="auto"/>
            </w:tcBorders>
          </w:tcPr>
          <w:p>
            <w:pPr>
              <w:jc w:val="right"/>
              <w:ind w:right="46"/>
              <w:spacing w:after="0" w:line="63"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42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44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jc w:val="right"/>
              <w:ind w:right="8"/>
              <w:spacing w:after="0" w:line="63"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760" w:type="dxa"/>
            <w:vAlign w:val="bottom"/>
            <w:gridSpan w:val="2"/>
          </w:tcPr>
          <w:p>
            <w:pPr>
              <w:jc w:val="right"/>
              <w:ind w:right="20"/>
              <w:spacing w:after="0" w:line="63" w:lineRule="exact"/>
              <w:rPr>
                <w:sz w:val="20"/>
                <w:szCs w:val="20"/>
                <w:color w:val="auto"/>
              </w:rPr>
            </w:pPr>
            <w:r>
              <w:rPr>
                <w:rFonts w:ascii="Arial" w:cs="Arial" w:eastAsia="Arial" w:hAnsi="Arial"/>
                <w:sz w:val="7"/>
                <w:szCs w:val="7"/>
                <w:color w:val="auto"/>
              </w:rPr>
              <w:t>(11,111)</w:t>
            </w:r>
          </w:p>
        </w:tc>
        <w:tc>
          <w:tcPr>
            <w:tcW w:w="140" w:type="dxa"/>
            <w:vAlign w:val="bottom"/>
          </w:tcPr>
          <w:p>
            <w:pPr>
              <w:spacing w:after="0"/>
              <w:rPr>
                <w:sz w:val="5"/>
                <w:szCs w:val="5"/>
                <w:color w:val="auto"/>
              </w:rPr>
            </w:pPr>
          </w:p>
        </w:tc>
        <w:tc>
          <w:tcPr>
            <w:tcW w:w="480" w:type="dxa"/>
            <w:vAlign w:val="bottom"/>
          </w:tcPr>
          <w:p>
            <w:pPr>
              <w:jc w:val="right"/>
              <w:ind w:right="6"/>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jc w:val="right"/>
              <w:ind w:right="26"/>
              <w:spacing w:after="0" w:line="63" w:lineRule="exact"/>
              <w:rPr>
                <w:sz w:val="20"/>
                <w:szCs w:val="20"/>
                <w:color w:val="auto"/>
              </w:rPr>
            </w:pPr>
            <w:r>
              <w:rPr>
                <w:rFonts w:ascii="Arial" w:cs="Arial" w:eastAsia="Arial" w:hAnsi="Arial"/>
                <w:sz w:val="7"/>
                <w:szCs w:val="7"/>
                <w:color w:val="auto"/>
              </w:rPr>
              <w:t>—</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jc w:val="right"/>
              <w:spacing w:after="0" w:line="63" w:lineRule="exact"/>
              <w:rPr>
                <w:sz w:val="20"/>
                <w:szCs w:val="20"/>
                <w:color w:val="auto"/>
              </w:rPr>
            </w:pPr>
            <w:r>
              <w:rPr>
                <w:rFonts w:ascii="Arial" w:cs="Arial" w:eastAsia="Arial" w:hAnsi="Arial"/>
                <w:sz w:val="7"/>
                <w:szCs w:val="7"/>
                <w:color w:val="auto"/>
              </w:rPr>
              <w:t>(11,111)</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jc w:val="right"/>
              <w:ind w:right="7"/>
              <w:spacing w:after="0" w:line="63" w:lineRule="exact"/>
              <w:rPr>
                <w:sz w:val="20"/>
                <w:szCs w:val="20"/>
                <w:color w:val="auto"/>
              </w:rPr>
            </w:pPr>
            <w:r>
              <w:rPr>
                <w:rFonts w:ascii="Arial" w:cs="Arial" w:eastAsia="Arial" w:hAnsi="Arial"/>
                <w:sz w:val="7"/>
                <w:szCs w:val="7"/>
                <w:color w:val="auto"/>
                <w:w w:val="85"/>
              </w:rPr>
              <w:t>(213)</w:t>
            </w:r>
          </w:p>
        </w:tc>
        <w:tc>
          <w:tcPr>
            <w:tcW w:w="500" w:type="dxa"/>
            <w:vAlign w:val="bottom"/>
          </w:tcPr>
          <w:p>
            <w:pPr>
              <w:spacing w:after="0"/>
              <w:rPr>
                <w:sz w:val="5"/>
                <w:szCs w:val="5"/>
                <w:color w:val="auto"/>
              </w:rPr>
            </w:pPr>
          </w:p>
        </w:tc>
        <w:tc>
          <w:tcPr>
            <w:tcW w:w="260" w:type="dxa"/>
            <w:vAlign w:val="bottom"/>
          </w:tcPr>
          <w:p>
            <w:pPr>
              <w:jc w:val="right"/>
              <w:spacing w:after="0" w:line="63" w:lineRule="exact"/>
              <w:rPr>
                <w:sz w:val="20"/>
                <w:szCs w:val="20"/>
                <w:color w:val="auto"/>
              </w:rPr>
            </w:pPr>
            <w:r>
              <w:rPr>
                <w:rFonts w:ascii="Arial" w:cs="Arial" w:eastAsia="Arial" w:hAnsi="Arial"/>
                <w:sz w:val="7"/>
                <w:szCs w:val="7"/>
                <w:color w:val="auto"/>
                <w:w w:val="91"/>
              </w:rPr>
              <w:t>(11,324)</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Other comprehensive income, net</w:t>
            </w:r>
          </w:p>
        </w:tc>
        <w:tc>
          <w:tcPr>
            <w:tcW w:w="1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80" w:type="dxa"/>
            <w:vAlign w:val="bottom"/>
            <w:tcBorders>
              <w:right w:val="single" w:sz="8" w:color="auto"/>
            </w:tcBorders>
            <w:shd w:val="clear" w:color="auto" w:fill="CCEEFF"/>
          </w:tcPr>
          <w:p>
            <w:pPr>
              <w:jc w:val="right"/>
              <w:ind w:right="46"/>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42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44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6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5"/>
                <w:szCs w:val="5"/>
                <w:color w:val="auto"/>
              </w:rPr>
            </w:pPr>
          </w:p>
        </w:tc>
        <w:tc>
          <w:tcPr>
            <w:tcW w:w="760" w:type="dxa"/>
            <w:vAlign w:val="bottom"/>
            <w:gridSpan w:val="2"/>
            <w:shd w:val="clear" w:color="auto" w:fill="CCEEFF"/>
          </w:tcPr>
          <w:p>
            <w:pPr>
              <w:jc w:val="right"/>
              <w:ind w:right="20"/>
              <w:spacing w:after="0" w:line="68" w:lineRule="exact"/>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5"/>
                <w:szCs w:val="5"/>
                <w:color w:val="auto"/>
              </w:rPr>
            </w:pPr>
          </w:p>
        </w:tc>
        <w:tc>
          <w:tcPr>
            <w:tcW w:w="480" w:type="dxa"/>
            <w:vAlign w:val="bottom"/>
            <w:shd w:val="clear" w:color="auto" w:fill="CCEEFF"/>
          </w:tcPr>
          <w:p>
            <w:pPr>
              <w:jc w:val="right"/>
              <w:ind w:right="6"/>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840" w:type="dxa"/>
            <w:vAlign w:val="bottom"/>
            <w:gridSpan w:val="2"/>
            <w:shd w:val="clear" w:color="auto" w:fill="CCEEFF"/>
          </w:tcPr>
          <w:p>
            <w:pPr>
              <w:jc w:val="right"/>
              <w:ind w:right="26"/>
              <w:spacing w:after="0" w:line="68" w:lineRule="exact"/>
              <w:rPr>
                <w:sz w:val="20"/>
                <w:szCs w:val="20"/>
                <w:color w:val="auto"/>
              </w:rPr>
            </w:pPr>
            <w:r>
              <w:rPr>
                <w:rFonts w:ascii="Arial" w:cs="Arial" w:eastAsia="Arial" w:hAnsi="Arial"/>
                <w:sz w:val="7"/>
                <w:szCs w:val="7"/>
                <w:color w:val="auto"/>
              </w:rPr>
              <w:t>(1,293)</w:t>
            </w: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(1,293)</w:t>
            </w:r>
          </w:p>
        </w:tc>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0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(1)</w:t>
            </w:r>
          </w:p>
        </w:tc>
        <w:tc>
          <w:tcPr>
            <w:tcW w:w="500" w:type="dxa"/>
            <w:vAlign w:val="bottom"/>
            <w:shd w:val="clear" w:color="auto" w:fill="CCEEFF"/>
          </w:tcPr>
          <w:p>
            <w:pPr>
              <w:spacing w:after="0"/>
              <w:rPr>
                <w:sz w:val="5"/>
                <w:szCs w:val="5"/>
                <w:color w:val="auto"/>
              </w:rPr>
            </w:pPr>
          </w:p>
        </w:tc>
        <w:tc>
          <w:tcPr>
            <w:tcW w:w="26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(1,294)</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tcPr>
          <w:p>
            <w:pPr>
              <w:spacing w:after="0" w:line="68" w:lineRule="exact"/>
              <w:rPr>
                <w:sz w:val="20"/>
                <w:szCs w:val="20"/>
                <w:color w:val="auto"/>
              </w:rPr>
            </w:pPr>
            <w:r>
              <w:rPr>
                <w:rFonts w:ascii="Arial" w:cs="Arial" w:eastAsia="Arial" w:hAnsi="Arial"/>
                <w:sz w:val="7"/>
                <w:szCs w:val="7"/>
                <w:color w:val="auto"/>
              </w:rPr>
              <w:t>Share-based compensation expense</w:t>
            </w: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right w:val="single" w:sz="8" w:color="auto"/>
            </w:tcBorders>
          </w:tcPr>
          <w:p>
            <w:pPr>
              <w:jc w:val="right"/>
              <w:ind w:right="46"/>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42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44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2"/>
          </w:tcPr>
          <w:p>
            <w:pPr>
              <w:jc w:val="right"/>
              <w:ind w:right="8"/>
              <w:spacing w:after="0" w:line="68" w:lineRule="exact"/>
              <w:rPr>
                <w:sz w:val="20"/>
                <w:szCs w:val="20"/>
                <w:color w:val="auto"/>
              </w:rPr>
            </w:pPr>
            <w:r>
              <w:rPr>
                <w:rFonts w:ascii="Arial" w:cs="Arial" w:eastAsia="Arial" w:hAnsi="Arial"/>
                <w:sz w:val="7"/>
                <w:szCs w:val="7"/>
                <w:color w:val="auto"/>
              </w:rPr>
              <w:t>443</w:t>
            </w:r>
          </w:p>
        </w:tc>
        <w:tc>
          <w:tcPr>
            <w:tcW w:w="80" w:type="dxa"/>
            <w:vAlign w:val="bottom"/>
          </w:tcPr>
          <w:p>
            <w:pPr>
              <w:spacing w:after="0"/>
              <w:rPr>
                <w:sz w:val="5"/>
                <w:szCs w:val="5"/>
                <w:color w:val="auto"/>
              </w:rPr>
            </w:pPr>
          </w:p>
        </w:tc>
        <w:tc>
          <w:tcPr>
            <w:tcW w:w="760" w:type="dxa"/>
            <w:vAlign w:val="bottom"/>
            <w:gridSpan w:val="2"/>
          </w:tcPr>
          <w:p>
            <w:pPr>
              <w:jc w:val="right"/>
              <w:ind w:right="2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480" w:type="dxa"/>
            <w:vAlign w:val="bottom"/>
          </w:tcPr>
          <w:p>
            <w:pPr>
              <w:jc w:val="right"/>
              <w:ind w:right="6"/>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jc w:val="right"/>
              <w:ind w:right="26"/>
              <w:spacing w:after="0" w:line="68" w:lineRule="exact"/>
              <w:rPr>
                <w:sz w:val="20"/>
                <w:szCs w:val="20"/>
                <w:color w:val="auto"/>
              </w:rPr>
            </w:pPr>
            <w:r>
              <w:rPr>
                <w:rFonts w:ascii="Arial" w:cs="Arial" w:eastAsia="Arial" w:hAnsi="Arial"/>
                <w:sz w:val="7"/>
                <w:szCs w:val="7"/>
                <w:color w:val="auto"/>
              </w:rPr>
              <w:t>—</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jc w:val="right"/>
              <w:spacing w:after="0" w:line="68" w:lineRule="exact"/>
              <w:rPr>
                <w:sz w:val="20"/>
                <w:szCs w:val="20"/>
                <w:color w:val="auto"/>
              </w:rPr>
            </w:pPr>
            <w:r>
              <w:rPr>
                <w:rFonts w:ascii="Arial" w:cs="Arial" w:eastAsia="Arial" w:hAnsi="Arial"/>
                <w:sz w:val="7"/>
                <w:szCs w:val="7"/>
                <w:color w:val="auto"/>
              </w:rPr>
              <w:t>443</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jc w:val="right"/>
              <w:ind w:right="7"/>
              <w:spacing w:after="0" w:line="68" w:lineRule="exact"/>
              <w:rPr>
                <w:sz w:val="20"/>
                <w:szCs w:val="20"/>
                <w:color w:val="auto"/>
              </w:rPr>
            </w:pPr>
            <w:r>
              <w:rPr>
                <w:rFonts w:ascii="Arial" w:cs="Arial" w:eastAsia="Arial" w:hAnsi="Arial"/>
                <w:sz w:val="7"/>
                <w:szCs w:val="7"/>
                <w:color w:val="auto"/>
              </w:rPr>
              <w:t>—</w:t>
            </w:r>
          </w:p>
        </w:tc>
        <w:tc>
          <w:tcPr>
            <w:tcW w:w="500" w:type="dxa"/>
            <w:vAlign w:val="bottom"/>
          </w:tcPr>
          <w:p>
            <w:pPr>
              <w:spacing w:after="0"/>
              <w:rPr>
                <w:sz w:val="5"/>
                <w:szCs w:val="5"/>
                <w:color w:val="auto"/>
              </w:rPr>
            </w:pPr>
          </w:p>
        </w:tc>
        <w:tc>
          <w:tcPr>
            <w:tcW w:w="260" w:type="dxa"/>
            <w:vAlign w:val="bottom"/>
          </w:tcPr>
          <w:p>
            <w:pPr>
              <w:jc w:val="right"/>
              <w:spacing w:after="0" w:line="68" w:lineRule="exact"/>
              <w:rPr>
                <w:sz w:val="20"/>
                <w:szCs w:val="20"/>
                <w:color w:val="auto"/>
              </w:rPr>
            </w:pPr>
            <w:r>
              <w:rPr>
                <w:rFonts w:ascii="Arial" w:cs="Arial" w:eastAsia="Arial" w:hAnsi="Arial"/>
                <w:sz w:val="7"/>
                <w:szCs w:val="7"/>
                <w:color w:val="auto"/>
              </w:rPr>
              <w:t>443</w:t>
            </w:r>
          </w:p>
        </w:tc>
        <w:tc>
          <w:tcPr>
            <w:tcW w:w="0" w:type="dxa"/>
            <w:vAlign w:val="bottom"/>
          </w:tcPr>
          <w:p>
            <w:pPr>
              <w:spacing w:after="0"/>
              <w:rPr>
                <w:sz w:val="1"/>
                <w:szCs w:val="1"/>
                <w:color w:val="auto"/>
              </w:rPr>
            </w:pPr>
          </w:p>
        </w:tc>
      </w:tr>
      <w:tr>
        <w:trPr>
          <w:trHeight w:val="68"/>
        </w:trPr>
        <w:tc>
          <w:tcPr>
            <w:tcW w:w="2340" w:type="dxa"/>
            <w:vAlign w:val="bottom"/>
            <w:tcBorders>
              <w:bottom w:val="single" w:sz="8" w:color="auto"/>
              <w:right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Restricted Stock Units</w:t>
            </w:r>
          </w:p>
        </w:tc>
        <w:tc>
          <w:tcPr>
            <w:tcW w:w="14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right w:val="single" w:sz="8" w:color="auto"/>
            </w:tcBorders>
            <w:gridSpan w:val="2"/>
            <w:shd w:val="clear" w:color="auto" w:fill="CCEEFF"/>
          </w:tcPr>
          <w:p>
            <w:pPr>
              <w:jc w:val="right"/>
              <w:ind w:right="46"/>
              <w:spacing w:after="0" w:line="68" w:lineRule="exact"/>
              <w:rPr>
                <w:sz w:val="20"/>
                <w:szCs w:val="20"/>
                <w:color w:val="auto"/>
              </w:rPr>
            </w:pPr>
            <w:r>
              <w:rPr>
                <w:rFonts w:ascii="Arial" w:cs="Arial" w:eastAsia="Arial" w:hAnsi="Arial"/>
                <w:sz w:val="7"/>
                <w:szCs w:val="7"/>
                <w:color w:val="auto"/>
              </w:rPr>
              <w:t>89</w:t>
            </w:r>
          </w:p>
        </w:tc>
        <w:tc>
          <w:tcPr>
            <w:tcW w:w="100" w:type="dxa"/>
            <w:vAlign w:val="bottom"/>
            <w:tcBorders>
              <w:bottom w:val="single" w:sz="8" w:color="auto"/>
            </w:tcBorders>
            <w:shd w:val="clear" w:color="auto" w:fill="CCEEFF"/>
          </w:tcPr>
          <w:p>
            <w:pPr>
              <w:spacing w:after="0"/>
              <w:rPr>
                <w:sz w:val="5"/>
                <w:szCs w:val="5"/>
                <w:color w:val="auto"/>
              </w:rPr>
            </w:pPr>
          </w:p>
        </w:tc>
        <w:tc>
          <w:tcPr>
            <w:tcW w:w="420" w:type="dxa"/>
            <w:vAlign w:val="bottom"/>
            <w:tcBorders>
              <w:bottom w:val="single" w:sz="8" w:color="auto"/>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auto"/>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gridSpan w:val="2"/>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(132)</w:t>
            </w:r>
          </w:p>
        </w:tc>
        <w:tc>
          <w:tcPr>
            <w:tcW w:w="8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gridSpan w:val="2"/>
            <w:shd w:val="clear" w:color="auto" w:fill="CCEEFF"/>
          </w:tcPr>
          <w:p>
            <w:pPr>
              <w:jc w:val="right"/>
              <w:ind w:right="2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jc w:val="right"/>
              <w:ind w:right="6"/>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jc w:val="right"/>
              <w:ind w:right="26"/>
              <w:spacing w:after="0" w:line="68" w:lineRule="exact"/>
              <w:rPr>
                <w:sz w:val="20"/>
                <w:szCs w:val="20"/>
                <w:color w:val="auto"/>
              </w:rPr>
            </w:pPr>
            <w:r>
              <w:rPr>
                <w:rFonts w:ascii="Arial" w:cs="Arial" w:eastAsia="Arial" w:hAnsi="Arial"/>
                <w:sz w:val="7"/>
                <w:szCs w:val="7"/>
                <w:color w:val="auto"/>
              </w:rPr>
              <w:t>—</w:t>
            </w:r>
          </w:p>
        </w:tc>
        <w:tc>
          <w:tcPr>
            <w:tcW w:w="2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(132)</w:t>
            </w:r>
          </w:p>
        </w:tc>
        <w:tc>
          <w:tcPr>
            <w:tcW w:w="24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w:t>
            </w:r>
          </w:p>
        </w:tc>
        <w:tc>
          <w:tcPr>
            <w:tcW w:w="50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(132)</w:t>
            </w:r>
          </w:p>
        </w:tc>
        <w:tc>
          <w:tcPr>
            <w:tcW w:w="0" w:type="dxa"/>
            <w:vAlign w:val="bottom"/>
          </w:tcPr>
          <w:p>
            <w:pPr>
              <w:spacing w:after="0"/>
              <w:rPr>
                <w:sz w:val="1"/>
                <w:szCs w:val="1"/>
                <w:color w:val="auto"/>
              </w:rPr>
            </w:pPr>
          </w:p>
        </w:tc>
      </w:tr>
      <w:tr>
        <w:trPr>
          <w:trHeight w:val="55"/>
        </w:trPr>
        <w:tc>
          <w:tcPr>
            <w:tcW w:w="2340" w:type="dxa"/>
            <w:vAlign w:val="bottom"/>
            <w:tcBorders>
              <w:bottom w:val="single" w:sz="8" w:color="auto"/>
              <w:right w:val="single" w:sz="8" w:color="auto"/>
            </w:tcBorders>
          </w:tcPr>
          <w:p>
            <w:pPr>
              <w:spacing w:after="0" w:line="55" w:lineRule="exact"/>
              <w:rPr>
                <w:sz w:val="20"/>
                <w:szCs w:val="20"/>
                <w:color w:val="auto"/>
              </w:rPr>
            </w:pPr>
            <w:r>
              <w:rPr>
                <w:rFonts w:ascii="Arial" w:cs="Arial" w:eastAsia="Arial" w:hAnsi="Arial"/>
                <w:sz w:val="6"/>
                <w:szCs w:val="6"/>
                <w:color w:val="auto"/>
              </w:rPr>
              <w:t>At March 31, 2023</w:t>
            </w: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jc w:val="right"/>
              <w:ind w:right="46"/>
              <w:spacing w:after="0" w:line="55" w:lineRule="exact"/>
              <w:rPr>
                <w:sz w:val="20"/>
                <w:szCs w:val="20"/>
                <w:color w:val="auto"/>
              </w:rPr>
            </w:pPr>
            <w:r>
              <w:rPr>
                <w:rFonts w:ascii="Arial" w:cs="Arial" w:eastAsia="Arial" w:hAnsi="Arial"/>
                <w:sz w:val="6"/>
                <w:szCs w:val="6"/>
                <w:color w:val="auto"/>
              </w:rPr>
              <w:t>20,501</w:t>
            </w:r>
          </w:p>
        </w:tc>
        <w:tc>
          <w:tcPr>
            <w:tcW w:w="100" w:type="dxa"/>
            <w:vAlign w:val="bottom"/>
            <w:tcBorders>
              <w:bottom w:val="single" w:sz="8" w:color="auto"/>
            </w:tcBorders>
          </w:tcPr>
          <w:p>
            <w:pPr>
              <w:jc w:val="right"/>
              <w:ind w:right="12"/>
              <w:spacing w:after="0" w:line="55"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auto"/>
              <w:right w:val="single" w:sz="8" w:color="auto"/>
            </w:tcBorders>
          </w:tcPr>
          <w:p>
            <w:pPr>
              <w:jc w:val="right"/>
              <w:ind w:right="28"/>
              <w:spacing w:after="0" w:line="55" w:lineRule="exact"/>
              <w:rPr>
                <w:sz w:val="20"/>
                <w:szCs w:val="20"/>
                <w:color w:val="auto"/>
              </w:rPr>
            </w:pPr>
            <w:r>
              <w:rPr>
                <w:rFonts w:ascii="Arial" w:cs="Arial" w:eastAsia="Arial" w:hAnsi="Arial"/>
                <w:sz w:val="6"/>
                <w:szCs w:val="6"/>
                <w:color w:val="auto"/>
              </w:rPr>
              <w:t>235</w:t>
            </w:r>
          </w:p>
        </w:tc>
        <w:tc>
          <w:tcPr>
            <w:tcW w:w="700" w:type="dxa"/>
            <w:vAlign w:val="bottom"/>
            <w:tcBorders>
              <w:bottom w:val="single" w:sz="8" w:color="auto"/>
              <w:right w:val="single" w:sz="8" w:color="auto"/>
            </w:tcBorders>
          </w:tcPr>
          <w:p>
            <w:pPr>
              <w:jc w:val="right"/>
              <w:ind w:right="48"/>
              <w:spacing w:after="0" w:line="55" w:lineRule="exact"/>
              <w:rPr>
                <w:sz w:val="20"/>
                <w:szCs w:val="20"/>
                <w:color w:val="auto"/>
              </w:rPr>
            </w:pPr>
            <w:r>
              <w:rPr>
                <w:rFonts w:ascii="Arial" w:cs="Arial" w:eastAsia="Arial" w:hAnsi="Arial"/>
                <w:sz w:val="6"/>
                <w:szCs w:val="6"/>
                <w:color w:val="auto"/>
              </w:rPr>
              <w:t>1,681</w:t>
            </w:r>
          </w:p>
        </w:tc>
        <w:tc>
          <w:tcPr>
            <w:tcW w:w="120" w:type="dxa"/>
            <w:vAlign w:val="bottom"/>
            <w:tcBorders>
              <w:bottom w:val="single" w:sz="8" w:color="auto"/>
            </w:tcBorders>
          </w:tcPr>
          <w:p>
            <w:pPr>
              <w:jc w:val="right"/>
              <w:spacing w:after="0" w:line="55" w:lineRule="exact"/>
              <w:rPr>
                <w:sz w:val="20"/>
                <w:szCs w:val="20"/>
                <w:color w:val="auto"/>
              </w:rPr>
            </w:pPr>
            <w:r>
              <w:rPr>
                <w:rFonts w:ascii="Arial" w:cs="Arial" w:eastAsia="Arial" w:hAnsi="Arial"/>
                <w:sz w:val="6"/>
                <w:szCs w:val="6"/>
                <w:color w:val="auto"/>
              </w:rPr>
              <w:t>$</w:t>
            </w:r>
          </w:p>
        </w:tc>
        <w:tc>
          <w:tcPr>
            <w:tcW w:w="440" w:type="dxa"/>
            <w:vAlign w:val="bottom"/>
            <w:tcBorders>
              <w:bottom w:val="single" w:sz="8" w:color="auto"/>
              <w:right w:val="single" w:sz="8" w:color="auto"/>
            </w:tcBorders>
          </w:tcPr>
          <w:p>
            <w:pPr>
              <w:jc w:val="right"/>
              <w:ind w:right="48"/>
              <w:spacing w:after="0" w:line="55" w:lineRule="exact"/>
              <w:rPr>
                <w:sz w:val="20"/>
                <w:szCs w:val="20"/>
                <w:color w:val="auto"/>
              </w:rPr>
            </w:pPr>
            <w:r>
              <w:rPr>
                <w:rFonts w:ascii="Arial" w:cs="Arial" w:eastAsia="Arial" w:hAnsi="Arial"/>
                <w:sz w:val="6"/>
                <w:szCs w:val="6"/>
                <w:color w:val="auto"/>
              </w:rPr>
              <w:t>17</w:t>
            </w: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jc w:val="right"/>
              <w:ind w:right="12"/>
              <w:spacing w:after="0" w:line="55"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auto"/>
            </w:tcBorders>
            <w:gridSpan w:val="2"/>
          </w:tcPr>
          <w:p>
            <w:pPr>
              <w:jc w:val="right"/>
              <w:ind w:right="8"/>
              <w:spacing w:after="0" w:line="55" w:lineRule="exact"/>
              <w:rPr>
                <w:sz w:val="20"/>
                <w:szCs w:val="20"/>
                <w:color w:val="auto"/>
              </w:rPr>
            </w:pPr>
            <w:r>
              <w:rPr>
                <w:rFonts w:ascii="Arial" w:cs="Arial" w:eastAsia="Arial" w:hAnsi="Arial"/>
                <w:sz w:val="6"/>
                <w:szCs w:val="6"/>
                <w:color w:val="auto"/>
              </w:rPr>
              <w:t>154,095</w:t>
            </w:r>
          </w:p>
        </w:tc>
        <w:tc>
          <w:tcPr>
            <w:tcW w:w="80" w:type="dxa"/>
            <w:vAlign w:val="bottom"/>
            <w:tcBorders>
              <w:bottom w:val="single" w:sz="8" w:color="auto"/>
            </w:tcBorders>
          </w:tcPr>
          <w:p>
            <w:pPr>
              <w:jc w:val="right"/>
              <w:spacing w:after="0" w:line="55" w:lineRule="exact"/>
              <w:rPr>
                <w:sz w:val="20"/>
                <w:szCs w:val="20"/>
                <w:color w:val="auto"/>
              </w:rPr>
            </w:pPr>
            <w:r>
              <w:rPr>
                <w:rFonts w:ascii="Arial" w:cs="Arial" w:eastAsia="Arial" w:hAnsi="Arial"/>
                <w:sz w:val="6"/>
                <w:szCs w:val="6"/>
                <w:color w:val="auto"/>
              </w:rPr>
              <w:t>$</w:t>
            </w:r>
          </w:p>
        </w:tc>
        <w:tc>
          <w:tcPr>
            <w:tcW w:w="760" w:type="dxa"/>
            <w:vAlign w:val="bottom"/>
            <w:tcBorders>
              <w:bottom w:val="single" w:sz="8" w:color="auto"/>
            </w:tcBorders>
            <w:gridSpan w:val="2"/>
          </w:tcPr>
          <w:p>
            <w:pPr>
              <w:jc w:val="right"/>
              <w:ind w:right="20"/>
              <w:spacing w:after="0" w:line="55" w:lineRule="exact"/>
              <w:rPr>
                <w:sz w:val="20"/>
                <w:szCs w:val="20"/>
                <w:color w:val="auto"/>
              </w:rPr>
            </w:pPr>
            <w:r>
              <w:rPr>
                <w:rFonts w:ascii="Arial" w:cs="Arial" w:eastAsia="Arial" w:hAnsi="Arial"/>
                <w:sz w:val="6"/>
                <w:szCs w:val="6"/>
                <w:color w:val="auto"/>
              </w:rPr>
              <w:t>(59,927)</w:t>
            </w:r>
          </w:p>
        </w:tc>
        <w:tc>
          <w:tcPr>
            <w:tcW w:w="140" w:type="dxa"/>
            <w:vAlign w:val="bottom"/>
            <w:tcBorders>
              <w:bottom w:val="single" w:sz="8" w:color="auto"/>
            </w:tcBorders>
          </w:tcPr>
          <w:p>
            <w:pPr>
              <w:jc w:val="center"/>
              <w:spacing w:after="0" w:line="55" w:lineRule="exact"/>
              <w:rPr>
                <w:sz w:val="20"/>
                <w:szCs w:val="20"/>
                <w:color w:val="auto"/>
              </w:rPr>
            </w:pPr>
            <w:r>
              <w:rPr>
                <w:rFonts w:ascii="Arial" w:cs="Arial" w:eastAsia="Arial" w:hAnsi="Arial"/>
                <w:sz w:val="6"/>
                <w:szCs w:val="6"/>
                <w:color w:val="auto"/>
              </w:rPr>
              <w:t>$</w:t>
            </w:r>
          </w:p>
        </w:tc>
        <w:tc>
          <w:tcPr>
            <w:tcW w:w="480" w:type="dxa"/>
            <w:vAlign w:val="bottom"/>
            <w:tcBorders>
              <w:bottom w:val="single" w:sz="8" w:color="auto"/>
            </w:tcBorders>
          </w:tcPr>
          <w:p>
            <w:pPr>
              <w:jc w:val="right"/>
              <w:ind w:right="6"/>
              <w:spacing w:after="0" w:line="55" w:lineRule="exact"/>
              <w:rPr>
                <w:sz w:val="20"/>
                <w:szCs w:val="20"/>
                <w:color w:val="auto"/>
              </w:rPr>
            </w:pPr>
            <w:r>
              <w:rPr>
                <w:rFonts w:ascii="Arial" w:cs="Arial" w:eastAsia="Arial" w:hAnsi="Arial"/>
                <w:sz w:val="6"/>
                <w:szCs w:val="6"/>
                <w:color w:val="auto"/>
              </w:rPr>
              <w:t>(40,407)</w:t>
            </w:r>
          </w:p>
        </w:tc>
        <w:tc>
          <w:tcPr>
            <w:tcW w:w="120" w:type="dxa"/>
            <w:vAlign w:val="bottom"/>
            <w:tcBorders>
              <w:bottom w:val="single" w:sz="8" w:color="auto"/>
            </w:tcBorders>
          </w:tcPr>
          <w:p>
            <w:pPr>
              <w:jc w:val="right"/>
              <w:ind w:right="9"/>
              <w:spacing w:after="0" w:line="55" w:lineRule="exact"/>
              <w:rPr>
                <w:sz w:val="20"/>
                <w:szCs w:val="20"/>
                <w:color w:val="auto"/>
              </w:rPr>
            </w:pPr>
            <w:r>
              <w:rPr>
                <w:rFonts w:ascii="Arial" w:cs="Arial" w:eastAsia="Arial" w:hAnsi="Arial"/>
                <w:sz w:val="6"/>
                <w:szCs w:val="6"/>
                <w:color w:val="auto"/>
              </w:rPr>
              <w:t>$</w:t>
            </w:r>
          </w:p>
        </w:tc>
        <w:tc>
          <w:tcPr>
            <w:tcW w:w="840" w:type="dxa"/>
            <w:vAlign w:val="bottom"/>
            <w:tcBorders>
              <w:bottom w:val="single" w:sz="8" w:color="auto"/>
            </w:tcBorders>
            <w:gridSpan w:val="2"/>
          </w:tcPr>
          <w:p>
            <w:pPr>
              <w:jc w:val="right"/>
              <w:ind w:right="26"/>
              <w:spacing w:after="0" w:line="55" w:lineRule="exact"/>
              <w:rPr>
                <w:sz w:val="20"/>
                <w:szCs w:val="20"/>
                <w:color w:val="auto"/>
              </w:rPr>
            </w:pPr>
            <w:r>
              <w:rPr>
                <w:rFonts w:ascii="Arial" w:cs="Arial" w:eastAsia="Arial" w:hAnsi="Arial"/>
                <w:sz w:val="6"/>
                <w:szCs w:val="6"/>
                <w:color w:val="auto"/>
              </w:rPr>
              <w:t>(3,250)</w:t>
            </w:r>
          </w:p>
        </w:tc>
        <w:tc>
          <w:tcPr>
            <w:tcW w:w="140" w:type="dxa"/>
            <w:vAlign w:val="bottom"/>
            <w:tcBorders>
              <w:bottom w:val="single" w:sz="8" w:color="auto"/>
            </w:tcBorders>
            <w:gridSpan w:val="2"/>
          </w:tcPr>
          <w:p>
            <w:pPr>
              <w:jc w:val="right"/>
              <w:ind w:right="11"/>
              <w:spacing w:after="0" w:line="55" w:lineRule="exact"/>
              <w:rPr>
                <w:sz w:val="20"/>
                <w:szCs w:val="20"/>
                <w:color w:val="auto"/>
              </w:rPr>
            </w:pPr>
            <w:r>
              <w:rPr>
                <w:rFonts w:ascii="Arial" w:cs="Arial" w:eastAsia="Arial" w:hAnsi="Arial"/>
                <w:sz w:val="6"/>
                <w:szCs w:val="6"/>
                <w:color w:val="auto"/>
              </w:rPr>
              <w:t>$</w:t>
            </w:r>
          </w:p>
        </w:tc>
        <w:tc>
          <w:tcPr>
            <w:tcW w:w="900" w:type="dxa"/>
            <w:vAlign w:val="bottom"/>
            <w:tcBorders>
              <w:bottom w:val="single" w:sz="8" w:color="auto"/>
            </w:tcBorders>
          </w:tcPr>
          <w:p>
            <w:pPr>
              <w:jc w:val="right"/>
              <w:spacing w:after="0" w:line="55" w:lineRule="exact"/>
              <w:rPr>
                <w:sz w:val="20"/>
                <w:szCs w:val="20"/>
                <w:color w:val="auto"/>
              </w:rPr>
            </w:pPr>
            <w:r>
              <w:rPr>
                <w:rFonts w:ascii="Arial" w:cs="Arial" w:eastAsia="Arial" w:hAnsi="Arial"/>
                <w:sz w:val="6"/>
                <w:szCs w:val="6"/>
                <w:color w:val="auto"/>
              </w:rPr>
              <w:t>50,763</w:t>
            </w:r>
          </w:p>
        </w:tc>
        <w:tc>
          <w:tcPr>
            <w:tcW w:w="240" w:type="dxa"/>
            <w:vAlign w:val="bottom"/>
            <w:tcBorders>
              <w:bottom w:val="single" w:sz="8" w:color="auto"/>
            </w:tcBorders>
          </w:tcPr>
          <w:p>
            <w:pPr>
              <w:jc w:val="right"/>
              <w:ind w:right="99"/>
              <w:spacing w:after="0" w:line="55" w:lineRule="exact"/>
              <w:rPr>
                <w:sz w:val="20"/>
                <w:szCs w:val="20"/>
                <w:color w:val="auto"/>
              </w:rPr>
            </w:pPr>
            <w:r>
              <w:rPr>
                <w:rFonts w:ascii="Arial" w:cs="Arial" w:eastAsia="Arial" w:hAnsi="Arial"/>
                <w:sz w:val="6"/>
                <w:szCs w:val="6"/>
                <w:color w:val="auto"/>
              </w:rPr>
              <w:t>$</w:t>
            </w: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jc w:val="right"/>
              <w:ind w:right="7"/>
              <w:spacing w:after="0" w:line="55" w:lineRule="exact"/>
              <w:rPr>
                <w:sz w:val="20"/>
                <w:szCs w:val="20"/>
                <w:color w:val="auto"/>
              </w:rPr>
            </w:pPr>
            <w:r>
              <w:rPr>
                <w:rFonts w:ascii="Arial" w:cs="Arial" w:eastAsia="Arial" w:hAnsi="Arial"/>
                <w:sz w:val="6"/>
                <w:szCs w:val="6"/>
                <w:color w:val="auto"/>
              </w:rPr>
              <w:t>209</w:t>
            </w:r>
          </w:p>
        </w:tc>
        <w:tc>
          <w:tcPr>
            <w:tcW w:w="500" w:type="dxa"/>
            <w:vAlign w:val="bottom"/>
            <w:tcBorders>
              <w:bottom w:val="single" w:sz="8" w:color="auto"/>
            </w:tcBorders>
          </w:tcPr>
          <w:p>
            <w:pPr>
              <w:ind w:left="40"/>
              <w:spacing w:after="0" w:line="55"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auto"/>
            </w:tcBorders>
          </w:tcPr>
          <w:p>
            <w:pPr>
              <w:jc w:val="right"/>
              <w:spacing w:after="0" w:line="55" w:lineRule="exact"/>
              <w:rPr>
                <w:sz w:val="20"/>
                <w:szCs w:val="20"/>
                <w:color w:val="auto"/>
              </w:rPr>
            </w:pPr>
            <w:r>
              <w:rPr>
                <w:rFonts w:ascii="Arial" w:cs="Arial" w:eastAsia="Arial" w:hAnsi="Arial"/>
                <w:sz w:val="6"/>
                <w:szCs w:val="6"/>
                <w:color w:val="auto"/>
              </w:rPr>
              <w:t>50,972</w:t>
            </w:r>
          </w:p>
        </w:tc>
        <w:tc>
          <w:tcPr>
            <w:tcW w:w="0" w:type="dxa"/>
            <w:vAlign w:val="bottom"/>
          </w:tcPr>
          <w:p>
            <w:pPr>
              <w:spacing w:after="0"/>
              <w:rPr>
                <w:sz w:val="1"/>
                <w:szCs w:val="1"/>
                <w:color w:val="auto"/>
              </w:rPr>
            </w:pPr>
          </w:p>
        </w:tc>
      </w:tr>
      <w:tr>
        <w:trPr>
          <w:trHeight w:val="63"/>
        </w:trPr>
        <w:tc>
          <w:tcPr>
            <w:tcW w:w="2340" w:type="dxa"/>
            <w:vAlign w:val="bottom"/>
            <w:tcBorders>
              <w:right w:val="single" w:sz="8" w:color="auto"/>
            </w:tcBorders>
            <w:shd w:val="clear" w:color="auto" w:fill="CCEEFF"/>
          </w:tcPr>
          <w:p>
            <w:pPr>
              <w:spacing w:after="0" w:line="63" w:lineRule="exact"/>
              <w:rPr>
                <w:sz w:val="20"/>
                <w:szCs w:val="20"/>
                <w:color w:val="auto"/>
              </w:rPr>
            </w:pPr>
            <w:r>
              <w:rPr>
                <w:rFonts w:ascii="Arial" w:cs="Arial" w:eastAsia="Arial" w:hAnsi="Arial"/>
                <w:sz w:val="7"/>
                <w:szCs w:val="7"/>
                <w:color w:val="auto"/>
              </w:rPr>
              <w:t>Net income</w:t>
            </w:r>
          </w:p>
        </w:tc>
        <w:tc>
          <w:tcPr>
            <w:tcW w:w="1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80" w:type="dxa"/>
            <w:vAlign w:val="bottom"/>
            <w:tcBorders>
              <w:right w:val="single" w:sz="8" w:color="auto"/>
            </w:tcBorders>
            <w:shd w:val="clear" w:color="auto" w:fill="CCEEFF"/>
          </w:tcPr>
          <w:p>
            <w:pPr>
              <w:jc w:val="right"/>
              <w:ind w:right="46"/>
              <w:spacing w:after="0" w:line="63"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420" w:type="dxa"/>
            <w:vAlign w:val="bottom"/>
            <w:tcBorders>
              <w:right w:val="single" w:sz="8" w:color="auto"/>
            </w:tcBorders>
            <w:shd w:val="clear" w:color="auto" w:fill="CCEEFF"/>
          </w:tcPr>
          <w:p>
            <w:pPr>
              <w:jc w:val="right"/>
              <w:ind w:right="48"/>
              <w:spacing w:after="0" w:line="63"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shd w:val="clear" w:color="auto" w:fill="CCEEFF"/>
          </w:tcPr>
          <w:p>
            <w:pPr>
              <w:jc w:val="right"/>
              <w:ind w:right="48"/>
              <w:spacing w:after="0" w:line="63"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440" w:type="dxa"/>
            <w:vAlign w:val="bottom"/>
            <w:tcBorders>
              <w:right w:val="single" w:sz="8" w:color="auto"/>
            </w:tcBorders>
            <w:shd w:val="clear" w:color="auto" w:fill="CCEEFF"/>
          </w:tcPr>
          <w:p>
            <w:pPr>
              <w:jc w:val="right"/>
              <w:ind w:right="48"/>
              <w:spacing w:after="0" w:line="63" w:lineRule="exact"/>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60" w:type="dxa"/>
            <w:vAlign w:val="bottom"/>
            <w:shd w:val="clear" w:color="auto" w:fill="CCEEFF"/>
          </w:tcPr>
          <w:p>
            <w:pPr>
              <w:jc w:val="right"/>
              <w:ind w:right="8"/>
              <w:spacing w:after="0" w:line="63"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5"/>
                <w:szCs w:val="5"/>
                <w:color w:val="auto"/>
              </w:rPr>
            </w:pPr>
          </w:p>
        </w:tc>
        <w:tc>
          <w:tcPr>
            <w:tcW w:w="760" w:type="dxa"/>
            <w:vAlign w:val="bottom"/>
            <w:gridSpan w:val="2"/>
            <w:shd w:val="clear" w:color="auto" w:fill="CCEEFF"/>
          </w:tcPr>
          <w:p>
            <w:pPr>
              <w:jc w:val="right"/>
              <w:ind w:right="20"/>
              <w:spacing w:after="0" w:line="63" w:lineRule="exact"/>
              <w:rPr>
                <w:sz w:val="20"/>
                <w:szCs w:val="20"/>
                <w:color w:val="auto"/>
              </w:rPr>
            </w:pPr>
            <w:r>
              <w:rPr>
                <w:rFonts w:ascii="Arial" w:cs="Arial" w:eastAsia="Arial" w:hAnsi="Arial"/>
                <w:sz w:val="7"/>
                <w:szCs w:val="7"/>
                <w:color w:val="auto"/>
              </w:rPr>
              <w:t>(2,778)</w:t>
            </w:r>
          </w:p>
        </w:tc>
        <w:tc>
          <w:tcPr>
            <w:tcW w:w="140" w:type="dxa"/>
            <w:vAlign w:val="bottom"/>
            <w:shd w:val="clear" w:color="auto" w:fill="CCEEFF"/>
          </w:tcPr>
          <w:p>
            <w:pPr>
              <w:spacing w:after="0"/>
              <w:rPr>
                <w:sz w:val="5"/>
                <w:szCs w:val="5"/>
                <w:color w:val="auto"/>
              </w:rPr>
            </w:pPr>
          </w:p>
        </w:tc>
        <w:tc>
          <w:tcPr>
            <w:tcW w:w="480" w:type="dxa"/>
            <w:vAlign w:val="bottom"/>
            <w:shd w:val="clear" w:color="auto" w:fill="CCEEFF"/>
          </w:tcPr>
          <w:p>
            <w:pPr>
              <w:jc w:val="right"/>
              <w:ind w:right="6"/>
              <w:spacing w:after="0" w:line="63"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60" w:type="dxa"/>
            <w:vAlign w:val="bottom"/>
            <w:shd w:val="clear" w:color="auto" w:fill="CCEEFF"/>
          </w:tcPr>
          <w:p>
            <w:pPr>
              <w:jc w:val="right"/>
              <w:ind w:right="26"/>
              <w:spacing w:after="0" w:line="63" w:lineRule="exact"/>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jc w:val="right"/>
              <w:spacing w:after="0" w:line="63" w:lineRule="exact"/>
              <w:rPr>
                <w:sz w:val="20"/>
                <w:szCs w:val="20"/>
                <w:color w:val="auto"/>
              </w:rPr>
            </w:pPr>
            <w:r>
              <w:rPr>
                <w:rFonts w:ascii="Arial" w:cs="Arial" w:eastAsia="Arial" w:hAnsi="Arial"/>
                <w:sz w:val="7"/>
                <w:szCs w:val="7"/>
                <w:color w:val="auto"/>
              </w:rPr>
              <w:t>(2,778)</w:t>
            </w:r>
          </w:p>
        </w:tc>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00" w:type="dxa"/>
            <w:vAlign w:val="bottom"/>
            <w:shd w:val="clear" w:color="auto" w:fill="CCEEFF"/>
          </w:tcPr>
          <w:p>
            <w:pPr>
              <w:jc w:val="right"/>
              <w:ind w:right="7"/>
              <w:spacing w:after="0" w:line="63" w:lineRule="exact"/>
              <w:rPr>
                <w:sz w:val="20"/>
                <w:szCs w:val="20"/>
                <w:color w:val="auto"/>
              </w:rPr>
            </w:pPr>
            <w:r>
              <w:rPr>
                <w:rFonts w:ascii="Arial" w:cs="Arial" w:eastAsia="Arial" w:hAnsi="Arial"/>
                <w:sz w:val="7"/>
                <w:szCs w:val="7"/>
                <w:color w:val="auto"/>
              </w:rPr>
              <w:t>(83)</w:t>
            </w:r>
          </w:p>
        </w:tc>
        <w:tc>
          <w:tcPr>
            <w:tcW w:w="500" w:type="dxa"/>
            <w:vAlign w:val="bottom"/>
            <w:shd w:val="clear" w:color="auto" w:fill="CCEEFF"/>
          </w:tcPr>
          <w:p>
            <w:pPr>
              <w:spacing w:after="0"/>
              <w:rPr>
                <w:sz w:val="5"/>
                <w:szCs w:val="5"/>
                <w:color w:val="auto"/>
              </w:rPr>
            </w:pPr>
          </w:p>
        </w:tc>
        <w:tc>
          <w:tcPr>
            <w:tcW w:w="260" w:type="dxa"/>
            <w:vAlign w:val="bottom"/>
            <w:shd w:val="clear" w:color="auto" w:fill="CCEEFF"/>
          </w:tcPr>
          <w:p>
            <w:pPr>
              <w:jc w:val="right"/>
              <w:spacing w:after="0" w:line="63" w:lineRule="exact"/>
              <w:rPr>
                <w:sz w:val="20"/>
                <w:szCs w:val="20"/>
                <w:color w:val="auto"/>
              </w:rPr>
            </w:pPr>
            <w:r>
              <w:rPr>
                <w:rFonts w:ascii="Arial" w:cs="Arial" w:eastAsia="Arial" w:hAnsi="Arial"/>
                <w:sz w:val="7"/>
                <w:szCs w:val="7"/>
                <w:color w:val="auto"/>
              </w:rPr>
              <w:t>(2,861)</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tcPr>
          <w:p>
            <w:pPr>
              <w:spacing w:after="0" w:line="68" w:lineRule="exact"/>
              <w:rPr>
                <w:sz w:val="20"/>
                <w:szCs w:val="20"/>
                <w:color w:val="auto"/>
              </w:rPr>
            </w:pPr>
            <w:r>
              <w:rPr>
                <w:rFonts w:ascii="Arial" w:cs="Arial" w:eastAsia="Arial" w:hAnsi="Arial"/>
                <w:sz w:val="7"/>
                <w:szCs w:val="7"/>
                <w:color w:val="auto"/>
              </w:rPr>
              <w:t>Other comprehensive income, net</w:t>
            </w: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right w:val="single" w:sz="8" w:color="auto"/>
            </w:tcBorders>
          </w:tcPr>
          <w:p>
            <w:pPr>
              <w:jc w:val="right"/>
              <w:ind w:right="46"/>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42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44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jc w:val="right"/>
              <w:ind w:right="8"/>
              <w:spacing w:after="0" w:line="6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760" w:type="dxa"/>
            <w:vAlign w:val="bottom"/>
            <w:gridSpan w:val="2"/>
          </w:tcPr>
          <w:p>
            <w:pPr>
              <w:jc w:val="right"/>
              <w:ind w:right="2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480" w:type="dxa"/>
            <w:vAlign w:val="bottom"/>
          </w:tcPr>
          <w:p>
            <w:pPr>
              <w:jc w:val="right"/>
              <w:ind w:right="6"/>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40" w:type="dxa"/>
            <w:vAlign w:val="bottom"/>
            <w:gridSpan w:val="2"/>
          </w:tcPr>
          <w:p>
            <w:pPr>
              <w:jc w:val="right"/>
              <w:ind w:right="26"/>
              <w:spacing w:after="0" w:line="68" w:lineRule="exact"/>
              <w:rPr>
                <w:sz w:val="20"/>
                <w:szCs w:val="20"/>
                <w:color w:val="auto"/>
              </w:rPr>
            </w:pPr>
            <w:r>
              <w:rPr>
                <w:rFonts w:ascii="Arial" w:cs="Arial" w:eastAsia="Arial" w:hAnsi="Arial"/>
                <w:sz w:val="7"/>
                <w:szCs w:val="7"/>
                <w:color w:val="auto"/>
              </w:rPr>
              <w:t>(740)</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jc w:val="right"/>
              <w:spacing w:after="0" w:line="68" w:lineRule="exact"/>
              <w:rPr>
                <w:sz w:val="20"/>
                <w:szCs w:val="20"/>
                <w:color w:val="auto"/>
              </w:rPr>
            </w:pPr>
            <w:r>
              <w:rPr>
                <w:rFonts w:ascii="Arial" w:cs="Arial" w:eastAsia="Arial" w:hAnsi="Arial"/>
                <w:sz w:val="7"/>
                <w:szCs w:val="7"/>
                <w:color w:val="auto"/>
              </w:rPr>
              <w:t>(740)</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jc w:val="right"/>
              <w:ind w:right="7"/>
              <w:spacing w:after="0" w:line="68" w:lineRule="exact"/>
              <w:rPr>
                <w:sz w:val="20"/>
                <w:szCs w:val="20"/>
                <w:color w:val="auto"/>
              </w:rPr>
            </w:pPr>
            <w:r>
              <w:rPr>
                <w:rFonts w:ascii="Arial" w:cs="Arial" w:eastAsia="Arial" w:hAnsi="Arial"/>
                <w:sz w:val="7"/>
                <w:szCs w:val="7"/>
                <w:color w:val="auto"/>
              </w:rPr>
              <w:t>(1)</w:t>
            </w:r>
          </w:p>
        </w:tc>
        <w:tc>
          <w:tcPr>
            <w:tcW w:w="500" w:type="dxa"/>
            <w:vAlign w:val="bottom"/>
          </w:tcPr>
          <w:p>
            <w:pPr>
              <w:spacing w:after="0"/>
              <w:rPr>
                <w:sz w:val="5"/>
                <w:szCs w:val="5"/>
                <w:color w:val="auto"/>
              </w:rPr>
            </w:pPr>
          </w:p>
        </w:tc>
        <w:tc>
          <w:tcPr>
            <w:tcW w:w="260" w:type="dxa"/>
            <w:vAlign w:val="bottom"/>
          </w:tcPr>
          <w:p>
            <w:pPr>
              <w:jc w:val="right"/>
              <w:spacing w:after="0" w:line="68" w:lineRule="exact"/>
              <w:rPr>
                <w:sz w:val="20"/>
                <w:szCs w:val="20"/>
                <w:color w:val="auto"/>
              </w:rPr>
            </w:pPr>
            <w:r>
              <w:rPr>
                <w:rFonts w:ascii="Arial" w:cs="Arial" w:eastAsia="Arial" w:hAnsi="Arial"/>
                <w:sz w:val="7"/>
                <w:szCs w:val="7"/>
                <w:color w:val="auto"/>
              </w:rPr>
              <w:t>(741)</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Share-based compensation expense</w:t>
            </w:r>
          </w:p>
        </w:tc>
        <w:tc>
          <w:tcPr>
            <w:tcW w:w="1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80" w:type="dxa"/>
            <w:vAlign w:val="bottom"/>
            <w:tcBorders>
              <w:right w:val="single" w:sz="8" w:color="auto"/>
            </w:tcBorders>
            <w:shd w:val="clear" w:color="auto" w:fill="CCEEFF"/>
          </w:tcPr>
          <w:p>
            <w:pPr>
              <w:jc w:val="right"/>
              <w:ind w:right="46"/>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42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44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gridSpan w:val="2"/>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308</w:t>
            </w:r>
          </w:p>
        </w:tc>
        <w:tc>
          <w:tcPr>
            <w:tcW w:w="80" w:type="dxa"/>
            <w:vAlign w:val="bottom"/>
            <w:shd w:val="clear" w:color="auto" w:fill="CCEEFF"/>
          </w:tcPr>
          <w:p>
            <w:pPr>
              <w:spacing w:after="0"/>
              <w:rPr>
                <w:sz w:val="5"/>
                <w:szCs w:val="5"/>
                <w:color w:val="auto"/>
              </w:rPr>
            </w:pPr>
          </w:p>
        </w:tc>
        <w:tc>
          <w:tcPr>
            <w:tcW w:w="760" w:type="dxa"/>
            <w:vAlign w:val="bottom"/>
            <w:gridSpan w:val="2"/>
            <w:shd w:val="clear" w:color="auto" w:fill="CCEEFF"/>
          </w:tcPr>
          <w:p>
            <w:pPr>
              <w:jc w:val="right"/>
              <w:ind w:right="20"/>
              <w:spacing w:after="0" w:line="68" w:lineRule="exact"/>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5"/>
                <w:szCs w:val="5"/>
                <w:color w:val="auto"/>
              </w:rPr>
            </w:pPr>
          </w:p>
        </w:tc>
        <w:tc>
          <w:tcPr>
            <w:tcW w:w="480" w:type="dxa"/>
            <w:vAlign w:val="bottom"/>
            <w:shd w:val="clear" w:color="auto" w:fill="CCEEFF"/>
          </w:tcPr>
          <w:p>
            <w:pPr>
              <w:jc w:val="right"/>
              <w:ind w:right="6"/>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60" w:type="dxa"/>
            <w:vAlign w:val="bottom"/>
            <w:shd w:val="clear" w:color="auto" w:fill="CCEEFF"/>
          </w:tcPr>
          <w:p>
            <w:pPr>
              <w:jc w:val="right"/>
              <w:ind w:right="26"/>
              <w:spacing w:after="0" w:line="68" w:lineRule="exact"/>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308</w:t>
            </w:r>
          </w:p>
        </w:tc>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0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w:t>
            </w:r>
          </w:p>
        </w:tc>
        <w:tc>
          <w:tcPr>
            <w:tcW w:w="500" w:type="dxa"/>
            <w:vAlign w:val="bottom"/>
            <w:shd w:val="clear" w:color="auto" w:fill="CCEEFF"/>
          </w:tcPr>
          <w:p>
            <w:pPr>
              <w:spacing w:after="0"/>
              <w:rPr>
                <w:sz w:val="5"/>
                <w:szCs w:val="5"/>
                <w:color w:val="auto"/>
              </w:rPr>
            </w:pPr>
          </w:p>
        </w:tc>
        <w:tc>
          <w:tcPr>
            <w:tcW w:w="26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308</w:t>
            </w:r>
          </w:p>
        </w:tc>
        <w:tc>
          <w:tcPr>
            <w:tcW w:w="0" w:type="dxa"/>
            <w:vAlign w:val="bottom"/>
          </w:tcPr>
          <w:p>
            <w:pPr>
              <w:spacing w:after="0"/>
              <w:rPr>
                <w:sz w:val="1"/>
                <w:szCs w:val="1"/>
                <w:color w:val="auto"/>
              </w:rPr>
            </w:pPr>
          </w:p>
        </w:tc>
      </w:tr>
      <w:tr>
        <w:trPr>
          <w:trHeight w:val="68"/>
        </w:trPr>
        <w:tc>
          <w:tcPr>
            <w:tcW w:w="2340" w:type="dxa"/>
            <w:vAlign w:val="bottom"/>
            <w:tcBorders>
              <w:bottom w:val="single" w:sz="8" w:color="auto"/>
              <w:right w:val="single" w:sz="8" w:color="auto"/>
            </w:tcBorders>
          </w:tcPr>
          <w:p>
            <w:pPr>
              <w:spacing w:after="0" w:line="68" w:lineRule="exact"/>
              <w:rPr>
                <w:sz w:val="20"/>
                <w:szCs w:val="20"/>
                <w:color w:val="auto"/>
              </w:rPr>
            </w:pPr>
            <w:r>
              <w:rPr>
                <w:rFonts w:ascii="Arial" w:cs="Arial" w:eastAsia="Arial" w:hAnsi="Arial"/>
                <w:sz w:val="7"/>
                <w:szCs w:val="7"/>
                <w:color w:val="auto"/>
              </w:rPr>
              <w:t>Restricted Stock Units</w:t>
            </w:r>
          </w:p>
        </w:tc>
        <w:tc>
          <w:tcPr>
            <w:tcW w:w="14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gridSpan w:val="2"/>
          </w:tcPr>
          <w:p>
            <w:pPr>
              <w:jc w:val="right"/>
              <w:ind w:right="46"/>
              <w:spacing w:after="0" w:line="68" w:lineRule="exact"/>
              <w:rPr>
                <w:sz w:val="20"/>
                <w:szCs w:val="20"/>
                <w:color w:val="auto"/>
              </w:rPr>
            </w:pPr>
            <w:r>
              <w:rPr>
                <w:rFonts w:ascii="Arial" w:cs="Arial" w:eastAsia="Arial" w:hAnsi="Arial"/>
                <w:sz w:val="7"/>
                <w:szCs w:val="7"/>
                <w:color w:val="auto"/>
              </w:rPr>
              <w:t>92</w:t>
            </w: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jc w:val="right"/>
              <w:ind w:right="28"/>
              <w:spacing w:after="0" w:line="68" w:lineRule="exact"/>
              <w:rPr>
                <w:sz w:val="20"/>
                <w:szCs w:val="20"/>
                <w:color w:val="auto"/>
              </w:rPr>
            </w:pPr>
            <w:r>
              <w:rPr>
                <w:rFonts w:ascii="Arial" w:cs="Arial" w:eastAsia="Arial" w:hAnsi="Arial"/>
                <w:sz w:val="7"/>
                <w:szCs w:val="7"/>
                <w:color w:val="auto"/>
              </w:rPr>
              <w:t>1</w:t>
            </w:r>
          </w:p>
        </w:tc>
        <w:tc>
          <w:tcPr>
            <w:tcW w:w="700" w:type="dxa"/>
            <w:vAlign w:val="bottom"/>
            <w:tcBorders>
              <w:bottom w:val="single" w:sz="8" w:color="auto"/>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gridSpan w:val="2"/>
          </w:tcPr>
          <w:p>
            <w:pPr>
              <w:jc w:val="right"/>
              <w:ind w:right="8"/>
              <w:spacing w:after="0" w:line="68" w:lineRule="exact"/>
              <w:rPr>
                <w:sz w:val="20"/>
                <w:szCs w:val="20"/>
                <w:color w:val="auto"/>
              </w:rPr>
            </w:pPr>
            <w:r>
              <w:rPr>
                <w:rFonts w:ascii="Arial" w:cs="Arial" w:eastAsia="Arial" w:hAnsi="Arial"/>
                <w:sz w:val="7"/>
                <w:szCs w:val="7"/>
                <w:color w:val="auto"/>
              </w:rPr>
              <w:t>(113)</w:t>
            </w: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2"/>
          </w:tcPr>
          <w:p>
            <w:pPr>
              <w:jc w:val="right"/>
              <w:ind w:right="2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jc w:val="right"/>
              <w:ind w:right="6"/>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jc w:val="right"/>
              <w:ind w:right="26"/>
              <w:spacing w:after="0" w:line="68" w:lineRule="exact"/>
              <w:rPr>
                <w:sz w:val="20"/>
                <w:szCs w:val="20"/>
                <w:color w:val="auto"/>
              </w:rPr>
            </w:pPr>
            <w:r>
              <w:rPr>
                <w:rFonts w:ascii="Arial" w:cs="Arial" w:eastAsia="Arial" w:hAnsi="Arial"/>
                <w:sz w:val="7"/>
                <w:szCs w:val="7"/>
                <w:color w:val="auto"/>
              </w:rPr>
              <w:t>—</w:t>
            </w: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auto"/>
              </w:rPr>
              <w:t>(112)</w:t>
            </w: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jc w:val="right"/>
              <w:ind w:right="7"/>
              <w:spacing w:after="0" w:line="68" w:lineRule="exact"/>
              <w:rPr>
                <w:sz w:val="20"/>
                <w:szCs w:val="20"/>
                <w:color w:val="auto"/>
              </w:rPr>
            </w:pPr>
            <w:r>
              <w:rPr>
                <w:rFonts w:ascii="Arial" w:cs="Arial" w:eastAsia="Arial" w:hAnsi="Arial"/>
                <w:sz w:val="7"/>
                <w:szCs w:val="7"/>
                <w:color w:val="auto"/>
              </w:rPr>
              <w:t>—</w:t>
            </w:r>
          </w:p>
        </w:tc>
        <w:tc>
          <w:tcPr>
            <w:tcW w:w="5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auto"/>
              </w:rPr>
              <w:t>(112)</w:t>
            </w:r>
          </w:p>
        </w:tc>
        <w:tc>
          <w:tcPr>
            <w:tcW w:w="0" w:type="dxa"/>
            <w:vAlign w:val="bottom"/>
          </w:tcPr>
          <w:p>
            <w:pPr>
              <w:spacing w:after="0"/>
              <w:rPr>
                <w:sz w:val="1"/>
                <w:szCs w:val="1"/>
                <w:color w:val="auto"/>
              </w:rPr>
            </w:pPr>
          </w:p>
        </w:tc>
      </w:tr>
      <w:tr>
        <w:trPr>
          <w:trHeight w:val="55"/>
        </w:trPr>
        <w:tc>
          <w:tcPr>
            <w:tcW w:w="2340" w:type="dxa"/>
            <w:vAlign w:val="bottom"/>
            <w:tcBorders>
              <w:bottom w:val="single" w:sz="8" w:color="auto"/>
              <w:right w:val="single" w:sz="8" w:color="auto"/>
            </w:tcBorders>
            <w:shd w:val="clear" w:color="auto" w:fill="CCEEFF"/>
          </w:tcPr>
          <w:p>
            <w:pPr>
              <w:spacing w:after="0" w:line="55" w:lineRule="exact"/>
              <w:rPr>
                <w:sz w:val="20"/>
                <w:szCs w:val="20"/>
                <w:color w:val="auto"/>
              </w:rPr>
            </w:pPr>
            <w:r>
              <w:rPr>
                <w:rFonts w:ascii="Arial" w:cs="Arial" w:eastAsia="Arial" w:hAnsi="Arial"/>
                <w:sz w:val="6"/>
                <w:szCs w:val="6"/>
                <w:color w:val="auto"/>
              </w:rPr>
              <w:t>At June 30, 2023</w:t>
            </w:r>
          </w:p>
        </w:tc>
        <w:tc>
          <w:tcPr>
            <w:tcW w:w="140" w:type="dxa"/>
            <w:vAlign w:val="bottom"/>
            <w:tcBorders>
              <w:bottom w:val="single" w:sz="8" w:color="auto"/>
            </w:tcBorders>
            <w:shd w:val="clear" w:color="auto" w:fill="CCEEFF"/>
          </w:tcPr>
          <w:p>
            <w:pPr>
              <w:spacing w:after="0"/>
              <w:rPr>
                <w:sz w:val="4"/>
                <w:szCs w:val="4"/>
                <w:color w:val="auto"/>
              </w:rPr>
            </w:pPr>
          </w:p>
        </w:tc>
        <w:tc>
          <w:tcPr>
            <w:tcW w:w="560" w:type="dxa"/>
            <w:vAlign w:val="bottom"/>
            <w:tcBorders>
              <w:bottom w:val="single" w:sz="8" w:color="auto"/>
              <w:right w:val="single" w:sz="8" w:color="auto"/>
            </w:tcBorders>
            <w:gridSpan w:val="2"/>
            <w:shd w:val="clear" w:color="auto" w:fill="CCEEFF"/>
          </w:tcPr>
          <w:p>
            <w:pPr>
              <w:jc w:val="right"/>
              <w:ind w:right="46"/>
              <w:spacing w:after="0" w:line="55" w:lineRule="exact"/>
              <w:rPr>
                <w:sz w:val="20"/>
                <w:szCs w:val="20"/>
                <w:color w:val="auto"/>
              </w:rPr>
            </w:pPr>
            <w:r>
              <w:rPr>
                <w:rFonts w:ascii="Arial" w:cs="Arial" w:eastAsia="Arial" w:hAnsi="Arial"/>
                <w:sz w:val="6"/>
                <w:szCs w:val="6"/>
                <w:color w:val="auto"/>
              </w:rPr>
              <w:t>20,593</w:t>
            </w:r>
          </w:p>
        </w:tc>
        <w:tc>
          <w:tcPr>
            <w:tcW w:w="10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auto"/>
              <w:right w:val="single" w:sz="8" w:color="auto"/>
            </w:tcBorders>
            <w:shd w:val="clear" w:color="auto" w:fill="CCEEFF"/>
          </w:tcPr>
          <w:p>
            <w:pPr>
              <w:jc w:val="right"/>
              <w:ind w:right="28"/>
              <w:spacing w:after="0" w:line="55" w:lineRule="exact"/>
              <w:rPr>
                <w:sz w:val="20"/>
                <w:szCs w:val="20"/>
                <w:color w:val="auto"/>
              </w:rPr>
            </w:pPr>
            <w:r>
              <w:rPr>
                <w:rFonts w:ascii="Arial" w:cs="Arial" w:eastAsia="Arial" w:hAnsi="Arial"/>
                <w:sz w:val="6"/>
                <w:szCs w:val="6"/>
                <w:color w:val="auto"/>
              </w:rPr>
              <w:t>236</w:t>
            </w:r>
          </w:p>
        </w:tc>
        <w:tc>
          <w:tcPr>
            <w:tcW w:w="700" w:type="dxa"/>
            <w:vAlign w:val="bottom"/>
            <w:tcBorders>
              <w:bottom w:val="single" w:sz="8" w:color="auto"/>
              <w:right w:val="single" w:sz="8" w:color="auto"/>
            </w:tcBorders>
            <w:shd w:val="clear" w:color="auto" w:fill="CCEEFF"/>
          </w:tcPr>
          <w:p>
            <w:pPr>
              <w:jc w:val="right"/>
              <w:ind w:right="48"/>
              <w:spacing w:after="0" w:line="55" w:lineRule="exact"/>
              <w:rPr>
                <w:sz w:val="20"/>
                <w:szCs w:val="20"/>
                <w:color w:val="auto"/>
              </w:rPr>
            </w:pPr>
            <w:r>
              <w:rPr>
                <w:rFonts w:ascii="Arial" w:cs="Arial" w:eastAsia="Arial" w:hAnsi="Arial"/>
                <w:sz w:val="6"/>
                <w:szCs w:val="6"/>
                <w:color w:val="auto"/>
              </w:rPr>
              <w:t>1,681</w:t>
            </w:r>
          </w:p>
        </w:tc>
        <w:tc>
          <w:tcPr>
            <w:tcW w:w="12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440" w:type="dxa"/>
            <w:vAlign w:val="bottom"/>
            <w:tcBorders>
              <w:bottom w:val="single" w:sz="8" w:color="auto"/>
              <w:right w:val="single" w:sz="8" w:color="auto"/>
            </w:tcBorders>
            <w:shd w:val="clear" w:color="auto" w:fill="CCEEFF"/>
          </w:tcPr>
          <w:p>
            <w:pPr>
              <w:jc w:val="right"/>
              <w:ind w:right="48"/>
              <w:spacing w:after="0" w:line="55" w:lineRule="exact"/>
              <w:rPr>
                <w:sz w:val="20"/>
                <w:szCs w:val="20"/>
                <w:color w:val="auto"/>
              </w:rPr>
            </w:pPr>
            <w:r>
              <w:rPr>
                <w:rFonts w:ascii="Arial" w:cs="Arial" w:eastAsia="Arial" w:hAnsi="Arial"/>
                <w:sz w:val="6"/>
                <w:szCs w:val="6"/>
                <w:color w:val="auto"/>
              </w:rPr>
              <w:t>17</w:t>
            </w:r>
          </w:p>
        </w:tc>
        <w:tc>
          <w:tcPr>
            <w:tcW w:w="20" w:type="dxa"/>
            <w:vAlign w:val="bottom"/>
            <w:tcBorders>
              <w:bottom w:val="single" w:sz="8" w:color="auto"/>
            </w:tcBorders>
            <w:shd w:val="clear" w:color="auto" w:fill="CCEEFF"/>
          </w:tcPr>
          <w:p>
            <w:pPr>
              <w:spacing w:after="0"/>
              <w:rPr>
                <w:sz w:val="4"/>
                <w:szCs w:val="4"/>
                <w:color w:val="auto"/>
              </w:rPr>
            </w:pPr>
          </w:p>
        </w:tc>
        <w:tc>
          <w:tcPr>
            <w:tcW w:w="10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auto"/>
            </w:tcBorders>
            <w:gridSpan w:val="2"/>
            <w:shd w:val="clear" w:color="auto" w:fill="CCEEFF"/>
          </w:tcPr>
          <w:p>
            <w:pPr>
              <w:jc w:val="right"/>
              <w:ind w:right="8"/>
              <w:spacing w:after="0" w:line="55" w:lineRule="exact"/>
              <w:rPr>
                <w:sz w:val="20"/>
                <w:szCs w:val="20"/>
                <w:color w:val="auto"/>
              </w:rPr>
            </w:pPr>
            <w:r>
              <w:rPr>
                <w:rFonts w:ascii="Arial" w:cs="Arial" w:eastAsia="Arial" w:hAnsi="Arial"/>
                <w:sz w:val="6"/>
                <w:szCs w:val="6"/>
                <w:color w:val="auto"/>
              </w:rPr>
              <w:t>154,290</w:t>
            </w:r>
          </w:p>
        </w:tc>
        <w:tc>
          <w:tcPr>
            <w:tcW w:w="8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760" w:type="dxa"/>
            <w:vAlign w:val="bottom"/>
            <w:tcBorders>
              <w:bottom w:val="single" w:sz="8" w:color="auto"/>
            </w:tcBorders>
            <w:gridSpan w:val="2"/>
            <w:shd w:val="clear" w:color="auto" w:fill="CCEEFF"/>
          </w:tcPr>
          <w:p>
            <w:pPr>
              <w:jc w:val="right"/>
              <w:ind w:right="20"/>
              <w:spacing w:after="0" w:line="55" w:lineRule="exact"/>
              <w:rPr>
                <w:sz w:val="20"/>
                <w:szCs w:val="20"/>
                <w:color w:val="auto"/>
              </w:rPr>
            </w:pPr>
            <w:r>
              <w:rPr>
                <w:rFonts w:ascii="Arial" w:cs="Arial" w:eastAsia="Arial" w:hAnsi="Arial"/>
                <w:sz w:val="6"/>
                <w:szCs w:val="6"/>
                <w:color w:val="auto"/>
              </w:rPr>
              <w:t>(62,705)</w:t>
            </w:r>
          </w:p>
        </w:tc>
        <w:tc>
          <w:tcPr>
            <w:tcW w:w="140" w:type="dxa"/>
            <w:vAlign w:val="bottom"/>
            <w:tcBorders>
              <w:bottom w:val="single" w:sz="8" w:color="auto"/>
            </w:tcBorders>
            <w:shd w:val="clear" w:color="auto" w:fill="CCEEFF"/>
          </w:tcPr>
          <w:p>
            <w:pPr>
              <w:jc w:val="center"/>
              <w:spacing w:after="0" w:line="55" w:lineRule="exact"/>
              <w:rPr>
                <w:sz w:val="20"/>
                <w:szCs w:val="20"/>
                <w:color w:val="auto"/>
              </w:rPr>
            </w:pPr>
            <w:r>
              <w:rPr>
                <w:rFonts w:ascii="Arial" w:cs="Arial" w:eastAsia="Arial" w:hAnsi="Arial"/>
                <w:sz w:val="6"/>
                <w:szCs w:val="6"/>
                <w:color w:val="auto"/>
              </w:rPr>
              <w:t>$</w:t>
            </w:r>
          </w:p>
        </w:tc>
        <w:tc>
          <w:tcPr>
            <w:tcW w:w="480" w:type="dxa"/>
            <w:vAlign w:val="bottom"/>
            <w:tcBorders>
              <w:bottom w:val="single" w:sz="8" w:color="auto"/>
            </w:tcBorders>
            <w:shd w:val="clear" w:color="auto" w:fill="CCEEFF"/>
          </w:tcPr>
          <w:p>
            <w:pPr>
              <w:jc w:val="right"/>
              <w:ind w:right="6"/>
              <w:spacing w:after="0" w:line="55" w:lineRule="exact"/>
              <w:rPr>
                <w:sz w:val="20"/>
                <w:szCs w:val="20"/>
                <w:color w:val="auto"/>
              </w:rPr>
            </w:pPr>
            <w:r>
              <w:rPr>
                <w:rFonts w:ascii="Arial" w:cs="Arial" w:eastAsia="Arial" w:hAnsi="Arial"/>
                <w:sz w:val="6"/>
                <w:szCs w:val="6"/>
                <w:color w:val="auto"/>
              </w:rPr>
              <w:t>(40,407)</w:t>
            </w:r>
          </w:p>
        </w:tc>
        <w:tc>
          <w:tcPr>
            <w:tcW w:w="120" w:type="dxa"/>
            <w:vAlign w:val="bottom"/>
            <w:tcBorders>
              <w:bottom w:val="single" w:sz="8" w:color="auto"/>
            </w:tcBorders>
            <w:shd w:val="clear" w:color="auto" w:fill="CCEEFF"/>
          </w:tcPr>
          <w:p>
            <w:pPr>
              <w:jc w:val="right"/>
              <w:ind w:right="9"/>
              <w:spacing w:after="0" w:line="55" w:lineRule="exact"/>
              <w:rPr>
                <w:sz w:val="20"/>
                <w:szCs w:val="20"/>
                <w:color w:val="auto"/>
              </w:rPr>
            </w:pPr>
            <w:r>
              <w:rPr>
                <w:rFonts w:ascii="Arial" w:cs="Arial" w:eastAsia="Arial" w:hAnsi="Arial"/>
                <w:sz w:val="6"/>
                <w:szCs w:val="6"/>
                <w:color w:val="auto"/>
              </w:rPr>
              <w:t>$</w:t>
            </w:r>
          </w:p>
        </w:tc>
        <w:tc>
          <w:tcPr>
            <w:tcW w:w="840" w:type="dxa"/>
            <w:vAlign w:val="bottom"/>
            <w:tcBorders>
              <w:bottom w:val="single" w:sz="8" w:color="auto"/>
            </w:tcBorders>
            <w:gridSpan w:val="2"/>
            <w:shd w:val="clear" w:color="auto" w:fill="CCEEFF"/>
          </w:tcPr>
          <w:p>
            <w:pPr>
              <w:jc w:val="right"/>
              <w:ind w:right="26"/>
              <w:spacing w:after="0" w:line="55" w:lineRule="exact"/>
              <w:rPr>
                <w:sz w:val="20"/>
                <w:szCs w:val="20"/>
                <w:color w:val="auto"/>
              </w:rPr>
            </w:pPr>
            <w:r>
              <w:rPr>
                <w:rFonts w:ascii="Arial" w:cs="Arial" w:eastAsia="Arial" w:hAnsi="Arial"/>
                <w:sz w:val="6"/>
                <w:szCs w:val="6"/>
                <w:color w:val="auto"/>
              </w:rPr>
              <w:t>(3,990)</w:t>
            </w:r>
          </w:p>
        </w:tc>
        <w:tc>
          <w:tcPr>
            <w:tcW w:w="140" w:type="dxa"/>
            <w:vAlign w:val="bottom"/>
            <w:tcBorders>
              <w:bottom w:val="single" w:sz="8" w:color="auto"/>
            </w:tcBorders>
            <w:gridSpan w:val="2"/>
            <w:shd w:val="clear" w:color="auto" w:fill="CCEEFF"/>
          </w:tcPr>
          <w:p>
            <w:pPr>
              <w:jc w:val="right"/>
              <w:ind w:right="11"/>
              <w:spacing w:after="0" w:line="55" w:lineRule="exact"/>
              <w:rPr>
                <w:sz w:val="20"/>
                <w:szCs w:val="20"/>
                <w:color w:val="auto"/>
              </w:rPr>
            </w:pPr>
            <w:r>
              <w:rPr>
                <w:rFonts w:ascii="Arial" w:cs="Arial" w:eastAsia="Arial" w:hAnsi="Arial"/>
                <w:sz w:val="6"/>
                <w:szCs w:val="6"/>
                <w:color w:val="auto"/>
              </w:rPr>
              <w:t>$</w:t>
            </w:r>
          </w:p>
        </w:tc>
        <w:tc>
          <w:tcPr>
            <w:tcW w:w="90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47,441</w:t>
            </w:r>
          </w:p>
        </w:tc>
        <w:tc>
          <w:tcPr>
            <w:tcW w:w="240" w:type="dxa"/>
            <w:vAlign w:val="bottom"/>
            <w:tcBorders>
              <w:bottom w:val="single" w:sz="8" w:color="auto"/>
            </w:tcBorders>
            <w:shd w:val="clear" w:color="auto" w:fill="CCEEFF"/>
          </w:tcPr>
          <w:p>
            <w:pPr>
              <w:jc w:val="right"/>
              <w:ind w:right="99"/>
              <w:spacing w:after="0" w:line="55" w:lineRule="exact"/>
              <w:rPr>
                <w:sz w:val="20"/>
                <w:szCs w:val="20"/>
                <w:color w:val="auto"/>
              </w:rPr>
            </w:pPr>
            <w:r>
              <w:rPr>
                <w:rFonts w:ascii="Arial" w:cs="Arial" w:eastAsia="Arial" w:hAnsi="Arial"/>
                <w:sz w:val="6"/>
                <w:szCs w:val="6"/>
                <w:color w:val="auto"/>
              </w:rPr>
              <w:t>$</w:t>
            </w:r>
          </w:p>
        </w:tc>
        <w:tc>
          <w:tcPr>
            <w:tcW w:w="20" w:type="dxa"/>
            <w:vAlign w:val="bottom"/>
            <w:tcBorders>
              <w:bottom w:val="single" w:sz="8" w:color="auto"/>
            </w:tcBorders>
            <w:shd w:val="clear" w:color="auto" w:fill="CCEEFF"/>
          </w:tcPr>
          <w:p>
            <w:pPr>
              <w:spacing w:after="0"/>
              <w:rPr>
                <w:sz w:val="4"/>
                <w:szCs w:val="4"/>
                <w:color w:val="auto"/>
              </w:rPr>
            </w:pPr>
          </w:p>
        </w:tc>
        <w:tc>
          <w:tcPr>
            <w:tcW w:w="20" w:type="dxa"/>
            <w:vAlign w:val="bottom"/>
            <w:tcBorders>
              <w:bottom w:val="single" w:sz="8" w:color="auto"/>
            </w:tcBorders>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20" w:type="dxa"/>
            <w:vAlign w:val="bottom"/>
            <w:tcBorders>
              <w:bottom w:val="single" w:sz="8" w:color="auto"/>
            </w:tcBorders>
            <w:shd w:val="clear" w:color="auto" w:fill="CCEEFF"/>
          </w:tcPr>
          <w:p>
            <w:pPr>
              <w:spacing w:after="0"/>
              <w:rPr>
                <w:sz w:val="4"/>
                <w:szCs w:val="4"/>
                <w:color w:val="auto"/>
              </w:rPr>
            </w:pPr>
          </w:p>
        </w:tc>
        <w:tc>
          <w:tcPr>
            <w:tcW w:w="320" w:type="dxa"/>
            <w:vAlign w:val="bottom"/>
            <w:tcBorders>
              <w:bottom w:val="single" w:sz="8" w:color="auto"/>
            </w:tcBorders>
            <w:shd w:val="clear" w:color="auto" w:fill="CCEEFF"/>
          </w:tcPr>
          <w:p>
            <w:pPr>
              <w:spacing w:after="0"/>
              <w:rPr>
                <w:sz w:val="4"/>
                <w:szCs w:val="4"/>
                <w:color w:val="auto"/>
              </w:rPr>
            </w:pPr>
          </w:p>
        </w:tc>
        <w:tc>
          <w:tcPr>
            <w:tcW w:w="200" w:type="dxa"/>
            <w:vAlign w:val="bottom"/>
            <w:tcBorders>
              <w:bottom w:val="single" w:sz="8" w:color="auto"/>
            </w:tcBorders>
            <w:shd w:val="clear" w:color="auto" w:fill="CCEEFF"/>
          </w:tcPr>
          <w:p>
            <w:pPr>
              <w:jc w:val="right"/>
              <w:ind w:right="7"/>
              <w:spacing w:after="0" w:line="55" w:lineRule="exact"/>
              <w:rPr>
                <w:sz w:val="20"/>
                <w:szCs w:val="20"/>
                <w:color w:val="auto"/>
              </w:rPr>
            </w:pPr>
            <w:r>
              <w:rPr>
                <w:rFonts w:ascii="Arial" w:cs="Arial" w:eastAsia="Arial" w:hAnsi="Arial"/>
                <w:sz w:val="6"/>
                <w:szCs w:val="6"/>
                <w:color w:val="auto"/>
              </w:rPr>
              <w:t>125</w:t>
            </w:r>
          </w:p>
        </w:tc>
        <w:tc>
          <w:tcPr>
            <w:tcW w:w="500" w:type="dxa"/>
            <w:vAlign w:val="bottom"/>
            <w:tcBorders>
              <w:bottom w:val="single" w:sz="8" w:color="auto"/>
            </w:tcBorders>
            <w:shd w:val="clear" w:color="auto" w:fill="CCEEFF"/>
          </w:tcPr>
          <w:p>
            <w:pPr>
              <w:ind w:left="40"/>
              <w:spacing w:after="0" w:line="55"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47,566</w:t>
            </w:r>
          </w:p>
        </w:tc>
        <w:tc>
          <w:tcPr>
            <w:tcW w:w="0" w:type="dxa"/>
            <w:vAlign w:val="bottom"/>
          </w:tcPr>
          <w:p>
            <w:pPr>
              <w:spacing w:after="0"/>
              <w:rPr>
                <w:sz w:val="1"/>
                <w:szCs w:val="1"/>
                <w:color w:val="auto"/>
              </w:rPr>
            </w:pPr>
          </w:p>
        </w:tc>
      </w:tr>
      <w:tr>
        <w:trPr>
          <w:trHeight w:val="63"/>
        </w:trPr>
        <w:tc>
          <w:tcPr>
            <w:tcW w:w="234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Net income</w:t>
            </w: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right w:val="single" w:sz="8" w:color="auto"/>
            </w:tcBorders>
          </w:tcPr>
          <w:p>
            <w:pPr>
              <w:jc w:val="right"/>
              <w:ind w:right="46"/>
              <w:spacing w:after="0" w:line="63"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42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44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jc w:val="right"/>
              <w:ind w:right="8"/>
              <w:spacing w:after="0" w:line="63"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760" w:type="dxa"/>
            <w:vAlign w:val="bottom"/>
            <w:gridSpan w:val="2"/>
          </w:tcPr>
          <w:p>
            <w:pPr>
              <w:jc w:val="right"/>
              <w:ind w:right="20"/>
              <w:spacing w:after="0" w:line="63" w:lineRule="exact"/>
              <w:rPr>
                <w:sz w:val="20"/>
                <w:szCs w:val="20"/>
                <w:color w:val="auto"/>
              </w:rPr>
            </w:pPr>
            <w:r>
              <w:rPr>
                <w:rFonts w:ascii="Arial" w:cs="Arial" w:eastAsia="Arial" w:hAnsi="Arial"/>
                <w:sz w:val="7"/>
                <w:szCs w:val="7"/>
                <w:color w:val="auto"/>
              </w:rPr>
              <w:t>(4,400)</w:t>
            </w:r>
          </w:p>
        </w:tc>
        <w:tc>
          <w:tcPr>
            <w:tcW w:w="140" w:type="dxa"/>
            <w:vAlign w:val="bottom"/>
          </w:tcPr>
          <w:p>
            <w:pPr>
              <w:spacing w:after="0"/>
              <w:rPr>
                <w:sz w:val="5"/>
                <w:szCs w:val="5"/>
                <w:color w:val="auto"/>
              </w:rPr>
            </w:pPr>
          </w:p>
        </w:tc>
        <w:tc>
          <w:tcPr>
            <w:tcW w:w="480" w:type="dxa"/>
            <w:vAlign w:val="bottom"/>
          </w:tcPr>
          <w:p>
            <w:pPr>
              <w:jc w:val="right"/>
              <w:ind w:right="6"/>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jc w:val="right"/>
              <w:ind w:right="26"/>
              <w:spacing w:after="0" w:line="63" w:lineRule="exact"/>
              <w:rPr>
                <w:sz w:val="20"/>
                <w:szCs w:val="20"/>
                <w:color w:val="auto"/>
              </w:rPr>
            </w:pPr>
            <w:r>
              <w:rPr>
                <w:rFonts w:ascii="Arial" w:cs="Arial" w:eastAsia="Arial" w:hAnsi="Arial"/>
                <w:sz w:val="7"/>
                <w:szCs w:val="7"/>
                <w:color w:val="auto"/>
              </w:rPr>
              <w:t>—</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jc w:val="right"/>
              <w:spacing w:after="0" w:line="63" w:lineRule="exact"/>
              <w:rPr>
                <w:sz w:val="20"/>
                <w:szCs w:val="20"/>
                <w:color w:val="auto"/>
              </w:rPr>
            </w:pPr>
            <w:r>
              <w:rPr>
                <w:rFonts w:ascii="Arial" w:cs="Arial" w:eastAsia="Arial" w:hAnsi="Arial"/>
                <w:sz w:val="7"/>
                <w:szCs w:val="7"/>
                <w:color w:val="auto"/>
              </w:rPr>
              <w:t>(4,400)</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jc w:val="right"/>
              <w:ind w:right="7"/>
              <w:spacing w:after="0" w:line="63" w:lineRule="exact"/>
              <w:rPr>
                <w:sz w:val="20"/>
                <w:szCs w:val="20"/>
                <w:color w:val="auto"/>
              </w:rPr>
            </w:pPr>
            <w:r>
              <w:rPr>
                <w:rFonts w:ascii="Arial" w:cs="Arial" w:eastAsia="Arial" w:hAnsi="Arial"/>
                <w:sz w:val="7"/>
                <w:szCs w:val="7"/>
                <w:color w:val="auto"/>
              </w:rPr>
              <w:t>(65)</w:t>
            </w:r>
          </w:p>
        </w:tc>
        <w:tc>
          <w:tcPr>
            <w:tcW w:w="500" w:type="dxa"/>
            <w:vAlign w:val="bottom"/>
          </w:tcPr>
          <w:p>
            <w:pPr>
              <w:spacing w:after="0"/>
              <w:rPr>
                <w:sz w:val="5"/>
                <w:szCs w:val="5"/>
                <w:color w:val="auto"/>
              </w:rPr>
            </w:pPr>
          </w:p>
        </w:tc>
        <w:tc>
          <w:tcPr>
            <w:tcW w:w="260" w:type="dxa"/>
            <w:vAlign w:val="bottom"/>
          </w:tcPr>
          <w:p>
            <w:pPr>
              <w:jc w:val="right"/>
              <w:spacing w:after="0" w:line="63" w:lineRule="exact"/>
              <w:rPr>
                <w:sz w:val="20"/>
                <w:szCs w:val="20"/>
                <w:color w:val="auto"/>
              </w:rPr>
            </w:pPr>
            <w:r>
              <w:rPr>
                <w:rFonts w:ascii="Arial" w:cs="Arial" w:eastAsia="Arial" w:hAnsi="Arial"/>
                <w:sz w:val="7"/>
                <w:szCs w:val="7"/>
                <w:color w:val="auto"/>
              </w:rPr>
              <w:t>(4,465)</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Other comprehensive income, net</w:t>
            </w:r>
          </w:p>
        </w:tc>
        <w:tc>
          <w:tcPr>
            <w:tcW w:w="1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80" w:type="dxa"/>
            <w:vAlign w:val="bottom"/>
            <w:tcBorders>
              <w:right w:val="single" w:sz="8" w:color="auto"/>
            </w:tcBorders>
            <w:shd w:val="clear" w:color="auto" w:fill="CCEEFF"/>
          </w:tcPr>
          <w:p>
            <w:pPr>
              <w:jc w:val="right"/>
              <w:ind w:right="46"/>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42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44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6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5"/>
                <w:szCs w:val="5"/>
                <w:color w:val="auto"/>
              </w:rPr>
            </w:pPr>
          </w:p>
        </w:tc>
        <w:tc>
          <w:tcPr>
            <w:tcW w:w="760" w:type="dxa"/>
            <w:vAlign w:val="bottom"/>
            <w:gridSpan w:val="2"/>
            <w:shd w:val="clear" w:color="auto" w:fill="CCEEFF"/>
          </w:tcPr>
          <w:p>
            <w:pPr>
              <w:jc w:val="right"/>
              <w:ind w:right="20"/>
              <w:spacing w:after="0" w:line="68" w:lineRule="exact"/>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5"/>
                <w:szCs w:val="5"/>
                <w:color w:val="auto"/>
              </w:rPr>
            </w:pPr>
          </w:p>
        </w:tc>
        <w:tc>
          <w:tcPr>
            <w:tcW w:w="480" w:type="dxa"/>
            <w:vAlign w:val="bottom"/>
            <w:shd w:val="clear" w:color="auto" w:fill="CCEEFF"/>
          </w:tcPr>
          <w:p>
            <w:pPr>
              <w:jc w:val="right"/>
              <w:ind w:right="6"/>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840" w:type="dxa"/>
            <w:vAlign w:val="bottom"/>
            <w:gridSpan w:val="2"/>
            <w:shd w:val="clear" w:color="auto" w:fill="CCEEFF"/>
          </w:tcPr>
          <w:p>
            <w:pPr>
              <w:jc w:val="right"/>
              <w:ind w:right="26"/>
              <w:spacing w:after="0" w:line="68" w:lineRule="exact"/>
              <w:rPr>
                <w:sz w:val="20"/>
                <w:szCs w:val="20"/>
                <w:color w:val="auto"/>
              </w:rPr>
            </w:pPr>
            <w:r>
              <w:rPr>
                <w:rFonts w:ascii="Arial" w:cs="Arial" w:eastAsia="Arial" w:hAnsi="Arial"/>
                <w:sz w:val="7"/>
                <w:szCs w:val="7"/>
                <w:color w:val="auto"/>
              </w:rPr>
              <w:t>(1,657)</w:t>
            </w: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(1,657)</w:t>
            </w:r>
          </w:p>
        </w:tc>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0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(3)</w:t>
            </w:r>
          </w:p>
        </w:tc>
        <w:tc>
          <w:tcPr>
            <w:tcW w:w="500" w:type="dxa"/>
            <w:vAlign w:val="bottom"/>
            <w:shd w:val="clear" w:color="auto" w:fill="CCEEFF"/>
          </w:tcPr>
          <w:p>
            <w:pPr>
              <w:spacing w:after="0"/>
              <w:rPr>
                <w:sz w:val="5"/>
                <w:szCs w:val="5"/>
                <w:color w:val="auto"/>
              </w:rPr>
            </w:pPr>
          </w:p>
        </w:tc>
        <w:tc>
          <w:tcPr>
            <w:tcW w:w="26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(1,660)</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tcPr>
          <w:p>
            <w:pPr>
              <w:spacing w:after="0" w:line="68" w:lineRule="exact"/>
              <w:rPr>
                <w:sz w:val="20"/>
                <w:szCs w:val="20"/>
                <w:color w:val="auto"/>
              </w:rPr>
            </w:pPr>
            <w:r>
              <w:rPr>
                <w:rFonts w:ascii="Arial" w:cs="Arial" w:eastAsia="Arial" w:hAnsi="Arial"/>
                <w:sz w:val="7"/>
                <w:szCs w:val="7"/>
                <w:color w:val="auto"/>
              </w:rPr>
              <w:t>Share-based compensation expense</w:t>
            </w: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right w:val="single" w:sz="8" w:color="auto"/>
            </w:tcBorders>
          </w:tcPr>
          <w:p>
            <w:pPr>
              <w:jc w:val="right"/>
              <w:ind w:right="46"/>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42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44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2"/>
          </w:tcPr>
          <w:p>
            <w:pPr>
              <w:jc w:val="right"/>
              <w:ind w:right="8"/>
              <w:spacing w:after="0" w:line="68" w:lineRule="exact"/>
              <w:rPr>
                <w:sz w:val="20"/>
                <w:szCs w:val="20"/>
                <w:color w:val="auto"/>
              </w:rPr>
            </w:pPr>
            <w:r>
              <w:rPr>
                <w:rFonts w:ascii="Arial" w:cs="Arial" w:eastAsia="Arial" w:hAnsi="Arial"/>
                <w:sz w:val="7"/>
                <w:szCs w:val="7"/>
                <w:color w:val="auto"/>
              </w:rPr>
              <w:t>614</w:t>
            </w:r>
          </w:p>
        </w:tc>
        <w:tc>
          <w:tcPr>
            <w:tcW w:w="80" w:type="dxa"/>
            <w:vAlign w:val="bottom"/>
          </w:tcPr>
          <w:p>
            <w:pPr>
              <w:spacing w:after="0"/>
              <w:rPr>
                <w:sz w:val="5"/>
                <w:szCs w:val="5"/>
                <w:color w:val="auto"/>
              </w:rPr>
            </w:pPr>
          </w:p>
        </w:tc>
        <w:tc>
          <w:tcPr>
            <w:tcW w:w="760" w:type="dxa"/>
            <w:vAlign w:val="bottom"/>
            <w:gridSpan w:val="2"/>
          </w:tcPr>
          <w:p>
            <w:pPr>
              <w:jc w:val="right"/>
              <w:ind w:right="2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480" w:type="dxa"/>
            <w:vAlign w:val="bottom"/>
          </w:tcPr>
          <w:p>
            <w:pPr>
              <w:jc w:val="right"/>
              <w:ind w:right="6"/>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jc w:val="right"/>
              <w:ind w:right="26"/>
              <w:spacing w:after="0" w:line="68" w:lineRule="exact"/>
              <w:rPr>
                <w:sz w:val="20"/>
                <w:szCs w:val="20"/>
                <w:color w:val="auto"/>
              </w:rPr>
            </w:pPr>
            <w:r>
              <w:rPr>
                <w:rFonts w:ascii="Arial" w:cs="Arial" w:eastAsia="Arial" w:hAnsi="Arial"/>
                <w:sz w:val="7"/>
                <w:szCs w:val="7"/>
                <w:color w:val="auto"/>
              </w:rPr>
              <w:t>—</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jc w:val="right"/>
              <w:spacing w:after="0" w:line="68" w:lineRule="exact"/>
              <w:rPr>
                <w:sz w:val="20"/>
                <w:szCs w:val="20"/>
                <w:color w:val="auto"/>
              </w:rPr>
            </w:pPr>
            <w:r>
              <w:rPr>
                <w:rFonts w:ascii="Arial" w:cs="Arial" w:eastAsia="Arial" w:hAnsi="Arial"/>
                <w:sz w:val="7"/>
                <w:szCs w:val="7"/>
                <w:color w:val="auto"/>
              </w:rPr>
              <w:t>614</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jc w:val="right"/>
              <w:ind w:right="7"/>
              <w:spacing w:after="0" w:line="68" w:lineRule="exact"/>
              <w:rPr>
                <w:sz w:val="20"/>
                <w:szCs w:val="20"/>
                <w:color w:val="auto"/>
              </w:rPr>
            </w:pPr>
            <w:r>
              <w:rPr>
                <w:rFonts w:ascii="Arial" w:cs="Arial" w:eastAsia="Arial" w:hAnsi="Arial"/>
                <w:sz w:val="7"/>
                <w:szCs w:val="7"/>
                <w:color w:val="auto"/>
              </w:rPr>
              <w:t>—</w:t>
            </w:r>
          </w:p>
        </w:tc>
        <w:tc>
          <w:tcPr>
            <w:tcW w:w="500" w:type="dxa"/>
            <w:vAlign w:val="bottom"/>
          </w:tcPr>
          <w:p>
            <w:pPr>
              <w:spacing w:after="0"/>
              <w:rPr>
                <w:sz w:val="5"/>
                <w:szCs w:val="5"/>
                <w:color w:val="auto"/>
              </w:rPr>
            </w:pPr>
          </w:p>
        </w:tc>
        <w:tc>
          <w:tcPr>
            <w:tcW w:w="260" w:type="dxa"/>
            <w:vAlign w:val="bottom"/>
          </w:tcPr>
          <w:p>
            <w:pPr>
              <w:jc w:val="right"/>
              <w:spacing w:after="0" w:line="68" w:lineRule="exact"/>
              <w:rPr>
                <w:sz w:val="20"/>
                <w:szCs w:val="20"/>
                <w:color w:val="auto"/>
              </w:rPr>
            </w:pPr>
            <w:r>
              <w:rPr>
                <w:rFonts w:ascii="Arial" w:cs="Arial" w:eastAsia="Arial" w:hAnsi="Arial"/>
                <w:sz w:val="7"/>
                <w:szCs w:val="7"/>
                <w:color w:val="auto"/>
              </w:rPr>
              <w:t>614</w:t>
            </w:r>
          </w:p>
        </w:tc>
        <w:tc>
          <w:tcPr>
            <w:tcW w:w="0" w:type="dxa"/>
            <w:vAlign w:val="bottom"/>
          </w:tcPr>
          <w:p>
            <w:pPr>
              <w:spacing w:after="0"/>
              <w:rPr>
                <w:sz w:val="1"/>
                <w:szCs w:val="1"/>
                <w:color w:val="auto"/>
              </w:rPr>
            </w:pPr>
          </w:p>
        </w:tc>
      </w:tr>
      <w:tr>
        <w:trPr>
          <w:trHeight w:val="68"/>
        </w:trPr>
        <w:tc>
          <w:tcPr>
            <w:tcW w:w="2340" w:type="dxa"/>
            <w:vAlign w:val="bottom"/>
            <w:tcBorders>
              <w:bottom w:val="single" w:sz="8" w:color="auto"/>
              <w:right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Restricted Stock Units</w:t>
            </w:r>
          </w:p>
        </w:tc>
        <w:tc>
          <w:tcPr>
            <w:tcW w:w="14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right w:val="single" w:sz="8" w:color="auto"/>
            </w:tcBorders>
            <w:gridSpan w:val="2"/>
            <w:shd w:val="clear" w:color="auto" w:fill="CCEEFF"/>
          </w:tcPr>
          <w:p>
            <w:pPr>
              <w:jc w:val="right"/>
              <w:ind w:right="46"/>
              <w:spacing w:after="0" w:line="68" w:lineRule="exact"/>
              <w:rPr>
                <w:sz w:val="20"/>
                <w:szCs w:val="20"/>
                <w:color w:val="auto"/>
              </w:rPr>
            </w:pPr>
            <w:r>
              <w:rPr>
                <w:rFonts w:ascii="Arial" w:cs="Arial" w:eastAsia="Arial" w:hAnsi="Arial"/>
                <w:sz w:val="7"/>
                <w:szCs w:val="7"/>
                <w:color w:val="auto"/>
              </w:rPr>
              <w:t>0</w:t>
            </w:r>
          </w:p>
        </w:tc>
        <w:tc>
          <w:tcPr>
            <w:tcW w:w="100" w:type="dxa"/>
            <w:vAlign w:val="bottom"/>
            <w:tcBorders>
              <w:bottom w:val="single" w:sz="8" w:color="auto"/>
            </w:tcBorders>
            <w:shd w:val="clear" w:color="auto" w:fill="CCEEFF"/>
          </w:tcPr>
          <w:p>
            <w:pPr>
              <w:spacing w:after="0"/>
              <w:rPr>
                <w:sz w:val="5"/>
                <w:szCs w:val="5"/>
                <w:color w:val="auto"/>
              </w:rPr>
            </w:pPr>
          </w:p>
        </w:tc>
        <w:tc>
          <w:tcPr>
            <w:tcW w:w="420" w:type="dxa"/>
            <w:vAlign w:val="bottom"/>
            <w:tcBorders>
              <w:bottom w:val="single" w:sz="8" w:color="auto"/>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auto"/>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gridSpan w:val="2"/>
            <w:shd w:val="clear" w:color="auto" w:fill="CCEEFF"/>
          </w:tcPr>
          <w:p>
            <w:pPr>
              <w:jc w:val="right"/>
              <w:ind w:right="2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jc w:val="right"/>
              <w:ind w:right="6"/>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jc w:val="right"/>
              <w:ind w:right="26"/>
              <w:spacing w:after="0" w:line="68" w:lineRule="exact"/>
              <w:rPr>
                <w:sz w:val="20"/>
                <w:szCs w:val="20"/>
                <w:color w:val="auto"/>
              </w:rPr>
            </w:pPr>
            <w:r>
              <w:rPr>
                <w:rFonts w:ascii="Arial" w:cs="Arial" w:eastAsia="Arial" w:hAnsi="Arial"/>
                <w:sz w:val="7"/>
                <w:szCs w:val="7"/>
                <w:color w:val="auto"/>
              </w:rPr>
              <w:t>—</w:t>
            </w:r>
          </w:p>
        </w:tc>
        <w:tc>
          <w:tcPr>
            <w:tcW w:w="2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24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w:t>
            </w:r>
          </w:p>
        </w:tc>
        <w:tc>
          <w:tcPr>
            <w:tcW w:w="50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55"/>
        </w:trPr>
        <w:tc>
          <w:tcPr>
            <w:tcW w:w="2340" w:type="dxa"/>
            <w:vAlign w:val="bottom"/>
            <w:tcBorders>
              <w:bottom w:val="single" w:sz="8" w:color="auto"/>
              <w:right w:val="single" w:sz="8" w:color="auto"/>
            </w:tcBorders>
          </w:tcPr>
          <w:p>
            <w:pPr>
              <w:spacing w:after="0" w:line="55" w:lineRule="exact"/>
              <w:rPr>
                <w:sz w:val="20"/>
                <w:szCs w:val="20"/>
                <w:color w:val="auto"/>
              </w:rPr>
            </w:pPr>
            <w:r>
              <w:rPr>
                <w:rFonts w:ascii="Arial" w:cs="Arial" w:eastAsia="Arial" w:hAnsi="Arial"/>
                <w:sz w:val="6"/>
                <w:szCs w:val="6"/>
                <w:color w:val="auto"/>
              </w:rPr>
              <w:t>At September 30, 2023</w:t>
            </w: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jc w:val="right"/>
              <w:ind w:right="46"/>
              <w:spacing w:after="0" w:line="55" w:lineRule="exact"/>
              <w:rPr>
                <w:sz w:val="20"/>
                <w:szCs w:val="20"/>
                <w:color w:val="auto"/>
              </w:rPr>
            </w:pPr>
            <w:r>
              <w:rPr>
                <w:rFonts w:ascii="Arial" w:cs="Arial" w:eastAsia="Arial" w:hAnsi="Arial"/>
                <w:sz w:val="6"/>
                <w:szCs w:val="6"/>
                <w:color w:val="auto"/>
              </w:rPr>
              <w:t>20,593</w:t>
            </w:r>
          </w:p>
        </w:tc>
        <w:tc>
          <w:tcPr>
            <w:tcW w:w="100" w:type="dxa"/>
            <w:vAlign w:val="bottom"/>
            <w:tcBorders>
              <w:bottom w:val="single" w:sz="8" w:color="auto"/>
            </w:tcBorders>
          </w:tcPr>
          <w:p>
            <w:pPr>
              <w:jc w:val="right"/>
              <w:ind w:right="12"/>
              <w:spacing w:after="0" w:line="55"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auto"/>
              <w:right w:val="single" w:sz="8" w:color="auto"/>
            </w:tcBorders>
          </w:tcPr>
          <w:p>
            <w:pPr>
              <w:jc w:val="right"/>
              <w:ind w:right="28"/>
              <w:spacing w:after="0" w:line="55" w:lineRule="exact"/>
              <w:rPr>
                <w:sz w:val="20"/>
                <w:szCs w:val="20"/>
                <w:color w:val="auto"/>
              </w:rPr>
            </w:pPr>
            <w:r>
              <w:rPr>
                <w:rFonts w:ascii="Arial" w:cs="Arial" w:eastAsia="Arial" w:hAnsi="Arial"/>
                <w:sz w:val="6"/>
                <w:szCs w:val="6"/>
                <w:color w:val="auto"/>
              </w:rPr>
              <w:t>236</w:t>
            </w:r>
          </w:p>
        </w:tc>
        <w:tc>
          <w:tcPr>
            <w:tcW w:w="700" w:type="dxa"/>
            <w:vAlign w:val="bottom"/>
            <w:tcBorders>
              <w:bottom w:val="single" w:sz="8" w:color="auto"/>
              <w:right w:val="single" w:sz="8" w:color="auto"/>
            </w:tcBorders>
          </w:tcPr>
          <w:p>
            <w:pPr>
              <w:jc w:val="right"/>
              <w:ind w:right="48"/>
              <w:spacing w:after="0" w:line="55" w:lineRule="exact"/>
              <w:rPr>
                <w:sz w:val="20"/>
                <w:szCs w:val="20"/>
                <w:color w:val="auto"/>
              </w:rPr>
            </w:pPr>
            <w:r>
              <w:rPr>
                <w:rFonts w:ascii="Arial" w:cs="Arial" w:eastAsia="Arial" w:hAnsi="Arial"/>
                <w:sz w:val="6"/>
                <w:szCs w:val="6"/>
                <w:color w:val="auto"/>
              </w:rPr>
              <w:t>1,681</w:t>
            </w:r>
          </w:p>
        </w:tc>
        <w:tc>
          <w:tcPr>
            <w:tcW w:w="120" w:type="dxa"/>
            <w:vAlign w:val="bottom"/>
            <w:tcBorders>
              <w:bottom w:val="single" w:sz="8" w:color="auto"/>
            </w:tcBorders>
          </w:tcPr>
          <w:p>
            <w:pPr>
              <w:jc w:val="right"/>
              <w:spacing w:after="0" w:line="55" w:lineRule="exact"/>
              <w:rPr>
                <w:sz w:val="20"/>
                <w:szCs w:val="20"/>
                <w:color w:val="auto"/>
              </w:rPr>
            </w:pPr>
            <w:r>
              <w:rPr>
                <w:rFonts w:ascii="Arial" w:cs="Arial" w:eastAsia="Arial" w:hAnsi="Arial"/>
                <w:sz w:val="6"/>
                <w:szCs w:val="6"/>
                <w:color w:val="auto"/>
              </w:rPr>
              <w:t>$</w:t>
            </w:r>
          </w:p>
        </w:tc>
        <w:tc>
          <w:tcPr>
            <w:tcW w:w="440" w:type="dxa"/>
            <w:vAlign w:val="bottom"/>
            <w:tcBorders>
              <w:bottom w:val="single" w:sz="8" w:color="auto"/>
              <w:right w:val="single" w:sz="8" w:color="auto"/>
            </w:tcBorders>
          </w:tcPr>
          <w:p>
            <w:pPr>
              <w:jc w:val="right"/>
              <w:ind w:right="48"/>
              <w:spacing w:after="0" w:line="55" w:lineRule="exact"/>
              <w:rPr>
                <w:sz w:val="20"/>
                <w:szCs w:val="20"/>
                <w:color w:val="auto"/>
              </w:rPr>
            </w:pPr>
            <w:r>
              <w:rPr>
                <w:rFonts w:ascii="Arial" w:cs="Arial" w:eastAsia="Arial" w:hAnsi="Arial"/>
                <w:sz w:val="6"/>
                <w:szCs w:val="6"/>
                <w:color w:val="auto"/>
              </w:rPr>
              <w:t>17</w:t>
            </w: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jc w:val="right"/>
              <w:ind w:right="12"/>
              <w:spacing w:after="0" w:line="55"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auto"/>
            </w:tcBorders>
            <w:gridSpan w:val="2"/>
          </w:tcPr>
          <w:p>
            <w:pPr>
              <w:jc w:val="right"/>
              <w:ind w:right="8"/>
              <w:spacing w:after="0" w:line="55" w:lineRule="exact"/>
              <w:rPr>
                <w:sz w:val="20"/>
                <w:szCs w:val="20"/>
                <w:color w:val="auto"/>
              </w:rPr>
            </w:pPr>
            <w:r>
              <w:rPr>
                <w:rFonts w:ascii="Arial" w:cs="Arial" w:eastAsia="Arial" w:hAnsi="Arial"/>
                <w:sz w:val="6"/>
                <w:szCs w:val="6"/>
                <w:color w:val="auto"/>
              </w:rPr>
              <w:t>154,904</w:t>
            </w:r>
          </w:p>
        </w:tc>
        <w:tc>
          <w:tcPr>
            <w:tcW w:w="80" w:type="dxa"/>
            <w:vAlign w:val="bottom"/>
            <w:tcBorders>
              <w:bottom w:val="single" w:sz="8" w:color="auto"/>
            </w:tcBorders>
          </w:tcPr>
          <w:p>
            <w:pPr>
              <w:jc w:val="right"/>
              <w:spacing w:after="0" w:line="55" w:lineRule="exact"/>
              <w:rPr>
                <w:sz w:val="20"/>
                <w:szCs w:val="20"/>
                <w:color w:val="auto"/>
              </w:rPr>
            </w:pPr>
            <w:r>
              <w:rPr>
                <w:rFonts w:ascii="Arial" w:cs="Arial" w:eastAsia="Arial" w:hAnsi="Arial"/>
                <w:sz w:val="6"/>
                <w:szCs w:val="6"/>
                <w:color w:val="auto"/>
              </w:rPr>
              <w:t>$</w:t>
            </w:r>
          </w:p>
        </w:tc>
        <w:tc>
          <w:tcPr>
            <w:tcW w:w="760" w:type="dxa"/>
            <w:vAlign w:val="bottom"/>
            <w:tcBorders>
              <w:bottom w:val="single" w:sz="8" w:color="auto"/>
            </w:tcBorders>
            <w:gridSpan w:val="2"/>
          </w:tcPr>
          <w:p>
            <w:pPr>
              <w:jc w:val="right"/>
              <w:ind w:right="20"/>
              <w:spacing w:after="0" w:line="55" w:lineRule="exact"/>
              <w:rPr>
                <w:sz w:val="20"/>
                <w:szCs w:val="20"/>
                <w:color w:val="auto"/>
              </w:rPr>
            </w:pPr>
            <w:r>
              <w:rPr>
                <w:rFonts w:ascii="Arial" w:cs="Arial" w:eastAsia="Arial" w:hAnsi="Arial"/>
                <w:sz w:val="6"/>
                <w:szCs w:val="6"/>
                <w:color w:val="auto"/>
              </w:rPr>
              <w:t>(67,105)</w:t>
            </w:r>
          </w:p>
        </w:tc>
        <w:tc>
          <w:tcPr>
            <w:tcW w:w="140" w:type="dxa"/>
            <w:vAlign w:val="bottom"/>
            <w:tcBorders>
              <w:bottom w:val="single" w:sz="8" w:color="auto"/>
            </w:tcBorders>
          </w:tcPr>
          <w:p>
            <w:pPr>
              <w:jc w:val="center"/>
              <w:spacing w:after="0" w:line="55" w:lineRule="exact"/>
              <w:rPr>
                <w:sz w:val="20"/>
                <w:szCs w:val="20"/>
                <w:color w:val="auto"/>
              </w:rPr>
            </w:pPr>
            <w:r>
              <w:rPr>
                <w:rFonts w:ascii="Arial" w:cs="Arial" w:eastAsia="Arial" w:hAnsi="Arial"/>
                <w:sz w:val="6"/>
                <w:szCs w:val="6"/>
                <w:color w:val="auto"/>
              </w:rPr>
              <w:t>$</w:t>
            </w:r>
          </w:p>
        </w:tc>
        <w:tc>
          <w:tcPr>
            <w:tcW w:w="480" w:type="dxa"/>
            <w:vAlign w:val="bottom"/>
            <w:tcBorders>
              <w:bottom w:val="single" w:sz="8" w:color="auto"/>
            </w:tcBorders>
          </w:tcPr>
          <w:p>
            <w:pPr>
              <w:jc w:val="right"/>
              <w:ind w:right="6"/>
              <w:spacing w:after="0" w:line="55" w:lineRule="exact"/>
              <w:rPr>
                <w:sz w:val="20"/>
                <w:szCs w:val="20"/>
                <w:color w:val="auto"/>
              </w:rPr>
            </w:pPr>
            <w:r>
              <w:rPr>
                <w:rFonts w:ascii="Arial" w:cs="Arial" w:eastAsia="Arial" w:hAnsi="Arial"/>
                <w:sz w:val="6"/>
                <w:szCs w:val="6"/>
                <w:color w:val="auto"/>
              </w:rPr>
              <w:t>(40,407)</w:t>
            </w:r>
          </w:p>
        </w:tc>
        <w:tc>
          <w:tcPr>
            <w:tcW w:w="120" w:type="dxa"/>
            <w:vAlign w:val="bottom"/>
            <w:tcBorders>
              <w:bottom w:val="single" w:sz="8" w:color="auto"/>
            </w:tcBorders>
          </w:tcPr>
          <w:p>
            <w:pPr>
              <w:jc w:val="right"/>
              <w:ind w:right="9"/>
              <w:spacing w:after="0" w:line="55" w:lineRule="exact"/>
              <w:rPr>
                <w:sz w:val="20"/>
                <w:szCs w:val="20"/>
                <w:color w:val="auto"/>
              </w:rPr>
            </w:pPr>
            <w:r>
              <w:rPr>
                <w:rFonts w:ascii="Arial" w:cs="Arial" w:eastAsia="Arial" w:hAnsi="Arial"/>
                <w:sz w:val="6"/>
                <w:szCs w:val="6"/>
                <w:color w:val="auto"/>
              </w:rPr>
              <w:t>$</w:t>
            </w:r>
          </w:p>
        </w:tc>
        <w:tc>
          <w:tcPr>
            <w:tcW w:w="840" w:type="dxa"/>
            <w:vAlign w:val="bottom"/>
            <w:tcBorders>
              <w:bottom w:val="single" w:sz="8" w:color="auto"/>
            </w:tcBorders>
            <w:gridSpan w:val="2"/>
          </w:tcPr>
          <w:p>
            <w:pPr>
              <w:jc w:val="right"/>
              <w:ind w:right="26"/>
              <w:spacing w:after="0" w:line="55" w:lineRule="exact"/>
              <w:rPr>
                <w:sz w:val="20"/>
                <w:szCs w:val="20"/>
                <w:color w:val="auto"/>
              </w:rPr>
            </w:pPr>
            <w:r>
              <w:rPr>
                <w:rFonts w:ascii="Arial" w:cs="Arial" w:eastAsia="Arial" w:hAnsi="Arial"/>
                <w:sz w:val="6"/>
                <w:szCs w:val="6"/>
                <w:color w:val="auto"/>
              </w:rPr>
              <w:t>(5,647)</w:t>
            </w:r>
          </w:p>
        </w:tc>
        <w:tc>
          <w:tcPr>
            <w:tcW w:w="140" w:type="dxa"/>
            <w:vAlign w:val="bottom"/>
            <w:tcBorders>
              <w:bottom w:val="single" w:sz="8" w:color="auto"/>
            </w:tcBorders>
            <w:gridSpan w:val="2"/>
          </w:tcPr>
          <w:p>
            <w:pPr>
              <w:jc w:val="right"/>
              <w:ind w:right="11"/>
              <w:spacing w:after="0" w:line="55" w:lineRule="exact"/>
              <w:rPr>
                <w:sz w:val="20"/>
                <w:szCs w:val="20"/>
                <w:color w:val="auto"/>
              </w:rPr>
            </w:pPr>
            <w:r>
              <w:rPr>
                <w:rFonts w:ascii="Arial" w:cs="Arial" w:eastAsia="Arial" w:hAnsi="Arial"/>
                <w:sz w:val="6"/>
                <w:szCs w:val="6"/>
                <w:color w:val="auto"/>
              </w:rPr>
              <w:t>$</w:t>
            </w:r>
          </w:p>
        </w:tc>
        <w:tc>
          <w:tcPr>
            <w:tcW w:w="900" w:type="dxa"/>
            <w:vAlign w:val="bottom"/>
            <w:tcBorders>
              <w:bottom w:val="single" w:sz="8" w:color="auto"/>
            </w:tcBorders>
          </w:tcPr>
          <w:p>
            <w:pPr>
              <w:jc w:val="right"/>
              <w:spacing w:after="0" w:line="55" w:lineRule="exact"/>
              <w:rPr>
                <w:sz w:val="20"/>
                <w:szCs w:val="20"/>
                <w:color w:val="auto"/>
              </w:rPr>
            </w:pPr>
            <w:r>
              <w:rPr>
                <w:rFonts w:ascii="Arial" w:cs="Arial" w:eastAsia="Arial" w:hAnsi="Arial"/>
                <w:sz w:val="6"/>
                <w:szCs w:val="6"/>
                <w:color w:val="auto"/>
              </w:rPr>
              <w:t>41,998</w:t>
            </w:r>
          </w:p>
        </w:tc>
        <w:tc>
          <w:tcPr>
            <w:tcW w:w="240" w:type="dxa"/>
            <w:vAlign w:val="bottom"/>
            <w:tcBorders>
              <w:bottom w:val="single" w:sz="8" w:color="auto"/>
            </w:tcBorders>
          </w:tcPr>
          <w:p>
            <w:pPr>
              <w:jc w:val="right"/>
              <w:ind w:right="99"/>
              <w:spacing w:after="0" w:line="55" w:lineRule="exact"/>
              <w:rPr>
                <w:sz w:val="20"/>
                <w:szCs w:val="20"/>
                <w:color w:val="auto"/>
              </w:rPr>
            </w:pPr>
            <w:r>
              <w:rPr>
                <w:rFonts w:ascii="Arial" w:cs="Arial" w:eastAsia="Arial" w:hAnsi="Arial"/>
                <w:sz w:val="6"/>
                <w:szCs w:val="6"/>
                <w:color w:val="auto"/>
              </w:rPr>
              <w:t>$</w:t>
            </w: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jc w:val="right"/>
              <w:ind w:right="7"/>
              <w:spacing w:after="0" w:line="55" w:lineRule="exact"/>
              <w:rPr>
                <w:sz w:val="20"/>
                <w:szCs w:val="20"/>
                <w:color w:val="auto"/>
              </w:rPr>
            </w:pPr>
            <w:r>
              <w:rPr>
                <w:rFonts w:ascii="Arial" w:cs="Arial" w:eastAsia="Arial" w:hAnsi="Arial"/>
                <w:sz w:val="6"/>
                <w:szCs w:val="6"/>
                <w:color w:val="auto"/>
              </w:rPr>
              <w:t>57</w:t>
            </w:r>
          </w:p>
        </w:tc>
        <w:tc>
          <w:tcPr>
            <w:tcW w:w="500" w:type="dxa"/>
            <w:vAlign w:val="bottom"/>
            <w:tcBorders>
              <w:bottom w:val="single" w:sz="8" w:color="auto"/>
            </w:tcBorders>
          </w:tcPr>
          <w:p>
            <w:pPr>
              <w:ind w:left="40"/>
              <w:spacing w:after="0" w:line="55"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auto"/>
            </w:tcBorders>
          </w:tcPr>
          <w:p>
            <w:pPr>
              <w:jc w:val="right"/>
              <w:spacing w:after="0" w:line="55" w:lineRule="exact"/>
              <w:rPr>
                <w:sz w:val="20"/>
                <w:szCs w:val="20"/>
                <w:color w:val="auto"/>
              </w:rPr>
            </w:pPr>
            <w:r>
              <w:rPr>
                <w:rFonts w:ascii="Arial" w:cs="Arial" w:eastAsia="Arial" w:hAnsi="Arial"/>
                <w:sz w:val="6"/>
                <w:szCs w:val="6"/>
                <w:color w:val="auto"/>
              </w:rPr>
              <w:t>42,055</w:t>
            </w:r>
          </w:p>
        </w:tc>
        <w:tc>
          <w:tcPr>
            <w:tcW w:w="0" w:type="dxa"/>
            <w:vAlign w:val="bottom"/>
          </w:tcPr>
          <w:p>
            <w:pPr>
              <w:spacing w:after="0"/>
              <w:rPr>
                <w:sz w:val="1"/>
                <w:szCs w:val="1"/>
                <w:color w:val="auto"/>
              </w:rPr>
            </w:pPr>
          </w:p>
        </w:tc>
      </w:tr>
      <w:tr>
        <w:trPr>
          <w:trHeight w:val="428"/>
        </w:trPr>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68"/>
              <w:spacing w:after="0"/>
              <w:rPr>
                <w:sz w:val="20"/>
                <w:szCs w:val="20"/>
                <w:color w:val="auto"/>
              </w:rPr>
            </w:pPr>
            <w:r>
              <w:rPr>
                <w:rFonts w:ascii="Arial" w:cs="Arial" w:eastAsia="Arial" w:hAnsi="Arial"/>
                <w:sz w:val="10"/>
                <w:szCs w:val="10"/>
                <w:color w:val="auto"/>
              </w:rPr>
              <w:t>20</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40" w:type="dxa"/>
            <w:vAlign w:val="bottom"/>
            <w:tcBorders>
              <w:bottom w:val="single" w:sz="8" w:color="EEEEEE"/>
            </w:tcBorders>
          </w:tcPr>
          <w:p>
            <w:pPr>
              <w:spacing w:after="0"/>
              <w:rPr>
                <w:sz w:val="15"/>
                <w:szCs w:val="15"/>
                <w:color w:val="auto"/>
              </w:rPr>
            </w:pPr>
          </w:p>
        </w:tc>
        <w:tc>
          <w:tcPr>
            <w:tcW w:w="140" w:type="dxa"/>
            <w:vAlign w:val="bottom"/>
            <w:tcBorders>
              <w:bottom w:val="single" w:sz="8" w:color="EEEEEE"/>
            </w:tcBorders>
          </w:tcPr>
          <w:p>
            <w:pPr>
              <w:spacing w:after="0"/>
              <w:rPr>
                <w:sz w:val="15"/>
                <w:szCs w:val="15"/>
                <w:color w:val="auto"/>
              </w:rPr>
            </w:pPr>
          </w:p>
        </w:tc>
        <w:tc>
          <w:tcPr>
            <w:tcW w:w="280" w:type="dxa"/>
            <w:vAlign w:val="bottom"/>
            <w:tcBorders>
              <w:bottom w:val="single" w:sz="8" w:color="EEEEEE"/>
            </w:tcBorders>
          </w:tcPr>
          <w:p>
            <w:pPr>
              <w:spacing w:after="0"/>
              <w:rPr>
                <w:sz w:val="15"/>
                <w:szCs w:val="15"/>
                <w:color w:val="auto"/>
              </w:rPr>
            </w:pPr>
          </w:p>
        </w:tc>
        <w:tc>
          <w:tcPr>
            <w:tcW w:w="280" w:type="dxa"/>
            <w:vAlign w:val="bottom"/>
            <w:tcBorders>
              <w:bottom w:val="single" w:sz="8" w:color="EEEEEE"/>
            </w:tcBorders>
          </w:tcPr>
          <w:p>
            <w:pPr>
              <w:spacing w:after="0"/>
              <w:rPr>
                <w:sz w:val="15"/>
                <w:szCs w:val="15"/>
                <w:color w:val="auto"/>
              </w:rPr>
            </w:pPr>
          </w:p>
        </w:tc>
        <w:tc>
          <w:tcPr>
            <w:tcW w:w="100" w:type="dxa"/>
            <w:vAlign w:val="bottom"/>
            <w:tcBorders>
              <w:bottom w:val="single" w:sz="8" w:color="EEEEEE"/>
            </w:tcBorders>
          </w:tcPr>
          <w:p>
            <w:pPr>
              <w:spacing w:after="0"/>
              <w:rPr>
                <w:sz w:val="15"/>
                <w:szCs w:val="15"/>
                <w:color w:val="auto"/>
              </w:rPr>
            </w:pPr>
          </w:p>
        </w:tc>
        <w:tc>
          <w:tcPr>
            <w:tcW w:w="420" w:type="dxa"/>
            <w:vAlign w:val="bottom"/>
            <w:tcBorders>
              <w:bottom w:val="single" w:sz="8" w:color="EEEEEE"/>
            </w:tcBorders>
          </w:tcPr>
          <w:p>
            <w:pPr>
              <w:spacing w:after="0"/>
              <w:rPr>
                <w:sz w:val="15"/>
                <w:szCs w:val="15"/>
                <w:color w:val="auto"/>
              </w:rPr>
            </w:pPr>
          </w:p>
        </w:tc>
        <w:tc>
          <w:tcPr>
            <w:tcW w:w="700" w:type="dxa"/>
            <w:vAlign w:val="bottom"/>
            <w:tcBorders>
              <w:bottom w:val="single" w:sz="8" w:color="EEEEEE"/>
            </w:tcBorders>
          </w:tcPr>
          <w:p>
            <w:pPr>
              <w:spacing w:after="0"/>
              <w:rPr>
                <w:sz w:val="15"/>
                <w:szCs w:val="15"/>
                <w:color w:val="auto"/>
              </w:rPr>
            </w:pPr>
          </w:p>
        </w:tc>
        <w:tc>
          <w:tcPr>
            <w:tcW w:w="120" w:type="dxa"/>
            <w:vAlign w:val="bottom"/>
            <w:tcBorders>
              <w:bottom w:val="single" w:sz="8" w:color="EEEEEE"/>
            </w:tcBorders>
          </w:tcPr>
          <w:p>
            <w:pPr>
              <w:spacing w:after="0"/>
              <w:rPr>
                <w:sz w:val="15"/>
                <w:szCs w:val="15"/>
                <w:color w:val="auto"/>
              </w:rPr>
            </w:pPr>
          </w:p>
        </w:tc>
        <w:tc>
          <w:tcPr>
            <w:tcW w:w="440" w:type="dxa"/>
            <w:vAlign w:val="bottom"/>
            <w:tcBorders>
              <w:bottom w:val="single" w:sz="8" w:color="EEEEEE"/>
            </w:tcBorders>
          </w:tcPr>
          <w:p>
            <w:pPr>
              <w:spacing w:after="0"/>
              <w:rPr>
                <w:sz w:val="15"/>
                <w:szCs w:val="15"/>
                <w:color w:val="auto"/>
              </w:rPr>
            </w:pPr>
          </w:p>
        </w:tc>
        <w:tc>
          <w:tcPr>
            <w:tcW w:w="20" w:type="dxa"/>
            <w:vAlign w:val="bottom"/>
            <w:tcBorders>
              <w:bottom w:val="single" w:sz="8" w:color="EEEEEE"/>
            </w:tcBorders>
          </w:tcPr>
          <w:p>
            <w:pPr>
              <w:spacing w:after="0"/>
              <w:rPr>
                <w:sz w:val="15"/>
                <w:szCs w:val="15"/>
                <w:color w:val="auto"/>
              </w:rPr>
            </w:pPr>
          </w:p>
        </w:tc>
        <w:tc>
          <w:tcPr>
            <w:tcW w:w="100" w:type="dxa"/>
            <w:vAlign w:val="bottom"/>
            <w:tcBorders>
              <w:bottom w:val="single" w:sz="8" w:color="EEEEEE"/>
            </w:tcBorders>
          </w:tcPr>
          <w:p>
            <w:pPr>
              <w:spacing w:after="0"/>
              <w:rPr>
                <w:sz w:val="15"/>
                <w:szCs w:val="15"/>
                <w:color w:val="auto"/>
              </w:rPr>
            </w:pPr>
          </w:p>
        </w:tc>
        <w:tc>
          <w:tcPr>
            <w:tcW w:w="60" w:type="dxa"/>
            <w:vAlign w:val="bottom"/>
            <w:tcBorders>
              <w:bottom w:val="single" w:sz="8" w:color="EEEEEE"/>
            </w:tcBorders>
          </w:tcPr>
          <w:p>
            <w:pPr>
              <w:spacing w:after="0"/>
              <w:rPr>
                <w:sz w:val="15"/>
                <w:szCs w:val="15"/>
                <w:color w:val="auto"/>
              </w:rPr>
            </w:pPr>
          </w:p>
        </w:tc>
        <w:tc>
          <w:tcPr>
            <w:tcW w:w="460" w:type="dxa"/>
            <w:vAlign w:val="bottom"/>
            <w:tcBorders>
              <w:bottom w:val="single" w:sz="8" w:color="EEEEEE"/>
            </w:tcBorders>
          </w:tcPr>
          <w:p>
            <w:pPr>
              <w:spacing w:after="0"/>
              <w:rPr>
                <w:sz w:val="15"/>
                <w:szCs w:val="15"/>
                <w:color w:val="auto"/>
              </w:rPr>
            </w:pPr>
          </w:p>
        </w:tc>
        <w:tc>
          <w:tcPr>
            <w:tcW w:w="80" w:type="dxa"/>
            <w:vAlign w:val="bottom"/>
            <w:tcBorders>
              <w:bottom w:val="single" w:sz="8" w:color="EEEEEE"/>
            </w:tcBorders>
          </w:tcPr>
          <w:p>
            <w:pPr>
              <w:spacing w:after="0"/>
              <w:rPr>
                <w:sz w:val="15"/>
                <w:szCs w:val="15"/>
                <w:color w:val="auto"/>
              </w:rPr>
            </w:pPr>
          </w:p>
        </w:tc>
        <w:tc>
          <w:tcPr>
            <w:tcW w:w="740" w:type="dxa"/>
            <w:vAlign w:val="bottom"/>
            <w:tcBorders>
              <w:bottom w:val="single" w:sz="8" w:color="EEEEEE"/>
            </w:tcBorders>
          </w:tcPr>
          <w:p>
            <w:pPr>
              <w:spacing w:after="0"/>
              <w:rPr>
                <w:sz w:val="15"/>
                <w:szCs w:val="15"/>
                <w:color w:val="auto"/>
              </w:rPr>
            </w:pPr>
          </w:p>
        </w:tc>
        <w:tc>
          <w:tcPr>
            <w:tcW w:w="20" w:type="dxa"/>
            <w:vAlign w:val="bottom"/>
            <w:tcBorders>
              <w:bottom w:val="single" w:sz="8" w:color="EEEEEE"/>
            </w:tcBorders>
          </w:tcPr>
          <w:p>
            <w:pPr>
              <w:spacing w:after="0"/>
              <w:rPr>
                <w:sz w:val="15"/>
                <w:szCs w:val="15"/>
                <w:color w:val="auto"/>
              </w:rPr>
            </w:pPr>
          </w:p>
        </w:tc>
        <w:tc>
          <w:tcPr>
            <w:tcW w:w="140" w:type="dxa"/>
            <w:vAlign w:val="bottom"/>
            <w:tcBorders>
              <w:bottom w:val="single" w:sz="8" w:color="EEEEEE"/>
            </w:tcBorders>
          </w:tcPr>
          <w:p>
            <w:pPr>
              <w:spacing w:after="0"/>
              <w:rPr>
                <w:sz w:val="15"/>
                <w:szCs w:val="15"/>
                <w:color w:val="auto"/>
              </w:rPr>
            </w:pPr>
          </w:p>
        </w:tc>
        <w:tc>
          <w:tcPr>
            <w:tcW w:w="480" w:type="dxa"/>
            <w:vAlign w:val="bottom"/>
            <w:tcBorders>
              <w:bottom w:val="single" w:sz="8" w:color="EEEEEE"/>
            </w:tcBorders>
          </w:tcPr>
          <w:p>
            <w:pPr>
              <w:spacing w:after="0"/>
              <w:rPr>
                <w:sz w:val="15"/>
                <w:szCs w:val="15"/>
                <w:color w:val="auto"/>
              </w:rPr>
            </w:pPr>
          </w:p>
        </w:tc>
        <w:tc>
          <w:tcPr>
            <w:tcW w:w="120" w:type="dxa"/>
            <w:vAlign w:val="bottom"/>
            <w:tcBorders>
              <w:bottom w:val="single" w:sz="8" w:color="EEEEEE"/>
            </w:tcBorders>
          </w:tcPr>
          <w:p>
            <w:pPr>
              <w:spacing w:after="0"/>
              <w:rPr>
                <w:sz w:val="15"/>
                <w:szCs w:val="15"/>
                <w:color w:val="auto"/>
              </w:rPr>
            </w:pPr>
          </w:p>
        </w:tc>
        <w:tc>
          <w:tcPr>
            <w:tcW w:w="680" w:type="dxa"/>
            <w:vAlign w:val="bottom"/>
            <w:tcBorders>
              <w:bottom w:val="single" w:sz="8" w:color="EEEEEE"/>
            </w:tcBorders>
          </w:tcPr>
          <w:p>
            <w:pPr>
              <w:spacing w:after="0"/>
              <w:rPr>
                <w:sz w:val="15"/>
                <w:szCs w:val="15"/>
                <w:color w:val="auto"/>
              </w:rPr>
            </w:pPr>
          </w:p>
        </w:tc>
        <w:tc>
          <w:tcPr>
            <w:tcW w:w="160" w:type="dxa"/>
            <w:vAlign w:val="bottom"/>
            <w:tcBorders>
              <w:bottom w:val="single" w:sz="8" w:color="EEEEEE"/>
            </w:tcBorders>
          </w:tcPr>
          <w:p>
            <w:pPr>
              <w:spacing w:after="0"/>
              <w:rPr>
                <w:sz w:val="15"/>
                <w:szCs w:val="15"/>
                <w:color w:val="auto"/>
              </w:rPr>
            </w:pPr>
          </w:p>
        </w:tc>
        <w:tc>
          <w:tcPr>
            <w:tcW w:w="20" w:type="dxa"/>
            <w:vAlign w:val="bottom"/>
            <w:tcBorders>
              <w:bottom w:val="single" w:sz="8" w:color="EEEEEE"/>
            </w:tcBorders>
          </w:tcPr>
          <w:p>
            <w:pPr>
              <w:spacing w:after="0"/>
              <w:rPr>
                <w:sz w:val="15"/>
                <w:szCs w:val="15"/>
                <w:color w:val="auto"/>
              </w:rPr>
            </w:pPr>
          </w:p>
        </w:tc>
        <w:tc>
          <w:tcPr>
            <w:tcW w:w="120" w:type="dxa"/>
            <w:vAlign w:val="bottom"/>
            <w:tcBorders>
              <w:bottom w:val="single" w:sz="8" w:color="EEEEEE"/>
            </w:tcBorders>
          </w:tcPr>
          <w:p>
            <w:pPr>
              <w:spacing w:after="0"/>
              <w:rPr>
                <w:sz w:val="15"/>
                <w:szCs w:val="15"/>
                <w:color w:val="auto"/>
              </w:rPr>
            </w:pPr>
          </w:p>
        </w:tc>
        <w:tc>
          <w:tcPr>
            <w:tcW w:w="900" w:type="dxa"/>
            <w:vAlign w:val="bottom"/>
            <w:tcBorders>
              <w:bottom w:val="single" w:sz="8" w:color="EEEEEE"/>
            </w:tcBorders>
          </w:tcPr>
          <w:p>
            <w:pPr>
              <w:spacing w:after="0"/>
              <w:rPr>
                <w:sz w:val="15"/>
                <w:szCs w:val="15"/>
                <w:color w:val="auto"/>
              </w:rPr>
            </w:pPr>
          </w:p>
        </w:tc>
        <w:tc>
          <w:tcPr>
            <w:tcW w:w="240" w:type="dxa"/>
            <w:vAlign w:val="bottom"/>
            <w:tcBorders>
              <w:bottom w:val="single" w:sz="8" w:color="EEEEEE"/>
            </w:tcBorders>
          </w:tcPr>
          <w:p>
            <w:pPr>
              <w:spacing w:after="0"/>
              <w:rPr>
                <w:sz w:val="15"/>
                <w:szCs w:val="15"/>
                <w:color w:val="auto"/>
              </w:rPr>
            </w:pPr>
          </w:p>
        </w:tc>
        <w:tc>
          <w:tcPr>
            <w:tcW w:w="20" w:type="dxa"/>
            <w:vAlign w:val="bottom"/>
            <w:tcBorders>
              <w:bottom w:val="single" w:sz="8" w:color="EEEEEE"/>
            </w:tcBorders>
          </w:tcPr>
          <w:p>
            <w:pPr>
              <w:spacing w:after="0"/>
              <w:rPr>
                <w:sz w:val="15"/>
                <w:szCs w:val="15"/>
                <w:color w:val="auto"/>
              </w:rPr>
            </w:pPr>
          </w:p>
        </w:tc>
        <w:tc>
          <w:tcPr>
            <w:tcW w:w="20" w:type="dxa"/>
            <w:vAlign w:val="bottom"/>
            <w:tcBorders>
              <w:bottom w:val="single" w:sz="8" w:color="EEEEEE"/>
            </w:tcBorders>
          </w:tcPr>
          <w:p>
            <w:pPr>
              <w:spacing w:after="0"/>
              <w:rPr>
                <w:sz w:val="15"/>
                <w:szCs w:val="15"/>
                <w:color w:val="auto"/>
              </w:rPr>
            </w:pPr>
          </w:p>
        </w:tc>
        <w:tc>
          <w:tcPr>
            <w:tcW w:w="120" w:type="dxa"/>
            <w:vAlign w:val="bottom"/>
            <w:tcBorders>
              <w:bottom w:val="single" w:sz="8" w:color="EEEEEE"/>
            </w:tcBorders>
          </w:tcPr>
          <w:p>
            <w:pPr>
              <w:spacing w:after="0"/>
              <w:rPr>
                <w:sz w:val="15"/>
                <w:szCs w:val="15"/>
                <w:color w:val="auto"/>
              </w:rPr>
            </w:pPr>
          </w:p>
        </w:tc>
        <w:tc>
          <w:tcPr>
            <w:tcW w:w="20" w:type="dxa"/>
            <w:vAlign w:val="bottom"/>
            <w:tcBorders>
              <w:bottom w:val="single" w:sz="8" w:color="EEEEEE"/>
            </w:tcBorders>
          </w:tcPr>
          <w:p>
            <w:pPr>
              <w:spacing w:after="0"/>
              <w:rPr>
                <w:sz w:val="15"/>
                <w:szCs w:val="15"/>
                <w:color w:val="auto"/>
              </w:rPr>
            </w:pPr>
          </w:p>
        </w:tc>
        <w:tc>
          <w:tcPr>
            <w:tcW w:w="320" w:type="dxa"/>
            <w:vAlign w:val="bottom"/>
            <w:tcBorders>
              <w:bottom w:val="single" w:sz="8" w:color="EEEEEE"/>
            </w:tcBorders>
          </w:tcPr>
          <w:p>
            <w:pPr>
              <w:spacing w:after="0"/>
              <w:rPr>
                <w:sz w:val="15"/>
                <w:szCs w:val="15"/>
                <w:color w:val="auto"/>
              </w:rPr>
            </w:pPr>
          </w:p>
        </w:tc>
        <w:tc>
          <w:tcPr>
            <w:tcW w:w="200" w:type="dxa"/>
            <w:vAlign w:val="bottom"/>
            <w:tcBorders>
              <w:bottom w:val="single" w:sz="8" w:color="EEEEEE"/>
            </w:tcBorders>
          </w:tcPr>
          <w:p>
            <w:pPr>
              <w:spacing w:after="0"/>
              <w:rPr>
                <w:sz w:val="15"/>
                <w:szCs w:val="15"/>
                <w:color w:val="auto"/>
              </w:rPr>
            </w:pPr>
          </w:p>
        </w:tc>
        <w:tc>
          <w:tcPr>
            <w:tcW w:w="500" w:type="dxa"/>
            <w:vAlign w:val="bottom"/>
            <w:tcBorders>
              <w:bottom w:val="single" w:sz="8" w:color="EEEEEE"/>
            </w:tcBorders>
          </w:tcPr>
          <w:p>
            <w:pPr>
              <w:spacing w:after="0"/>
              <w:rPr>
                <w:sz w:val="15"/>
                <w:szCs w:val="15"/>
                <w:color w:val="auto"/>
              </w:rPr>
            </w:pPr>
          </w:p>
        </w:tc>
        <w:tc>
          <w:tcPr>
            <w:tcW w:w="260" w:type="dxa"/>
            <w:vAlign w:val="bottom"/>
            <w:tcBorders>
              <w:bottom w:val="single" w:sz="8" w:color="EEEEEE"/>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565" w:right="6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80"/>
        </w:trPr>
        <w:tc>
          <w:tcPr>
            <w:tcW w:w="234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7"/>
                <w:szCs w:val="7"/>
                <w:b w:val="1"/>
                <w:bCs w:val="1"/>
                <w:color w:val="auto"/>
              </w:rPr>
              <w:t>Common Stock</w:t>
            </w: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center"/>
              <w:ind w:right="128"/>
              <w:spacing w:after="0"/>
              <w:rPr>
                <w:sz w:val="20"/>
                <w:szCs w:val="20"/>
                <w:color w:val="auto"/>
              </w:rPr>
            </w:pPr>
            <w:r>
              <w:rPr>
                <w:rFonts w:ascii="Arial" w:cs="Arial" w:eastAsia="Arial" w:hAnsi="Arial"/>
                <w:sz w:val="7"/>
                <w:szCs w:val="7"/>
                <w:b w:val="1"/>
                <w:bCs w:val="1"/>
                <w:color w:val="auto"/>
                <w:w w:val="94"/>
              </w:rPr>
              <w:t>Retained</w:t>
            </w: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jc w:val="center"/>
              <w:ind w:right="188"/>
              <w:spacing w:after="0"/>
              <w:rPr>
                <w:sz w:val="20"/>
                <w:szCs w:val="20"/>
                <w:color w:val="auto"/>
              </w:rPr>
            </w:pPr>
            <w:r>
              <w:rPr>
                <w:rFonts w:ascii="Arial" w:cs="Arial" w:eastAsia="Arial" w:hAnsi="Arial"/>
                <w:sz w:val="7"/>
                <w:szCs w:val="7"/>
                <w:b w:val="1"/>
                <w:bCs w:val="1"/>
                <w:color w:val="auto"/>
                <w:w w:val="95"/>
              </w:rPr>
              <w:t>Accumulated</w:t>
            </w:r>
          </w:p>
        </w:tc>
        <w:tc>
          <w:tcPr>
            <w:tcW w:w="140" w:type="dxa"/>
            <w:vAlign w:val="bottom"/>
          </w:tcPr>
          <w:p>
            <w:pPr>
              <w:spacing w:after="0"/>
              <w:rPr>
                <w:sz w:val="7"/>
                <w:szCs w:val="7"/>
                <w:color w:val="auto"/>
              </w:rPr>
            </w:pPr>
          </w:p>
        </w:tc>
        <w:tc>
          <w:tcPr>
            <w:tcW w:w="920" w:type="dxa"/>
            <w:vAlign w:val="bottom"/>
          </w:tcPr>
          <w:p>
            <w:pPr>
              <w:jc w:val="center"/>
              <w:ind w:right="188"/>
              <w:spacing w:after="0"/>
              <w:rPr>
                <w:sz w:val="20"/>
                <w:szCs w:val="20"/>
                <w:color w:val="auto"/>
              </w:rPr>
            </w:pPr>
            <w:r>
              <w:rPr>
                <w:rFonts w:ascii="Arial" w:cs="Arial" w:eastAsia="Arial" w:hAnsi="Arial"/>
                <w:sz w:val="7"/>
                <w:szCs w:val="7"/>
                <w:b w:val="1"/>
                <w:bCs w:val="1"/>
                <w:color w:val="auto"/>
                <w:w w:val="93"/>
              </w:rPr>
              <w:t>Reading</w:t>
            </w: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jc w:val="center"/>
              <w:ind w:right="28"/>
              <w:spacing w:after="0" w:line="48" w:lineRule="exact"/>
              <w:rPr>
                <w:sz w:val="20"/>
                <w:szCs w:val="20"/>
                <w:color w:val="auto"/>
              </w:rPr>
            </w:pPr>
            <w:r>
              <w:rPr>
                <w:rFonts w:ascii="Arial" w:cs="Arial" w:eastAsia="Arial" w:hAnsi="Arial"/>
                <w:sz w:val="5"/>
                <w:szCs w:val="5"/>
                <w:b w:val="1"/>
                <w:bCs w:val="1"/>
                <w:color w:val="auto"/>
              </w:rPr>
              <w:t>Class A</w:t>
            </w:r>
          </w:p>
        </w:tc>
        <w:tc>
          <w:tcPr>
            <w:tcW w:w="100" w:type="dxa"/>
            <w:vAlign w:val="bottom"/>
          </w:tcPr>
          <w:p>
            <w:pPr>
              <w:spacing w:after="0"/>
              <w:rPr>
                <w:sz w:val="4"/>
                <w:szCs w:val="4"/>
                <w:color w:val="auto"/>
              </w:rPr>
            </w:pPr>
          </w:p>
        </w:tc>
        <w:tc>
          <w:tcPr>
            <w:tcW w:w="420" w:type="dxa"/>
            <w:vAlign w:val="bottom"/>
            <w:tcBorders>
              <w:right w:val="single" w:sz="8" w:color="auto"/>
            </w:tcBorders>
          </w:tcPr>
          <w:p>
            <w:pPr>
              <w:jc w:val="center"/>
              <w:ind w:right="108"/>
              <w:spacing w:after="0" w:line="48" w:lineRule="exact"/>
              <w:rPr>
                <w:sz w:val="20"/>
                <w:szCs w:val="20"/>
                <w:color w:val="auto"/>
              </w:rPr>
            </w:pPr>
            <w:r>
              <w:rPr>
                <w:rFonts w:ascii="Arial" w:cs="Arial" w:eastAsia="Arial" w:hAnsi="Arial"/>
                <w:sz w:val="5"/>
                <w:szCs w:val="5"/>
                <w:b w:val="1"/>
                <w:bCs w:val="1"/>
                <w:color w:val="auto"/>
              </w:rPr>
              <w:t>Class A</w:t>
            </w:r>
          </w:p>
        </w:tc>
        <w:tc>
          <w:tcPr>
            <w:tcW w:w="700" w:type="dxa"/>
            <w:vAlign w:val="bottom"/>
            <w:tcBorders>
              <w:right w:val="single" w:sz="8" w:color="auto"/>
            </w:tcBorders>
          </w:tcPr>
          <w:p>
            <w:pPr>
              <w:jc w:val="right"/>
              <w:ind w:right="208"/>
              <w:spacing w:after="0" w:line="48" w:lineRule="exact"/>
              <w:rPr>
                <w:sz w:val="20"/>
                <w:szCs w:val="20"/>
                <w:color w:val="auto"/>
              </w:rPr>
            </w:pPr>
            <w:r>
              <w:rPr>
                <w:rFonts w:ascii="Arial" w:cs="Arial" w:eastAsia="Arial" w:hAnsi="Arial"/>
                <w:sz w:val="5"/>
                <w:szCs w:val="5"/>
                <w:b w:val="1"/>
                <w:bCs w:val="1"/>
                <w:color w:val="auto"/>
              </w:rPr>
              <w:t>Class B</w:t>
            </w:r>
          </w:p>
        </w:tc>
        <w:tc>
          <w:tcPr>
            <w:tcW w:w="120" w:type="dxa"/>
            <w:vAlign w:val="bottom"/>
          </w:tcPr>
          <w:p>
            <w:pPr>
              <w:spacing w:after="0"/>
              <w:rPr>
                <w:sz w:val="4"/>
                <w:szCs w:val="4"/>
                <w:color w:val="auto"/>
              </w:rPr>
            </w:pPr>
          </w:p>
        </w:tc>
        <w:tc>
          <w:tcPr>
            <w:tcW w:w="440" w:type="dxa"/>
            <w:vAlign w:val="bottom"/>
            <w:tcBorders>
              <w:right w:val="single" w:sz="8" w:color="auto"/>
            </w:tcBorders>
          </w:tcPr>
          <w:p>
            <w:pPr>
              <w:ind w:left="20"/>
              <w:spacing w:after="0" w:line="48" w:lineRule="exact"/>
              <w:rPr>
                <w:sz w:val="20"/>
                <w:szCs w:val="20"/>
                <w:color w:val="auto"/>
              </w:rPr>
            </w:pPr>
            <w:r>
              <w:rPr>
                <w:rFonts w:ascii="Arial" w:cs="Arial" w:eastAsia="Arial" w:hAnsi="Arial"/>
                <w:sz w:val="5"/>
                <w:szCs w:val="5"/>
                <w:b w:val="1"/>
                <w:bCs w:val="1"/>
                <w:color w:val="auto"/>
              </w:rPr>
              <w:t>Class B</w:t>
            </w:r>
          </w:p>
        </w:tc>
        <w:tc>
          <w:tcPr>
            <w:tcW w:w="120" w:type="dxa"/>
            <w:vAlign w:val="bottom"/>
          </w:tcPr>
          <w:p>
            <w:pPr>
              <w:spacing w:after="0"/>
              <w:rPr>
                <w:sz w:val="4"/>
                <w:szCs w:val="4"/>
                <w:color w:val="auto"/>
              </w:rPr>
            </w:pPr>
          </w:p>
        </w:tc>
        <w:tc>
          <w:tcPr>
            <w:tcW w:w="520" w:type="dxa"/>
            <w:vAlign w:val="bottom"/>
          </w:tcPr>
          <w:p>
            <w:pPr>
              <w:jc w:val="right"/>
              <w:ind w:right="128"/>
              <w:spacing w:after="0" w:line="48" w:lineRule="exact"/>
              <w:rPr>
                <w:sz w:val="20"/>
                <w:szCs w:val="20"/>
                <w:color w:val="auto"/>
              </w:rPr>
            </w:pPr>
            <w:r>
              <w:rPr>
                <w:rFonts w:ascii="Arial" w:cs="Arial" w:eastAsia="Arial" w:hAnsi="Arial"/>
                <w:sz w:val="5"/>
                <w:szCs w:val="5"/>
                <w:b w:val="1"/>
                <w:bCs w:val="1"/>
                <w:color w:val="auto"/>
              </w:rPr>
              <w:t>Additional</w:t>
            </w:r>
          </w:p>
        </w:tc>
        <w:tc>
          <w:tcPr>
            <w:tcW w:w="120" w:type="dxa"/>
            <w:vAlign w:val="bottom"/>
          </w:tcPr>
          <w:p>
            <w:pPr>
              <w:spacing w:after="0"/>
              <w:rPr>
                <w:sz w:val="4"/>
                <w:szCs w:val="4"/>
                <w:color w:val="auto"/>
              </w:rPr>
            </w:pPr>
          </w:p>
        </w:tc>
        <w:tc>
          <w:tcPr>
            <w:tcW w:w="720" w:type="dxa"/>
            <w:vAlign w:val="bottom"/>
          </w:tcPr>
          <w:p>
            <w:pPr>
              <w:jc w:val="center"/>
              <w:ind w:right="128"/>
              <w:spacing w:after="0" w:line="48" w:lineRule="exact"/>
              <w:rPr>
                <w:sz w:val="20"/>
                <w:szCs w:val="20"/>
                <w:color w:val="auto"/>
              </w:rPr>
            </w:pPr>
            <w:r>
              <w:rPr>
                <w:rFonts w:ascii="Arial" w:cs="Arial" w:eastAsia="Arial" w:hAnsi="Arial"/>
                <w:sz w:val="5"/>
                <w:szCs w:val="5"/>
                <w:b w:val="1"/>
                <w:bCs w:val="1"/>
                <w:color w:val="auto"/>
              </w:rPr>
              <w:t>Earnings</w:t>
            </w:r>
          </w:p>
        </w:tc>
        <w:tc>
          <w:tcPr>
            <w:tcW w:w="100" w:type="dxa"/>
            <w:vAlign w:val="bottom"/>
          </w:tcPr>
          <w:p>
            <w:pPr>
              <w:spacing w:after="0"/>
              <w:rPr>
                <w:sz w:val="4"/>
                <w:szCs w:val="4"/>
                <w:color w:val="auto"/>
              </w:rPr>
            </w:pPr>
          </w:p>
        </w:tc>
        <w:tc>
          <w:tcPr>
            <w:tcW w:w="520" w:type="dxa"/>
            <w:vAlign w:val="bottom"/>
            <w:vMerge w:val="restart"/>
          </w:tcPr>
          <w:p>
            <w:pPr>
              <w:jc w:val="right"/>
              <w:ind w:right="167"/>
              <w:spacing w:after="0"/>
              <w:rPr>
                <w:sz w:val="20"/>
                <w:szCs w:val="20"/>
                <w:color w:val="auto"/>
              </w:rPr>
            </w:pPr>
            <w:r>
              <w:rPr>
                <w:rFonts w:ascii="Arial" w:cs="Arial" w:eastAsia="Arial" w:hAnsi="Arial"/>
                <w:sz w:val="7"/>
                <w:szCs w:val="7"/>
                <w:b w:val="1"/>
                <w:bCs w:val="1"/>
                <w:color w:val="auto"/>
              </w:rPr>
              <w:t>Treasury</w:t>
            </w:r>
          </w:p>
        </w:tc>
        <w:tc>
          <w:tcPr>
            <w:tcW w:w="120" w:type="dxa"/>
            <w:vAlign w:val="bottom"/>
          </w:tcPr>
          <w:p>
            <w:pPr>
              <w:spacing w:after="0"/>
              <w:rPr>
                <w:sz w:val="4"/>
                <w:szCs w:val="4"/>
                <w:color w:val="auto"/>
              </w:rPr>
            </w:pPr>
          </w:p>
        </w:tc>
        <w:tc>
          <w:tcPr>
            <w:tcW w:w="840" w:type="dxa"/>
            <w:vAlign w:val="bottom"/>
          </w:tcPr>
          <w:p>
            <w:pPr>
              <w:jc w:val="center"/>
              <w:ind w:right="188"/>
              <w:spacing w:after="0" w:line="48" w:lineRule="exact"/>
              <w:rPr>
                <w:sz w:val="20"/>
                <w:szCs w:val="20"/>
                <w:color w:val="auto"/>
              </w:rPr>
            </w:pPr>
            <w:r>
              <w:rPr>
                <w:rFonts w:ascii="Arial" w:cs="Arial" w:eastAsia="Arial" w:hAnsi="Arial"/>
                <w:sz w:val="5"/>
                <w:szCs w:val="5"/>
                <w:b w:val="1"/>
                <w:bCs w:val="1"/>
                <w:color w:val="auto"/>
              </w:rPr>
              <w:t>Other</w:t>
            </w:r>
          </w:p>
        </w:tc>
        <w:tc>
          <w:tcPr>
            <w:tcW w:w="140" w:type="dxa"/>
            <w:vAlign w:val="bottom"/>
          </w:tcPr>
          <w:p>
            <w:pPr>
              <w:spacing w:after="0"/>
              <w:rPr>
                <w:sz w:val="4"/>
                <w:szCs w:val="4"/>
                <w:color w:val="auto"/>
              </w:rPr>
            </w:pPr>
          </w:p>
        </w:tc>
        <w:tc>
          <w:tcPr>
            <w:tcW w:w="920" w:type="dxa"/>
            <w:vAlign w:val="bottom"/>
          </w:tcPr>
          <w:p>
            <w:pPr>
              <w:jc w:val="center"/>
              <w:ind w:right="228"/>
              <w:spacing w:after="0" w:line="48" w:lineRule="exact"/>
              <w:rPr>
                <w:sz w:val="20"/>
                <w:szCs w:val="20"/>
                <w:color w:val="auto"/>
              </w:rPr>
            </w:pPr>
            <w:r>
              <w:rPr>
                <w:rFonts w:ascii="Arial" w:cs="Arial" w:eastAsia="Arial" w:hAnsi="Arial"/>
                <w:sz w:val="5"/>
                <w:szCs w:val="5"/>
                <w:b w:val="1"/>
                <w:bCs w:val="1"/>
                <w:color w:val="auto"/>
              </w:rPr>
              <w:t>International Inc.</w:t>
            </w:r>
          </w:p>
        </w:tc>
        <w:tc>
          <w:tcPr>
            <w:tcW w:w="140" w:type="dxa"/>
            <w:vAlign w:val="bottom"/>
          </w:tcPr>
          <w:p>
            <w:pPr>
              <w:spacing w:after="0"/>
              <w:rPr>
                <w:sz w:val="4"/>
                <w:szCs w:val="4"/>
                <w:color w:val="auto"/>
              </w:rPr>
            </w:pPr>
          </w:p>
        </w:tc>
        <w:tc>
          <w:tcPr>
            <w:tcW w:w="780" w:type="dxa"/>
            <w:vAlign w:val="bottom"/>
            <w:vMerge w:val="restart"/>
          </w:tcPr>
          <w:p>
            <w:pPr>
              <w:jc w:val="right"/>
              <w:ind w:right="227"/>
              <w:spacing w:after="0"/>
              <w:rPr>
                <w:sz w:val="20"/>
                <w:szCs w:val="20"/>
                <w:color w:val="auto"/>
              </w:rPr>
            </w:pPr>
            <w:r>
              <w:rPr>
                <w:rFonts w:ascii="Arial" w:cs="Arial" w:eastAsia="Arial" w:hAnsi="Arial"/>
                <w:sz w:val="7"/>
                <w:szCs w:val="7"/>
                <w:b w:val="1"/>
                <w:bCs w:val="1"/>
                <w:color w:val="auto"/>
              </w:rPr>
              <w:t>Noncontrolling</w:t>
            </w:r>
          </w:p>
        </w:tc>
        <w:tc>
          <w:tcPr>
            <w:tcW w:w="100" w:type="dxa"/>
            <w:vAlign w:val="bottom"/>
          </w:tcPr>
          <w:p>
            <w:pPr>
              <w:spacing w:after="0"/>
              <w:rPr>
                <w:sz w:val="4"/>
                <w:szCs w:val="4"/>
                <w:color w:val="auto"/>
              </w:rPr>
            </w:pPr>
          </w:p>
        </w:tc>
        <w:tc>
          <w:tcPr>
            <w:tcW w:w="660" w:type="dxa"/>
            <w:vAlign w:val="bottom"/>
          </w:tcPr>
          <w:p>
            <w:pPr>
              <w:jc w:val="center"/>
              <w:ind w:right="108"/>
              <w:spacing w:after="0" w:line="48" w:lineRule="exact"/>
              <w:rPr>
                <w:sz w:val="20"/>
                <w:szCs w:val="20"/>
                <w:color w:val="auto"/>
              </w:rPr>
            </w:pPr>
            <w:r>
              <w:rPr>
                <w:rFonts w:ascii="Arial" w:cs="Arial" w:eastAsia="Arial" w:hAnsi="Arial"/>
                <w:sz w:val="5"/>
                <w:szCs w:val="5"/>
                <w:b w:val="1"/>
                <w:bCs w:val="1"/>
                <w:color w:val="auto"/>
              </w:rPr>
              <w:t>Total</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7"/>
                <w:szCs w:val="7"/>
                <w:i w:val="1"/>
                <w:iCs w:val="1"/>
                <w:color w:val="auto"/>
              </w:rPr>
              <w:t>(Dollars in thousands, except shares)</w:t>
            </w:r>
          </w:p>
        </w:tc>
        <w:tc>
          <w:tcPr>
            <w:tcW w:w="700" w:type="dxa"/>
            <w:vAlign w:val="bottom"/>
            <w:tcBorders>
              <w:right w:val="single" w:sz="8" w:color="auto"/>
            </w:tcBorders>
          </w:tcPr>
          <w:p>
            <w:pPr>
              <w:jc w:val="center"/>
              <w:ind w:right="8"/>
              <w:spacing w:after="0" w:line="68" w:lineRule="exact"/>
              <w:rPr>
                <w:sz w:val="20"/>
                <w:szCs w:val="20"/>
                <w:color w:val="auto"/>
              </w:rPr>
            </w:pPr>
            <w:r>
              <w:rPr>
                <w:rFonts w:ascii="Arial" w:cs="Arial" w:eastAsia="Arial" w:hAnsi="Arial"/>
                <w:sz w:val="7"/>
                <w:szCs w:val="7"/>
                <w:b w:val="1"/>
                <w:bCs w:val="1"/>
                <w:color w:val="auto"/>
              </w:rPr>
              <w:t>Non-Voting</w:t>
            </w:r>
          </w:p>
        </w:tc>
        <w:tc>
          <w:tcPr>
            <w:tcW w:w="100" w:type="dxa"/>
            <w:vAlign w:val="bottom"/>
          </w:tcPr>
          <w:p>
            <w:pPr>
              <w:spacing w:after="0"/>
              <w:rPr>
                <w:sz w:val="5"/>
                <w:szCs w:val="5"/>
                <w:color w:val="auto"/>
              </w:rPr>
            </w:pPr>
          </w:p>
        </w:tc>
        <w:tc>
          <w:tcPr>
            <w:tcW w:w="420" w:type="dxa"/>
            <w:vAlign w:val="bottom"/>
            <w:tcBorders>
              <w:right w:val="single" w:sz="8" w:color="auto"/>
            </w:tcBorders>
          </w:tcPr>
          <w:p>
            <w:pPr>
              <w:jc w:val="center"/>
              <w:ind w:right="108"/>
              <w:spacing w:after="0" w:line="68" w:lineRule="exact"/>
              <w:rPr>
                <w:sz w:val="20"/>
                <w:szCs w:val="20"/>
                <w:color w:val="auto"/>
              </w:rPr>
            </w:pPr>
            <w:r>
              <w:rPr>
                <w:rFonts w:ascii="Arial" w:cs="Arial" w:eastAsia="Arial" w:hAnsi="Arial"/>
                <w:sz w:val="7"/>
                <w:szCs w:val="7"/>
                <w:b w:val="1"/>
                <w:bCs w:val="1"/>
                <w:color w:val="auto"/>
              </w:rPr>
              <w:t>Par</w:t>
            </w:r>
          </w:p>
        </w:tc>
        <w:tc>
          <w:tcPr>
            <w:tcW w:w="700" w:type="dxa"/>
            <w:vAlign w:val="bottom"/>
            <w:tcBorders>
              <w:right w:val="single" w:sz="8" w:color="auto"/>
            </w:tcBorders>
          </w:tcPr>
          <w:p>
            <w:pPr>
              <w:ind w:left="240"/>
              <w:spacing w:after="0" w:line="68" w:lineRule="exact"/>
              <w:rPr>
                <w:sz w:val="20"/>
                <w:szCs w:val="20"/>
                <w:color w:val="auto"/>
              </w:rPr>
            </w:pPr>
            <w:r>
              <w:rPr>
                <w:rFonts w:ascii="Arial" w:cs="Arial" w:eastAsia="Arial" w:hAnsi="Arial"/>
                <w:sz w:val="7"/>
                <w:szCs w:val="7"/>
                <w:b w:val="1"/>
                <w:bCs w:val="1"/>
                <w:color w:val="auto"/>
              </w:rPr>
              <w:t>Voting</w:t>
            </w:r>
          </w:p>
        </w:tc>
        <w:tc>
          <w:tcPr>
            <w:tcW w:w="120" w:type="dxa"/>
            <w:vAlign w:val="bottom"/>
          </w:tcPr>
          <w:p>
            <w:pPr>
              <w:spacing w:after="0"/>
              <w:rPr>
                <w:sz w:val="5"/>
                <w:szCs w:val="5"/>
                <w:color w:val="auto"/>
              </w:rPr>
            </w:pPr>
          </w:p>
        </w:tc>
        <w:tc>
          <w:tcPr>
            <w:tcW w:w="440" w:type="dxa"/>
            <w:vAlign w:val="bottom"/>
            <w:tcBorders>
              <w:right w:val="single" w:sz="8" w:color="auto"/>
            </w:tcBorders>
          </w:tcPr>
          <w:p>
            <w:pPr>
              <w:ind w:left="80"/>
              <w:spacing w:after="0" w:line="68" w:lineRule="exact"/>
              <w:rPr>
                <w:sz w:val="20"/>
                <w:szCs w:val="20"/>
                <w:color w:val="auto"/>
              </w:rPr>
            </w:pPr>
            <w:r>
              <w:rPr>
                <w:rFonts w:ascii="Arial" w:cs="Arial" w:eastAsia="Arial" w:hAnsi="Arial"/>
                <w:sz w:val="7"/>
                <w:szCs w:val="7"/>
                <w:b w:val="1"/>
                <w:bCs w:val="1"/>
                <w:color w:val="auto"/>
              </w:rPr>
              <w:t>Par</w:t>
            </w:r>
          </w:p>
        </w:tc>
        <w:tc>
          <w:tcPr>
            <w:tcW w:w="120" w:type="dxa"/>
            <w:vAlign w:val="bottom"/>
          </w:tcPr>
          <w:p>
            <w:pPr>
              <w:spacing w:after="0"/>
              <w:rPr>
                <w:sz w:val="5"/>
                <w:szCs w:val="5"/>
                <w:color w:val="auto"/>
              </w:rPr>
            </w:pPr>
          </w:p>
        </w:tc>
        <w:tc>
          <w:tcPr>
            <w:tcW w:w="520" w:type="dxa"/>
            <w:vAlign w:val="bottom"/>
          </w:tcPr>
          <w:p>
            <w:pPr>
              <w:jc w:val="right"/>
              <w:ind w:right="168"/>
              <w:spacing w:after="0" w:line="68" w:lineRule="exact"/>
              <w:rPr>
                <w:sz w:val="20"/>
                <w:szCs w:val="20"/>
                <w:color w:val="auto"/>
              </w:rPr>
            </w:pPr>
            <w:r>
              <w:rPr>
                <w:rFonts w:ascii="Arial" w:cs="Arial" w:eastAsia="Arial" w:hAnsi="Arial"/>
                <w:sz w:val="7"/>
                <w:szCs w:val="7"/>
                <w:b w:val="1"/>
                <w:bCs w:val="1"/>
                <w:color w:val="auto"/>
              </w:rPr>
              <w:t>Paid-In</w:t>
            </w:r>
          </w:p>
        </w:tc>
        <w:tc>
          <w:tcPr>
            <w:tcW w:w="120" w:type="dxa"/>
            <w:vAlign w:val="bottom"/>
          </w:tcPr>
          <w:p>
            <w:pPr>
              <w:spacing w:after="0"/>
              <w:rPr>
                <w:sz w:val="5"/>
                <w:szCs w:val="5"/>
                <w:color w:val="auto"/>
              </w:rPr>
            </w:pPr>
          </w:p>
        </w:tc>
        <w:tc>
          <w:tcPr>
            <w:tcW w:w="720" w:type="dxa"/>
            <w:vAlign w:val="bottom"/>
          </w:tcPr>
          <w:p>
            <w:pPr>
              <w:jc w:val="center"/>
              <w:ind w:right="168"/>
              <w:spacing w:after="0" w:line="68" w:lineRule="exact"/>
              <w:rPr>
                <w:sz w:val="20"/>
                <w:szCs w:val="20"/>
                <w:color w:val="auto"/>
              </w:rPr>
            </w:pPr>
            <w:r>
              <w:rPr>
                <w:rFonts w:ascii="Arial" w:cs="Arial" w:eastAsia="Arial" w:hAnsi="Arial"/>
                <w:sz w:val="7"/>
                <w:szCs w:val="7"/>
                <w:b w:val="1"/>
                <w:bCs w:val="1"/>
                <w:color w:val="auto"/>
                <w:w w:val="94"/>
              </w:rPr>
              <w:t>(Accumulated</w:t>
            </w: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jc w:val="center"/>
              <w:ind w:right="188"/>
              <w:spacing w:after="0" w:line="68" w:lineRule="exact"/>
              <w:rPr>
                <w:sz w:val="20"/>
                <w:szCs w:val="20"/>
                <w:color w:val="auto"/>
              </w:rPr>
            </w:pPr>
            <w:r>
              <w:rPr>
                <w:rFonts w:ascii="Arial" w:cs="Arial" w:eastAsia="Arial" w:hAnsi="Arial"/>
                <w:sz w:val="7"/>
                <w:szCs w:val="7"/>
                <w:b w:val="1"/>
                <w:bCs w:val="1"/>
                <w:color w:val="auto"/>
                <w:w w:val="95"/>
              </w:rPr>
              <w:t>Comprehensive</w:t>
            </w:r>
          </w:p>
        </w:tc>
        <w:tc>
          <w:tcPr>
            <w:tcW w:w="140" w:type="dxa"/>
            <w:vAlign w:val="bottom"/>
          </w:tcPr>
          <w:p>
            <w:pPr>
              <w:spacing w:after="0"/>
              <w:rPr>
                <w:sz w:val="5"/>
                <w:szCs w:val="5"/>
                <w:color w:val="auto"/>
              </w:rPr>
            </w:pPr>
          </w:p>
        </w:tc>
        <w:tc>
          <w:tcPr>
            <w:tcW w:w="920" w:type="dxa"/>
            <w:vAlign w:val="bottom"/>
          </w:tcPr>
          <w:p>
            <w:pPr>
              <w:jc w:val="right"/>
              <w:ind w:right="328"/>
              <w:spacing w:after="0" w:line="68" w:lineRule="exact"/>
              <w:rPr>
                <w:sz w:val="20"/>
                <w:szCs w:val="20"/>
                <w:color w:val="auto"/>
              </w:rPr>
            </w:pPr>
            <w:r>
              <w:rPr>
                <w:rFonts w:ascii="Arial" w:cs="Arial" w:eastAsia="Arial" w:hAnsi="Arial"/>
                <w:sz w:val="7"/>
                <w:szCs w:val="7"/>
                <w:b w:val="1"/>
                <w:bCs w:val="1"/>
                <w:color w:val="auto"/>
              </w:rPr>
              <w:t>Stockholders’</w:t>
            </w: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jc w:val="center"/>
              <w:ind w:right="108"/>
              <w:spacing w:after="0" w:line="68" w:lineRule="exact"/>
              <w:rPr>
                <w:sz w:val="20"/>
                <w:szCs w:val="20"/>
                <w:color w:val="auto"/>
              </w:rPr>
            </w:pPr>
            <w:r>
              <w:rPr>
                <w:rFonts w:ascii="Arial" w:cs="Arial" w:eastAsia="Arial" w:hAnsi="Arial"/>
                <w:sz w:val="7"/>
                <w:szCs w:val="7"/>
                <w:b w:val="1"/>
                <w:bCs w:val="1"/>
                <w:color w:val="auto"/>
                <w:w w:val="94"/>
              </w:rPr>
              <w:t>Stockholders’</w:t>
            </w:r>
          </w:p>
        </w:tc>
        <w:tc>
          <w:tcPr>
            <w:tcW w:w="0" w:type="dxa"/>
            <w:vAlign w:val="bottom"/>
          </w:tcPr>
          <w:p>
            <w:pPr>
              <w:spacing w:after="0"/>
              <w:rPr>
                <w:sz w:val="1"/>
                <w:szCs w:val="1"/>
                <w:color w:val="auto"/>
              </w:rPr>
            </w:pPr>
          </w:p>
        </w:tc>
      </w:tr>
      <w:tr>
        <w:trPr>
          <w:trHeight w:val="75"/>
        </w:trPr>
        <w:tc>
          <w:tcPr>
            <w:tcW w:w="2340" w:type="dxa"/>
            <w:vAlign w:val="bottom"/>
            <w:tcBorders>
              <w:bottom w:val="single" w:sz="8" w:color="auto"/>
              <w:right w:val="single" w:sz="8" w:color="auto"/>
            </w:tcBorders>
            <w:vMerge w:val="continue"/>
          </w:tcPr>
          <w:p>
            <w:pPr>
              <w:spacing w:after="0"/>
              <w:rPr>
                <w:sz w:val="6"/>
                <w:szCs w:val="6"/>
                <w:color w:val="auto"/>
              </w:rPr>
            </w:pPr>
          </w:p>
        </w:tc>
        <w:tc>
          <w:tcPr>
            <w:tcW w:w="700" w:type="dxa"/>
            <w:vAlign w:val="bottom"/>
            <w:tcBorders>
              <w:bottom w:val="single" w:sz="8" w:color="auto"/>
              <w:right w:val="single" w:sz="8" w:color="auto"/>
            </w:tcBorders>
          </w:tcPr>
          <w:p>
            <w:pPr>
              <w:jc w:val="center"/>
              <w:ind w:right="8"/>
              <w:spacing w:after="0" w:line="75" w:lineRule="exact"/>
              <w:rPr>
                <w:sz w:val="20"/>
                <w:szCs w:val="20"/>
                <w:color w:val="auto"/>
              </w:rPr>
            </w:pPr>
            <w:r>
              <w:rPr>
                <w:rFonts w:ascii="Arial" w:cs="Arial" w:eastAsia="Arial" w:hAnsi="Arial"/>
                <w:sz w:val="7"/>
                <w:szCs w:val="7"/>
                <w:b w:val="1"/>
                <w:bCs w:val="1"/>
                <w:color w:val="auto"/>
                <w:w w:val="94"/>
              </w:rPr>
              <w:t>Shares</w:t>
            </w: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jc w:val="center"/>
              <w:ind w:right="88"/>
              <w:spacing w:after="0" w:line="75" w:lineRule="exact"/>
              <w:rPr>
                <w:sz w:val="20"/>
                <w:szCs w:val="20"/>
                <w:color w:val="auto"/>
              </w:rPr>
            </w:pPr>
            <w:r>
              <w:rPr>
                <w:rFonts w:ascii="Arial" w:cs="Arial" w:eastAsia="Arial" w:hAnsi="Arial"/>
                <w:sz w:val="7"/>
                <w:szCs w:val="7"/>
                <w:b w:val="1"/>
                <w:bCs w:val="1"/>
                <w:color w:val="auto"/>
                <w:w w:val="96"/>
              </w:rPr>
              <w:t>Value</w:t>
            </w:r>
          </w:p>
        </w:tc>
        <w:tc>
          <w:tcPr>
            <w:tcW w:w="700" w:type="dxa"/>
            <w:vAlign w:val="bottom"/>
            <w:tcBorders>
              <w:bottom w:val="single" w:sz="8" w:color="auto"/>
              <w:right w:val="single" w:sz="8" w:color="auto"/>
            </w:tcBorders>
          </w:tcPr>
          <w:p>
            <w:pPr>
              <w:ind w:left="240"/>
              <w:spacing w:after="0" w:line="75" w:lineRule="exact"/>
              <w:rPr>
                <w:sz w:val="20"/>
                <w:szCs w:val="20"/>
                <w:color w:val="auto"/>
              </w:rPr>
            </w:pPr>
            <w:r>
              <w:rPr>
                <w:rFonts w:ascii="Arial" w:cs="Arial" w:eastAsia="Arial" w:hAnsi="Arial"/>
                <w:sz w:val="7"/>
                <w:szCs w:val="7"/>
                <w:b w:val="1"/>
                <w:bCs w:val="1"/>
                <w:color w:val="auto"/>
              </w:rPr>
              <w:t>Shares</w:t>
            </w:r>
          </w:p>
        </w:tc>
        <w:tc>
          <w:tcPr>
            <w:tcW w:w="12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ind w:left="60"/>
              <w:spacing w:after="0" w:line="75" w:lineRule="exact"/>
              <w:rPr>
                <w:sz w:val="20"/>
                <w:szCs w:val="20"/>
                <w:color w:val="auto"/>
              </w:rPr>
            </w:pPr>
            <w:r>
              <w:rPr>
                <w:rFonts w:ascii="Arial" w:cs="Arial" w:eastAsia="Arial" w:hAnsi="Arial"/>
                <w:sz w:val="7"/>
                <w:szCs w:val="7"/>
                <w:b w:val="1"/>
                <w:bCs w:val="1"/>
                <w:color w:val="auto"/>
              </w:rPr>
              <w:t>Value</w:t>
            </w: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jc w:val="right"/>
              <w:ind w:right="168"/>
              <w:spacing w:after="0" w:line="75" w:lineRule="exact"/>
              <w:rPr>
                <w:sz w:val="20"/>
                <w:szCs w:val="20"/>
                <w:color w:val="auto"/>
              </w:rPr>
            </w:pPr>
            <w:r>
              <w:rPr>
                <w:rFonts w:ascii="Arial" w:cs="Arial" w:eastAsia="Arial" w:hAnsi="Arial"/>
                <w:sz w:val="7"/>
                <w:szCs w:val="7"/>
                <w:b w:val="1"/>
                <w:bCs w:val="1"/>
                <w:color w:val="auto"/>
              </w:rPr>
              <w:t>Capital</w:t>
            </w: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jc w:val="center"/>
              <w:ind w:right="128"/>
              <w:spacing w:after="0" w:line="75" w:lineRule="exact"/>
              <w:rPr>
                <w:sz w:val="20"/>
                <w:szCs w:val="20"/>
                <w:color w:val="auto"/>
              </w:rPr>
            </w:pPr>
            <w:r>
              <w:rPr>
                <w:rFonts w:ascii="Arial" w:cs="Arial" w:eastAsia="Arial" w:hAnsi="Arial"/>
                <w:sz w:val="7"/>
                <w:szCs w:val="7"/>
                <w:b w:val="1"/>
                <w:bCs w:val="1"/>
                <w:color w:val="auto"/>
              </w:rPr>
              <w:t>Deficit)</w:t>
            </w: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jc w:val="right"/>
              <w:ind w:right="187"/>
              <w:spacing w:after="0" w:line="75" w:lineRule="exact"/>
              <w:rPr>
                <w:sz w:val="20"/>
                <w:szCs w:val="20"/>
                <w:color w:val="auto"/>
              </w:rPr>
            </w:pPr>
            <w:r>
              <w:rPr>
                <w:rFonts w:ascii="Arial" w:cs="Arial" w:eastAsia="Arial" w:hAnsi="Arial"/>
                <w:sz w:val="7"/>
                <w:szCs w:val="7"/>
                <w:b w:val="1"/>
                <w:bCs w:val="1"/>
                <w:color w:val="auto"/>
              </w:rPr>
              <w:t>Shares</w:t>
            </w: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jc w:val="center"/>
              <w:ind w:right="168"/>
              <w:spacing w:after="0" w:line="75" w:lineRule="exact"/>
              <w:rPr>
                <w:sz w:val="20"/>
                <w:szCs w:val="20"/>
                <w:color w:val="auto"/>
              </w:rPr>
            </w:pPr>
            <w:r>
              <w:rPr>
                <w:rFonts w:ascii="Arial" w:cs="Arial" w:eastAsia="Arial" w:hAnsi="Arial"/>
                <w:sz w:val="7"/>
                <w:szCs w:val="7"/>
                <w:b w:val="1"/>
                <w:bCs w:val="1"/>
                <w:color w:val="auto"/>
                <w:w w:val="92"/>
              </w:rPr>
              <w:t>Income (Loss)</w:t>
            </w: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jc w:val="center"/>
              <w:ind w:right="208"/>
              <w:spacing w:after="0" w:line="75" w:lineRule="exact"/>
              <w:rPr>
                <w:sz w:val="20"/>
                <w:szCs w:val="20"/>
                <w:color w:val="auto"/>
              </w:rPr>
            </w:pPr>
            <w:r>
              <w:rPr>
                <w:rFonts w:ascii="Arial" w:cs="Arial" w:eastAsia="Arial" w:hAnsi="Arial"/>
                <w:sz w:val="7"/>
                <w:szCs w:val="7"/>
                <w:b w:val="1"/>
                <w:bCs w:val="1"/>
                <w:color w:val="auto"/>
                <w:w w:val="93"/>
              </w:rPr>
              <w:t>Equity</w:t>
            </w: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jc w:val="right"/>
              <w:ind w:right="327"/>
              <w:spacing w:after="0" w:line="75" w:lineRule="exact"/>
              <w:rPr>
                <w:sz w:val="20"/>
                <w:szCs w:val="20"/>
                <w:color w:val="auto"/>
              </w:rPr>
            </w:pPr>
            <w:r>
              <w:rPr>
                <w:rFonts w:ascii="Arial" w:cs="Arial" w:eastAsia="Arial" w:hAnsi="Arial"/>
                <w:sz w:val="7"/>
                <w:szCs w:val="7"/>
                <w:b w:val="1"/>
                <w:bCs w:val="1"/>
                <w:color w:val="auto"/>
              </w:rPr>
              <w:t>Interests</w:t>
            </w: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jc w:val="center"/>
              <w:ind w:right="68"/>
              <w:spacing w:after="0" w:line="75" w:lineRule="exact"/>
              <w:rPr>
                <w:sz w:val="20"/>
                <w:szCs w:val="20"/>
                <w:color w:val="auto"/>
              </w:rPr>
            </w:pPr>
            <w:r>
              <w:rPr>
                <w:rFonts w:ascii="Arial" w:cs="Arial" w:eastAsia="Arial" w:hAnsi="Arial"/>
                <w:sz w:val="7"/>
                <w:szCs w:val="7"/>
                <w:b w:val="1"/>
                <w:bCs w:val="1"/>
                <w:color w:val="auto"/>
                <w:w w:val="93"/>
              </w:rPr>
              <w:t>Equity</w:t>
            </w:r>
          </w:p>
        </w:tc>
        <w:tc>
          <w:tcPr>
            <w:tcW w:w="0" w:type="dxa"/>
            <w:vAlign w:val="bottom"/>
          </w:tcPr>
          <w:p>
            <w:pPr>
              <w:spacing w:after="0"/>
              <w:rPr>
                <w:sz w:val="1"/>
                <w:szCs w:val="1"/>
                <w:color w:val="auto"/>
              </w:rPr>
            </w:pPr>
          </w:p>
        </w:tc>
      </w:tr>
      <w:tr>
        <w:trPr>
          <w:trHeight w:val="55"/>
        </w:trPr>
        <w:tc>
          <w:tcPr>
            <w:tcW w:w="2340" w:type="dxa"/>
            <w:vAlign w:val="bottom"/>
            <w:tcBorders>
              <w:bottom w:val="single" w:sz="8" w:color="auto"/>
              <w:right w:val="single" w:sz="8" w:color="auto"/>
            </w:tcBorders>
            <w:shd w:val="clear" w:color="auto" w:fill="CCEEFF"/>
          </w:tcPr>
          <w:p>
            <w:pPr>
              <w:spacing w:after="0" w:line="55" w:lineRule="exact"/>
              <w:rPr>
                <w:sz w:val="20"/>
                <w:szCs w:val="20"/>
                <w:color w:val="auto"/>
              </w:rPr>
            </w:pPr>
            <w:r>
              <w:rPr>
                <w:rFonts w:ascii="Arial" w:cs="Arial" w:eastAsia="Arial" w:hAnsi="Arial"/>
                <w:sz w:val="6"/>
                <w:szCs w:val="6"/>
                <w:color w:val="auto"/>
              </w:rPr>
              <w:t>At January 1, 2022</w:t>
            </w:r>
          </w:p>
        </w:tc>
        <w:tc>
          <w:tcPr>
            <w:tcW w:w="700" w:type="dxa"/>
            <w:vAlign w:val="bottom"/>
            <w:tcBorders>
              <w:bottom w:val="single" w:sz="8" w:color="auto"/>
              <w:right w:val="single" w:sz="8" w:color="auto"/>
            </w:tcBorders>
            <w:shd w:val="clear" w:color="auto" w:fill="CCEEFF"/>
          </w:tcPr>
          <w:p>
            <w:pPr>
              <w:jc w:val="right"/>
              <w:ind w:right="48"/>
              <w:spacing w:after="0" w:line="55" w:lineRule="exact"/>
              <w:rPr>
                <w:sz w:val="20"/>
                <w:szCs w:val="20"/>
                <w:color w:val="auto"/>
              </w:rPr>
            </w:pPr>
            <w:r>
              <w:rPr>
                <w:rFonts w:ascii="Arial" w:cs="Arial" w:eastAsia="Arial" w:hAnsi="Arial"/>
                <w:sz w:val="6"/>
                <w:szCs w:val="6"/>
                <w:color w:val="auto"/>
              </w:rPr>
              <w:t>20,260</w:t>
            </w:r>
          </w:p>
        </w:tc>
        <w:tc>
          <w:tcPr>
            <w:tcW w:w="10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auto"/>
              <w:right w:val="single" w:sz="8" w:color="auto"/>
            </w:tcBorders>
            <w:shd w:val="clear" w:color="auto" w:fill="CCEEFF"/>
          </w:tcPr>
          <w:p>
            <w:pPr>
              <w:jc w:val="right"/>
              <w:ind w:right="28"/>
              <w:spacing w:after="0" w:line="55" w:lineRule="exact"/>
              <w:rPr>
                <w:sz w:val="20"/>
                <w:szCs w:val="20"/>
                <w:color w:val="auto"/>
              </w:rPr>
            </w:pPr>
            <w:r>
              <w:rPr>
                <w:rFonts w:ascii="Arial" w:cs="Arial" w:eastAsia="Arial" w:hAnsi="Arial"/>
                <w:sz w:val="6"/>
                <w:szCs w:val="6"/>
                <w:color w:val="auto"/>
              </w:rPr>
              <w:t>233</w:t>
            </w:r>
          </w:p>
        </w:tc>
        <w:tc>
          <w:tcPr>
            <w:tcW w:w="700" w:type="dxa"/>
            <w:vAlign w:val="bottom"/>
            <w:tcBorders>
              <w:bottom w:val="single" w:sz="8" w:color="auto"/>
              <w:right w:val="single" w:sz="8" w:color="auto"/>
            </w:tcBorders>
            <w:shd w:val="clear" w:color="auto" w:fill="CCEEFF"/>
          </w:tcPr>
          <w:p>
            <w:pPr>
              <w:jc w:val="right"/>
              <w:ind w:right="48"/>
              <w:spacing w:after="0" w:line="55" w:lineRule="exact"/>
              <w:rPr>
                <w:sz w:val="20"/>
                <w:szCs w:val="20"/>
                <w:color w:val="auto"/>
              </w:rPr>
            </w:pPr>
            <w:r>
              <w:rPr>
                <w:rFonts w:ascii="Arial" w:cs="Arial" w:eastAsia="Arial" w:hAnsi="Arial"/>
                <w:sz w:val="6"/>
                <w:szCs w:val="6"/>
                <w:color w:val="auto"/>
              </w:rPr>
              <w:t>1,680</w:t>
            </w:r>
          </w:p>
        </w:tc>
        <w:tc>
          <w:tcPr>
            <w:tcW w:w="12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440" w:type="dxa"/>
            <w:vAlign w:val="bottom"/>
            <w:tcBorders>
              <w:bottom w:val="single" w:sz="8" w:color="auto"/>
              <w:right w:val="single" w:sz="8" w:color="auto"/>
            </w:tcBorders>
            <w:shd w:val="clear" w:color="auto" w:fill="CCEEFF"/>
          </w:tcPr>
          <w:p>
            <w:pPr>
              <w:ind w:left="300"/>
              <w:spacing w:after="0" w:line="55" w:lineRule="exact"/>
              <w:rPr>
                <w:sz w:val="20"/>
                <w:szCs w:val="20"/>
                <w:color w:val="auto"/>
              </w:rPr>
            </w:pPr>
            <w:r>
              <w:rPr>
                <w:rFonts w:ascii="Arial" w:cs="Arial" w:eastAsia="Arial" w:hAnsi="Arial"/>
                <w:sz w:val="6"/>
                <w:szCs w:val="6"/>
                <w:color w:val="auto"/>
              </w:rPr>
              <w:t>17</w:t>
            </w:r>
          </w:p>
        </w:tc>
        <w:tc>
          <w:tcPr>
            <w:tcW w:w="12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auto"/>
            </w:tcBorders>
            <w:shd w:val="clear" w:color="auto" w:fill="CCEEFF"/>
          </w:tcPr>
          <w:p>
            <w:pPr>
              <w:jc w:val="right"/>
              <w:ind w:right="8"/>
              <w:spacing w:after="0" w:line="55" w:lineRule="exact"/>
              <w:rPr>
                <w:sz w:val="20"/>
                <w:szCs w:val="20"/>
                <w:color w:val="auto"/>
              </w:rPr>
            </w:pPr>
            <w:r>
              <w:rPr>
                <w:rFonts w:ascii="Arial" w:cs="Arial" w:eastAsia="Arial" w:hAnsi="Arial"/>
                <w:sz w:val="6"/>
                <w:szCs w:val="6"/>
                <w:color w:val="auto"/>
              </w:rPr>
              <w:t>151,981</w:t>
            </w:r>
          </w:p>
        </w:tc>
        <w:tc>
          <w:tcPr>
            <w:tcW w:w="12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72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(12,632)</w:t>
            </w:r>
          </w:p>
        </w:tc>
        <w:tc>
          <w:tcPr>
            <w:tcW w:w="10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auto"/>
            </w:tcBorders>
            <w:shd w:val="clear" w:color="auto" w:fill="CCEEFF"/>
          </w:tcPr>
          <w:p>
            <w:pPr>
              <w:jc w:val="right"/>
              <w:ind w:right="7"/>
              <w:spacing w:after="0" w:line="55" w:lineRule="exact"/>
              <w:rPr>
                <w:sz w:val="20"/>
                <w:szCs w:val="20"/>
                <w:color w:val="auto"/>
              </w:rPr>
            </w:pPr>
            <w:r>
              <w:rPr>
                <w:rFonts w:ascii="Arial" w:cs="Arial" w:eastAsia="Arial" w:hAnsi="Arial"/>
                <w:sz w:val="6"/>
                <w:szCs w:val="6"/>
                <w:color w:val="auto"/>
              </w:rPr>
              <w:t>(40,407)</w:t>
            </w:r>
          </w:p>
        </w:tc>
        <w:tc>
          <w:tcPr>
            <w:tcW w:w="12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840" w:type="dxa"/>
            <w:vAlign w:val="bottom"/>
            <w:tcBorders>
              <w:bottom w:val="single" w:sz="8" w:color="auto"/>
            </w:tcBorders>
            <w:shd w:val="clear" w:color="auto" w:fill="CCEEFF"/>
          </w:tcPr>
          <w:p>
            <w:pPr>
              <w:jc w:val="right"/>
              <w:ind w:right="28"/>
              <w:spacing w:after="0" w:line="55" w:lineRule="exact"/>
              <w:rPr>
                <w:sz w:val="20"/>
                <w:szCs w:val="20"/>
                <w:color w:val="auto"/>
              </w:rPr>
            </w:pPr>
            <w:r>
              <w:rPr>
                <w:rFonts w:ascii="Arial" w:cs="Arial" w:eastAsia="Arial" w:hAnsi="Arial"/>
                <w:sz w:val="6"/>
                <w:szCs w:val="6"/>
                <w:color w:val="auto"/>
              </w:rPr>
              <w:t>4,882</w:t>
            </w:r>
          </w:p>
        </w:tc>
        <w:tc>
          <w:tcPr>
            <w:tcW w:w="140" w:type="dxa"/>
            <w:vAlign w:val="bottom"/>
            <w:tcBorders>
              <w:bottom w:val="single" w:sz="8" w:color="auto"/>
            </w:tcBorders>
            <w:shd w:val="clear" w:color="auto" w:fill="CCEEFF"/>
          </w:tcPr>
          <w:p>
            <w:pPr>
              <w:jc w:val="right"/>
              <w:ind w:right="32"/>
              <w:spacing w:after="0" w:line="55" w:lineRule="exact"/>
              <w:rPr>
                <w:sz w:val="20"/>
                <w:szCs w:val="20"/>
                <w:color w:val="auto"/>
              </w:rPr>
            </w:pPr>
            <w:r>
              <w:rPr>
                <w:rFonts w:ascii="Arial" w:cs="Arial" w:eastAsia="Arial" w:hAnsi="Arial"/>
                <w:sz w:val="6"/>
                <w:szCs w:val="6"/>
                <w:color w:val="auto"/>
              </w:rPr>
              <w:t>$</w:t>
            </w:r>
          </w:p>
        </w:tc>
        <w:tc>
          <w:tcPr>
            <w:tcW w:w="920" w:type="dxa"/>
            <w:vAlign w:val="bottom"/>
            <w:tcBorders>
              <w:bottom w:val="single" w:sz="8" w:color="auto"/>
            </w:tcBorders>
            <w:shd w:val="clear" w:color="auto" w:fill="CCEEFF"/>
          </w:tcPr>
          <w:p>
            <w:pPr>
              <w:jc w:val="right"/>
              <w:ind w:right="8"/>
              <w:spacing w:after="0" w:line="55" w:lineRule="exact"/>
              <w:rPr>
                <w:sz w:val="20"/>
                <w:szCs w:val="20"/>
                <w:color w:val="auto"/>
              </w:rPr>
            </w:pPr>
            <w:r>
              <w:rPr>
                <w:rFonts w:ascii="Arial" w:cs="Arial" w:eastAsia="Arial" w:hAnsi="Arial"/>
                <w:sz w:val="6"/>
                <w:szCs w:val="6"/>
                <w:color w:val="auto"/>
              </w:rPr>
              <w:t>104,074</w:t>
            </w:r>
          </w:p>
        </w:tc>
        <w:tc>
          <w:tcPr>
            <w:tcW w:w="140" w:type="dxa"/>
            <w:vAlign w:val="bottom"/>
            <w:tcBorders>
              <w:bottom w:val="single" w:sz="8" w:color="auto"/>
            </w:tcBorders>
            <w:shd w:val="clear" w:color="auto" w:fill="CCEEFF"/>
          </w:tcPr>
          <w:p>
            <w:pPr>
              <w:jc w:val="right"/>
              <w:ind w:right="32"/>
              <w:spacing w:after="0" w:line="55" w:lineRule="exact"/>
              <w:rPr>
                <w:sz w:val="20"/>
                <w:szCs w:val="20"/>
                <w:color w:val="auto"/>
              </w:rPr>
            </w:pPr>
            <w:r>
              <w:rPr>
                <w:rFonts w:ascii="Arial" w:cs="Arial" w:eastAsia="Arial" w:hAnsi="Arial"/>
                <w:sz w:val="6"/>
                <w:szCs w:val="6"/>
                <w:color w:val="auto"/>
              </w:rPr>
              <w:t>$</w:t>
            </w:r>
          </w:p>
        </w:tc>
        <w:tc>
          <w:tcPr>
            <w:tcW w:w="780" w:type="dxa"/>
            <w:vAlign w:val="bottom"/>
            <w:tcBorders>
              <w:bottom w:val="single" w:sz="8" w:color="auto"/>
            </w:tcBorders>
            <w:shd w:val="clear" w:color="auto" w:fill="CCEEFF"/>
          </w:tcPr>
          <w:p>
            <w:pPr>
              <w:jc w:val="right"/>
              <w:ind w:right="7"/>
              <w:spacing w:after="0" w:line="55" w:lineRule="exact"/>
              <w:rPr>
                <w:sz w:val="20"/>
                <w:szCs w:val="20"/>
                <w:color w:val="auto"/>
              </w:rPr>
            </w:pPr>
            <w:r>
              <w:rPr>
                <w:rFonts w:ascii="Arial" w:cs="Arial" w:eastAsia="Arial" w:hAnsi="Arial"/>
                <w:sz w:val="6"/>
                <w:szCs w:val="6"/>
                <w:color w:val="auto"/>
              </w:rPr>
              <w:t>986</w:t>
            </w:r>
          </w:p>
        </w:tc>
        <w:tc>
          <w:tcPr>
            <w:tcW w:w="10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105,060</w:t>
            </w:r>
          </w:p>
        </w:tc>
        <w:tc>
          <w:tcPr>
            <w:tcW w:w="0" w:type="dxa"/>
            <w:vAlign w:val="bottom"/>
          </w:tcPr>
          <w:p>
            <w:pPr>
              <w:spacing w:after="0"/>
              <w:rPr>
                <w:sz w:val="1"/>
                <w:szCs w:val="1"/>
                <w:color w:val="auto"/>
              </w:rPr>
            </w:pPr>
          </w:p>
        </w:tc>
      </w:tr>
      <w:tr>
        <w:trPr>
          <w:trHeight w:val="63"/>
        </w:trPr>
        <w:tc>
          <w:tcPr>
            <w:tcW w:w="234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Net income (loss)</w:t>
            </w:r>
          </w:p>
        </w:tc>
        <w:tc>
          <w:tcPr>
            <w:tcW w:w="70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42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440" w:type="dxa"/>
            <w:vAlign w:val="bottom"/>
            <w:tcBorders>
              <w:right w:val="single" w:sz="8" w:color="auto"/>
            </w:tcBorders>
          </w:tcPr>
          <w:p>
            <w:pPr>
              <w:ind w:left="300"/>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520" w:type="dxa"/>
            <w:vAlign w:val="bottom"/>
          </w:tcPr>
          <w:p>
            <w:pPr>
              <w:jc w:val="right"/>
              <w:ind w:right="8"/>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720" w:type="dxa"/>
            <w:vAlign w:val="bottom"/>
          </w:tcPr>
          <w:p>
            <w:pPr>
              <w:jc w:val="right"/>
              <w:spacing w:after="0" w:line="63" w:lineRule="exact"/>
              <w:rPr>
                <w:sz w:val="20"/>
                <w:szCs w:val="20"/>
                <w:color w:val="auto"/>
              </w:rPr>
            </w:pPr>
            <w:r>
              <w:rPr>
                <w:rFonts w:ascii="Arial" w:cs="Arial" w:eastAsia="Arial" w:hAnsi="Arial"/>
                <w:sz w:val="7"/>
                <w:szCs w:val="7"/>
                <w:color w:val="auto"/>
              </w:rPr>
              <w:t>(15,354)</w:t>
            </w:r>
          </w:p>
        </w:tc>
        <w:tc>
          <w:tcPr>
            <w:tcW w:w="100" w:type="dxa"/>
            <w:vAlign w:val="bottom"/>
          </w:tcPr>
          <w:p>
            <w:pPr>
              <w:spacing w:after="0"/>
              <w:rPr>
                <w:sz w:val="5"/>
                <w:szCs w:val="5"/>
                <w:color w:val="auto"/>
              </w:rPr>
            </w:pPr>
          </w:p>
        </w:tc>
        <w:tc>
          <w:tcPr>
            <w:tcW w:w="520" w:type="dxa"/>
            <w:vAlign w:val="bottom"/>
          </w:tcPr>
          <w:p>
            <w:pPr>
              <w:jc w:val="right"/>
              <w:ind w:right="7"/>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40" w:type="dxa"/>
            <w:vAlign w:val="bottom"/>
          </w:tcPr>
          <w:p>
            <w:pPr>
              <w:jc w:val="right"/>
              <w:ind w:right="28"/>
              <w:spacing w:after="0" w:line="63"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920" w:type="dxa"/>
            <w:vAlign w:val="bottom"/>
          </w:tcPr>
          <w:p>
            <w:pPr>
              <w:jc w:val="right"/>
              <w:ind w:right="8"/>
              <w:spacing w:after="0" w:line="63" w:lineRule="exact"/>
              <w:rPr>
                <w:sz w:val="20"/>
                <w:szCs w:val="20"/>
                <w:color w:val="auto"/>
              </w:rPr>
            </w:pPr>
            <w:r>
              <w:rPr>
                <w:rFonts w:ascii="Arial" w:cs="Arial" w:eastAsia="Arial" w:hAnsi="Arial"/>
                <w:sz w:val="7"/>
                <w:szCs w:val="7"/>
                <w:color w:val="auto"/>
              </w:rPr>
              <w:t>(15,354)</w:t>
            </w:r>
          </w:p>
        </w:tc>
        <w:tc>
          <w:tcPr>
            <w:tcW w:w="140" w:type="dxa"/>
            <w:vAlign w:val="bottom"/>
          </w:tcPr>
          <w:p>
            <w:pPr>
              <w:spacing w:after="0"/>
              <w:rPr>
                <w:sz w:val="5"/>
                <w:szCs w:val="5"/>
                <w:color w:val="auto"/>
              </w:rPr>
            </w:pPr>
          </w:p>
        </w:tc>
        <w:tc>
          <w:tcPr>
            <w:tcW w:w="780" w:type="dxa"/>
            <w:vAlign w:val="bottom"/>
          </w:tcPr>
          <w:p>
            <w:pPr>
              <w:jc w:val="right"/>
              <w:ind w:right="7"/>
              <w:spacing w:after="0" w:line="63" w:lineRule="exact"/>
              <w:rPr>
                <w:sz w:val="20"/>
                <w:szCs w:val="20"/>
                <w:color w:val="auto"/>
              </w:rPr>
            </w:pPr>
            <w:r>
              <w:rPr>
                <w:rFonts w:ascii="Arial" w:cs="Arial" w:eastAsia="Arial" w:hAnsi="Arial"/>
                <w:sz w:val="7"/>
                <w:szCs w:val="7"/>
                <w:color w:val="auto"/>
              </w:rPr>
              <w:t>(99)</w:t>
            </w:r>
          </w:p>
        </w:tc>
        <w:tc>
          <w:tcPr>
            <w:tcW w:w="100" w:type="dxa"/>
            <w:vAlign w:val="bottom"/>
          </w:tcPr>
          <w:p>
            <w:pPr>
              <w:spacing w:after="0"/>
              <w:rPr>
                <w:sz w:val="5"/>
                <w:szCs w:val="5"/>
                <w:color w:val="auto"/>
              </w:rPr>
            </w:pPr>
          </w:p>
        </w:tc>
        <w:tc>
          <w:tcPr>
            <w:tcW w:w="660" w:type="dxa"/>
            <w:vAlign w:val="bottom"/>
          </w:tcPr>
          <w:p>
            <w:pPr>
              <w:jc w:val="right"/>
              <w:spacing w:after="0" w:line="63" w:lineRule="exact"/>
              <w:rPr>
                <w:sz w:val="20"/>
                <w:szCs w:val="20"/>
                <w:color w:val="auto"/>
              </w:rPr>
            </w:pPr>
            <w:r>
              <w:rPr>
                <w:rFonts w:ascii="Arial" w:cs="Arial" w:eastAsia="Arial" w:hAnsi="Arial"/>
                <w:sz w:val="7"/>
                <w:szCs w:val="7"/>
                <w:color w:val="auto"/>
              </w:rPr>
              <w:t>(15,453)</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Other comprehensive income, net</w:t>
            </w:r>
          </w:p>
        </w:tc>
        <w:tc>
          <w:tcPr>
            <w:tcW w:w="70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42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440" w:type="dxa"/>
            <w:vAlign w:val="bottom"/>
            <w:tcBorders>
              <w:right w:val="single" w:sz="8" w:color="auto"/>
            </w:tcBorders>
            <w:shd w:val="clear" w:color="auto" w:fill="CCEEFF"/>
          </w:tcPr>
          <w:p>
            <w:pPr>
              <w:ind w:left="300"/>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jc w:val="right"/>
              <w:ind w:right="28"/>
              <w:spacing w:after="0" w:line="68" w:lineRule="exact"/>
              <w:rPr>
                <w:sz w:val="20"/>
                <w:szCs w:val="20"/>
                <w:color w:val="auto"/>
              </w:rPr>
            </w:pPr>
            <w:r>
              <w:rPr>
                <w:rFonts w:ascii="Arial" w:cs="Arial" w:eastAsia="Arial" w:hAnsi="Arial"/>
                <w:sz w:val="7"/>
                <w:szCs w:val="7"/>
                <w:color w:val="auto"/>
              </w:rPr>
              <w:t>3,524</w:t>
            </w: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3,524</w:t>
            </w:r>
          </w:p>
        </w:tc>
        <w:tc>
          <w:tcPr>
            <w:tcW w:w="140" w:type="dxa"/>
            <w:vAlign w:val="bottom"/>
            <w:shd w:val="clear" w:color="auto" w:fill="CCEEFF"/>
          </w:tcPr>
          <w:p>
            <w:pPr>
              <w:spacing w:after="0"/>
              <w:rPr>
                <w:sz w:val="5"/>
                <w:szCs w:val="5"/>
                <w:color w:val="auto"/>
              </w:rPr>
            </w:pPr>
          </w:p>
        </w:tc>
        <w:tc>
          <w:tcPr>
            <w:tcW w:w="78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1</w:t>
            </w: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3,525</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tcPr>
          <w:p>
            <w:pPr>
              <w:spacing w:after="0" w:line="68" w:lineRule="exact"/>
              <w:rPr>
                <w:sz w:val="20"/>
                <w:szCs w:val="20"/>
                <w:color w:val="auto"/>
              </w:rPr>
            </w:pPr>
            <w:r>
              <w:rPr>
                <w:rFonts w:ascii="Arial" w:cs="Arial" w:eastAsia="Arial" w:hAnsi="Arial"/>
                <w:sz w:val="7"/>
                <w:szCs w:val="7"/>
                <w:color w:val="auto"/>
              </w:rPr>
              <w:t>Share-based compensation expense</w:t>
            </w:r>
          </w:p>
        </w:tc>
        <w:tc>
          <w:tcPr>
            <w:tcW w:w="70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42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440" w:type="dxa"/>
            <w:vAlign w:val="bottom"/>
            <w:tcBorders>
              <w:right w:val="single" w:sz="8" w:color="auto"/>
            </w:tcBorders>
          </w:tcPr>
          <w:p>
            <w:pPr>
              <w:ind w:left="300"/>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520" w:type="dxa"/>
            <w:vAlign w:val="bottom"/>
          </w:tcPr>
          <w:p>
            <w:pPr>
              <w:jc w:val="right"/>
              <w:ind w:right="8"/>
              <w:spacing w:after="0" w:line="68" w:lineRule="exact"/>
              <w:rPr>
                <w:sz w:val="20"/>
                <w:szCs w:val="20"/>
                <w:color w:val="auto"/>
              </w:rPr>
            </w:pPr>
            <w:r>
              <w:rPr>
                <w:rFonts w:ascii="Arial" w:cs="Arial" w:eastAsia="Arial" w:hAnsi="Arial"/>
                <w:sz w:val="7"/>
                <w:szCs w:val="7"/>
                <w:color w:val="auto"/>
              </w:rPr>
              <w:t>415</w:t>
            </w:r>
          </w:p>
        </w:tc>
        <w:tc>
          <w:tcPr>
            <w:tcW w:w="120" w:type="dxa"/>
            <w:vAlign w:val="bottom"/>
          </w:tcPr>
          <w:p>
            <w:pPr>
              <w:spacing w:after="0"/>
              <w:rPr>
                <w:sz w:val="5"/>
                <w:szCs w:val="5"/>
                <w:color w:val="auto"/>
              </w:rPr>
            </w:pPr>
          </w:p>
        </w:tc>
        <w:tc>
          <w:tcPr>
            <w:tcW w:w="7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520" w:type="dxa"/>
            <w:vAlign w:val="bottom"/>
          </w:tcPr>
          <w:p>
            <w:pPr>
              <w:jc w:val="right"/>
              <w:ind w:right="7"/>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40" w:type="dxa"/>
            <w:vAlign w:val="bottom"/>
          </w:tcPr>
          <w:p>
            <w:pPr>
              <w:jc w:val="right"/>
              <w:ind w:right="28"/>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920" w:type="dxa"/>
            <w:vAlign w:val="bottom"/>
          </w:tcPr>
          <w:p>
            <w:pPr>
              <w:jc w:val="right"/>
              <w:ind w:right="8"/>
              <w:spacing w:after="0" w:line="68" w:lineRule="exact"/>
              <w:rPr>
                <w:sz w:val="20"/>
                <w:szCs w:val="20"/>
                <w:color w:val="auto"/>
              </w:rPr>
            </w:pPr>
            <w:r>
              <w:rPr>
                <w:rFonts w:ascii="Arial" w:cs="Arial" w:eastAsia="Arial" w:hAnsi="Arial"/>
                <w:sz w:val="7"/>
                <w:szCs w:val="7"/>
                <w:color w:val="auto"/>
              </w:rPr>
              <w:t>415</w:t>
            </w:r>
          </w:p>
        </w:tc>
        <w:tc>
          <w:tcPr>
            <w:tcW w:w="140" w:type="dxa"/>
            <w:vAlign w:val="bottom"/>
          </w:tcPr>
          <w:p>
            <w:pPr>
              <w:spacing w:after="0"/>
              <w:rPr>
                <w:sz w:val="5"/>
                <w:szCs w:val="5"/>
                <w:color w:val="auto"/>
              </w:rPr>
            </w:pPr>
          </w:p>
        </w:tc>
        <w:tc>
          <w:tcPr>
            <w:tcW w:w="780" w:type="dxa"/>
            <w:vAlign w:val="bottom"/>
          </w:tcPr>
          <w:p>
            <w:pPr>
              <w:jc w:val="right"/>
              <w:ind w:right="7"/>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660" w:type="dxa"/>
            <w:vAlign w:val="bottom"/>
          </w:tcPr>
          <w:p>
            <w:pPr>
              <w:jc w:val="right"/>
              <w:spacing w:after="0" w:line="68" w:lineRule="exact"/>
              <w:rPr>
                <w:sz w:val="20"/>
                <w:szCs w:val="20"/>
                <w:color w:val="auto"/>
              </w:rPr>
            </w:pPr>
            <w:r>
              <w:rPr>
                <w:rFonts w:ascii="Arial" w:cs="Arial" w:eastAsia="Arial" w:hAnsi="Arial"/>
                <w:sz w:val="7"/>
                <w:szCs w:val="7"/>
                <w:color w:val="auto"/>
              </w:rPr>
              <w:t>415</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Restricted Stock Units</w:t>
            </w:r>
          </w:p>
        </w:tc>
        <w:tc>
          <w:tcPr>
            <w:tcW w:w="70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52</w:t>
            </w:r>
          </w:p>
        </w:tc>
        <w:tc>
          <w:tcPr>
            <w:tcW w:w="100" w:type="dxa"/>
            <w:vAlign w:val="bottom"/>
            <w:shd w:val="clear" w:color="auto" w:fill="CCEEFF"/>
          </w:tcPr>
          <w:p>
            <w:pPr>
              <w:spacing w:after="0"/>
              <w:rPr>
                <w:sz w:val="5"/>
                <w:szCs w:val="5"/>
                <w:color w:val="auto"/>
              </w:rPr>
            </w:pPr>
          </w:p>
        </w:tc>
        <w:tc>
          <w:tcPr>
            <w:tcW w:w="420" w:type="dxa"/>
            <w:vAlign w:val="bottom"/>
            <w:tcBorders>
              <w:right w:val="single" w:sz="8" w:color="auto"/>
            </w:tcBorders>
            <w:shd w:val="clear" w:color="auto" w:fill="CCEEFF"/>
          </w:tcPr>
          <w:p>
            <w:pPr>
              <w:jc w:val="right"/>
              <w:ind w:right="28"/>
              <w:spacing w:after="0" w:line="68" w:lineRule="exact"/>
              <w:rPr>
                <w:sz w:val="20"/>
                <w:szCs w:val="20"/>
                <w:color w:val="auto"/>
              </w:rPr>
            </w:pPr>
            <w:r>
              <w:rPr>
                <w:rFonts w:ascii="Arial" w:cs="Arial" w:eastAsia="Arial" w:hAnsi="Arial"/>
                <w:sz w:val="7"/>
                <w:szCs w:val="7"/>
                <w:color w:val="auto"/>
              </w:rPr>
              <w:t>1</w:t>
            </w:r>
          </w:p>
        </w:tc>
        <w:tc>
          <w:tcPr>
            <w:tcW w:w="70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440" w:type="dxa"/>
            <w:vAlign w:val="bottom"/>
            <w:tcBorders>
              <w:right w:val="single" w:sz="8" w:color="auto"/>
            </w:tcBorders>
            <w:shd w:val="clear" w:color="auto" w:fill="CCEEFF"/>
          </w:tcPr>
          <w:p>
            <w:pPr>
              <w:ind w:left="300"/>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(32)</w:t>
            </w: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jc w:val="right"/>
              <w:ind w:right="28"/>
              <w:spacing w:after="0" w:line="68" w:lineRule="exact"/>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(31)</w:t>
            </w:r>
          </w:p>
        </w:tc>
        <w:tc>
          <w:tcPr>
            <w:tcW w:w="140" w:type="dxa"/>
            <w:vAlign w:val="bottom"/>
            <w:shd w:val="clear" w:color="auto" w:fill="CCEEFF"/>
          </w:tcPr>
          <w:p>
            <w:pPr>
              <w:spacing w:after="0"/>
              <w:rPr>
                <w:sz w:val="5"/>
                <w:szCs w:val="5"/>
                <w:color w:val="auto"/>
              </w:rPr>
            </w:pPr>
          </w:p>
        </w:tc>
        <w:tc>
          <w:tcPr>
            <w:tcW w:w="78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(31)</w:t>
            </w:r>
          </w:p>
        </w:tc>
        <w:tc>
          <w:tcPr>
            <w:tcW w:w="0" w:type="dxa"/>
            <w:vAlign w:val="bottom"/>
          </w:tcPr>
          <w:p>
            <w:pPr>
              <w:spacing w:after="0"/>
              <w:rPr>
                <w:sz w:val="1"/>
                <w:szCs w:val="1"/>
                <w:color w:val="auto"/>
              </w:rPr>
            </w:pPr>
          </w:p>
        </w:tc>
      </w:tr>
      <w:tr>
        <w:trPr>
          <w:trHeight w:val="68"/>
        </w:trPr>
        <w:tc>
          <w:tcPr>
            <w:tcW w:w="2340" w:type="dxa"/>
            <w:vAlign w:val="bottom"/>
            <w:tcBorders>
              <w:bottom w:val="single" w:sz="8" w:color="auto"/>
              <w:right w:val="single" w:sz="8" w:color="auto"/>
            </w:tcBorders>
          </w:tcPr>
          <w:p>
            <w:pPr>
              <w:spacing w:after="0" w:line="68" w:lineRule="exact"/>
              <w:rPr>
                <w:sz w:val="20"/>
                <w:szCs w:val="20"/>
                <w:color w:val="auto"/>
              </w:rPr>
            </w:pPr>
            <w:r>
              <w:rPr>
                <w:rFonts w:ascii="Arial" w:cs="Arial" w:eastAsia="Arial" w:hAnsi="Arial"/>
                <w:sz w:val="7"/>
                <w:szCs w:val="7"/>
                <w:color w:val="auto"/>
              </w:rPr>
              <w:t>Distributions to noncontrolling stockholders</w:t>
            </w:r>
          </w:p>
        </w:tc>
        <w:tc>
          <w:tcPr>
            <w:tcW w:w="700" w:type="dxa"/>
            <w:vAlign w:val="bottom"/>
            <w:tcBorders>
              <w:bottom w:val="single" w:sz="8" w:color="auto"/>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auto"/>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ind w:left="300"/>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jc w:val="right"/>
              <w:ind w:right="8"/>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jc w:val="right"/>
              <w:ind w:right="7"/>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jc w:val="right"/>
              <w:ind w:right="28"/>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jc w:val="right"/>
              <w:ind w:right="8"/>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jc w:val="right"/>
              <w:ind w:right="7"/>
              <w:spacing w:after="0" w:line="68" w:lineRule="exact"/>
              <w:rPr>
                <w:sz w:val="20"/>
                <w:szCs w:val="20"/>
                <w:color w:val="auto"/>
              </w:rPr>
            </w:pPr>
            <w:r>
              <w:rPr>
                <w:rFonts w:ascii="Arial" w:cs="Arial" w:eastAsia="Arial" w:hAnsi="Arial"/>
                <w:sz w:val="7"/>
                <w:szCs w:val="7"/>
                <w:color w:val="auto"/>
              </w:rPr>
              <w:t>(22)</w:t>
            </w: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auto"/>
              </w:rPr>
              <w:t>(22)</w:t>
            </w:r>
          </w:p>
        </w:tc>
        <w:tc>
          <w:tcPr>
            <w:tcW w:w="0" w:type="dxa"/>
            <w:vAlign w:val="bottom"/>
          </w:tcPr>
          <w:p>
            <w:pPr>
              <w:spacing w:after="0"/>
              <w:rPr>
                <w:sz w:val="1"/>
                <w:szCs w:val="1"/>
                <w:color w:val="auto"/>
              </w:rPr>
            </w:pPr>
          </w:p>
        </w:tc>
      </w:tr>
      <w:tr>
        <w:trPr>
          <w:trHeight w:val="55"/>
        </w:trPr>
        <w:tc>
          <w:tcPr>
            <w:tcW w:w="2340" w:type="dxa"/>
            <w:vAlign w:val="bottom"/>
            <w:tcBorders>
              <w:bottom w:val="single" w:sz="8" w:color="auto"/>
              <w:right w:val="single" w:sz="8" w:color="auto"/>
            </w:tcBorders>
            <w:shd w:val="clear" w:color="auto" w:fill="CCEEFF"/>
          </w:tcPr>
          <w:p>
            <w:pPr>
              <w:spacing w:after="0" w:line="55" w:lineRule="exact"/>
              <w:rPr>
                <w:sz w:val="20"/>
                <w:szCs w:val="20"/>
                <w:color w:val="auto"/>
              </w:rPr>
            </w:pPr>
            <w:r>
              <w:rPr>
                <w:rFonts w:ascii="Arial" w:cs="Arial" w:eastAsia="Arial" w:hAnsi="Arial"/>
                <w:sz w:val="6"/>
                <w:szCs w:val="6"/>
                <w:color w:val="auto"/>
              </w:rPr>
              <w:t>At March 31, 2022</w:t>
            </w:r>
          </w:p>
        </w:tc>
        <w:tc>
          <w:tcPr>
            <w:tcW w:w="700" w:type="dxa"/>
            <w:vAlign w:val="bottom"/>
            <w:tcBorders>
              <w:bottom w:val="single" w:sz="8" w:color="auto"/>
              <w:right w:val="single" w:sz="8" w:color="auto"/>
            </w:tcBorders>
            <w:shd w:val="clear" w:color="auto" w:fill="CCEEFF"/>
          </w:tcPr>
          <w:p>
            <w:pPr>
              <w:jc w:val="right"/>
              <w:ind w:right="48"/>
              <w:spacing w:after="0" w:line="55" w:lineRule="exact"/>
              <w:rPr>
                <w:sz w:val="20"/>
                <w:szCs w:val="20"/>
                <w:color w:val="auto"/>
              </w:rPr>
            </w:pPr>
            <w:r>
              <w:rPr>
                <w:rFonts w:ascii="Arial" w:cs="Arial" w:eastAsia="Arial" w:hAnsi="Arial"/>
                <w:sz w:val="6"/>
                <w:szCs w:val="6"/>
                <w:color w:val="auto"/>
              </w:rPr>
              <w:t>20,312</w:t>
            </w:r>
          </w:p>
        </w:tc>
        <w:tc>
          <w:tcPr>
            <w:tcW w:w="10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auto"/>
              <w:right w:val="single" w:sz="8" w:color="auto"/>
            </w:tcBorders>
            <w:shd w:val="clear" w:color="auto" w:fill="CCEEFF"/>
          </w:tcPr>
          <w:p>
            <w:pPr>
              <w:jc w:val="right"/>
              <w:ind w:right="28"/>
              <w:spacing w:after="0" w:line="55" w:lineRule="exact"/>
              <w:rPr>
                <w:sz w:val="20"/>
                <w:szCs w:val="20"/>
                <w:color w:val="auto"/>
              </w:rPr>
            </w:pPr>
            <w:r>
              <w:rPr>
                <w:rFonts w:ascii="Arial" w:cs="Arial" w:eastAsia="Arial" w:hAnsi="Arial"/>
                <w:sz w:val="6"/>
                <w:szCs w:val="6"/>
                <w:color w:val="auto"/>
              </w:rPr>
              <w:t>234</w:t>
            </w:r>
          </w:p>
        </w:tc>
        <w:tc>
          <w:tcPr>
            <w:tcW w:w="700" w:type="dxa"/>
            <w:vAlign w:val="bottom"/>
            <w:tcBorders>
              <w:bottom w:val="single" w:sz="8" w:color="auto"/>
              <w:right w:val="single" w:sz="8" w:color="auto"/>
            </w:tcBorders>
            <w:shd w:val="clear" w:color="auto" w:fill="CCEEFF"/>
          </w:tcPr>
          <w:p>
            <w:pPr>
              <w:jc w:val="right"/>
              <w:ind w:right="48"/>
              <w:spacing w:after="0" w:line="55" w:lineRule="exact"/>
              <w:rPr>
                <w:sz w:val="20"/>
                <w:szCs w:val="20"/>
                <w:color w:val="auto"/>
              </w:rPr>
            </w:pPr>
            <w:r>
              <w:rPr>
                <w:rFonts w:ascii="Arial" w:cs="Arial" w:eastAsia="Arial" w:hAnsi="Arial"/>
                <w:sz w:val="6"/>
                <w:szCs w:val="6"/>
                <w:color w:val="auto"/>
              </w:rPr>
              <w:t>1,680</w:t>
            </w:r>
          </w:p>
        </w:tc>
        <w:tc>
          <w:tcPr>
            <w:tcW w:w="12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440" w:type="dxa"/>
            <w:vAlign w:val="bottom"/>
            <w:tcBorders>
              <w:bottom w:val="single" w:sz="8" w:color="auto"/>
              <w:right w:val="single" w:sz="8" w:color="auto"/>
            </w:tcBorders>
            <w:shd w:val="clear" w:color="auto" w:fill="CCEEFF"/>
          </w:tcPr>
          <w:p>
            <w:pPr>
              <w:ind w:left="300"/>
              <w:spacing w:after="0" w:line="55" w:lineRule="exact"/>
              <w:rPr>
                <w:sz w:val="20"/>
                <w:szCs w:val="20"/>
                <w:color w:val="auto"/>
              </w:rPr>
            </w:pPr>
            <w:r>
              <w:rPr>
                <w:rFonts w:ascii="Arial" w:cs="Arial" w:eastAsia="Arial" w:hAnsi="Arial"/>
                <w:sz w:val="6"/>
                <w:szCs w:val="6"/>
                <w:color w:val="auto"/>
              </w:rPr>
              <w:t>17</w:t>
            </w:r>
          </w:p>
        </w:tc>
        <w:tc>
          <w:tcPr>
            <w:tcW w:w="12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auto"/>
            </w:tcBorders>
            <w:shd w:val="clear" w:color="auto" w:fill="CCEEFF"/>
          </w:tcPr>
          <w:p>
            <w:pPr>
              <w:jc w:val="right"/>
              <w:ind w:right="8"/>
              <w:spacing w:after="0" w:line="55" w:lineRule="exact"/>
              <w:rPr>
                <w:sz w:val="20"/>
                <w:szCs w:val="20"/>
                <w:color w:val="auto"/>
              </w:rPr>
            </w:pPr>
            <w:r>
              <w:rPr>
                <w:rFonts w:ascii="Arial" w:cs="Arial" w:eastAsia="Arial" w:hAnsi="Arial"/>
                <w:sz w:val="6"/>
                <w:szCs w:val="6"/>
                <w:color w:val="auto"/>
              </w:rPr>
              <w:t>152,364</w:t>
            </w:r>
          </w:p>
        </w:tc>
        <w:tc>
          <w:tcPr>
            <w:tcW w:w="12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72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(27,986)</w:t>
            </w:r>
          </w:p>
        </w:tc>
        <w:tc>
          <w:tcPr>
            <w:tcW w:w="10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auto"/>
            </w:tcBorders>
            <w:shd w:val="clear" w:color="auto" w:fill="CCEEFF"/>
          </w:tcPr>
          <w:p>
            <w:pPr>
              <w:jc w:val="right"/>
              <w:ind w:right="7"/>
              <w:spacing w:after="0" w:line="55" w:lineRule="exact"/>
              <w:rPr>
                <w:sz w:val="20"/>
                <w:szCs w:val="20"/>
                <w:color w:val="auto"/>
              </w:rPr>
            </w:pPr>
            <w:r>
              <w:rPr>
                <w:rFonts w:ascii="Arial" w:cs="Arial" w:eastAsia="Arial" w:hAnsi="Arial"/>
                <w:sz w:val="6"/>
                <w:szCs w:val="6"/>
                <w:color w:val="auto"/>
              </w:rPr>
              <w:t>(40,407)</w:t>
            </w:r>
          </w:p>
        </w:tc>
        <w:tc>
          <w:tcPr>
            <w:tcW w:w="12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840" w:type="dxa"/>
            <w:vAlign w:val="bottom"/>
            <w:tcBorders>
              <w:bottom w:val="single" w:sz="8" w:color="auto"/>
            </w:tcBorders>
            <w:shd w:val="clear" w:color="auto" w:fill="CCEEFF"/>
          </w:tcPr>
          <w:p>
            <w:pPr>
              <w:jc w:val="right"/>
              <w:ind w:right="28"/>
              <w:spacing w:after="0" w:line="55" w:lineRule="exact"/>
              <w:rPr>
                <w:sz w:val="20"/>
                <w:szCs w:val="20"/>
                <w:color w:val="auto"/>
              </w:rPr>
            </w:pPr>
            <w:r>
              <w:rPr>
                <w:rFonts w:ascii="Arial" w:cs="Arial" w:eastAsia="Arial" w:hAnsi="Arial"/>
                <w:sz w:val="6"/>
                <w:szCs w:val="6"/>
                <w:color w:val="auto"/>
              </w:rPr>
              <w:t>8,406</w:t>
            </w:r>
          </w:p>
        </w:tc>
        <w:tc>
          <w:tcPr>
            <w:tcW w:w="140" w:type="dxa"/>
            <w:vAlign w:val="bottom"/>
            <w:tcBorders>
              <w:bottom w:val="single" w:sz="8" w:color="auto"/>
            </w:tcBorders>
            <w:shd w:val="clear" w:color="auto" w:fill="CCEEFF"/>
          </w:tcPr>
          <w:p>
            <w:pPr>
              <w:jc w:val="right"/>
              <w:ind w:right="32"/>
              <w:spacing w:after="0" w:line="55" w:lineRule="exact"/>
              <w:rPr>
                <w:sz w:val="20"/>
                <w:szCs w:val="20"/>
                <w:color w:val="auto"/>
              </w:rPr>
            </w:pPr>
            <w:r>
              <w:rPr>
                <w:rFonts w:ascii="Arial" w:cs="Arial" w:eastAsia="Arial" w:hAnsi="Arial"/>
                <w:sz w:val="6"/>
                <w:szCs w:val="6"/>
                <w:color w:val="auto"/>
              </w:rPr>
              <w:t>$</w:t>
            </w:r>
          </w:p>
        </w:tc>
        <w:tc>
          <w:tcPr>
            <w:tcW w:w="920" w:type="dxa"/>
            <w:vAlign w:val="bottom"/>
            <w:tcBorders>
              <w:bottom w:val="single" w:sz="8" w:color="auto"/>
            </w:tcBorders>
            <w:shd w:val="clear" w:color="auto" w:fill="CCEEFF"/>
          </w:tcPr>
          <w:p>
            <w:pPr>
              <w:jc w:val="right"/>
              <w:ind w:right="8"/>
              <w:spacing w:after="0" w:line="55" w:lineRule="exact"/>
              <w:rPr>
                <w:sz w:val="20"/>
                <w:szCs w:val="20"/>
                <w:color w:val="auto"/>
              </w:rPr>
            </w:pPr>
            <w:r>
              <w:rPr>
                <w:rFonts w:ascii="Arial" w:cs="Arial" w:eastAsia="Arial" w:hAnsi="Arial"/>
                <w:sz w:val="6"/>
                <w:szCs w:val="6"/>
                <w:color w:val="auto"/>
              </w:rPr>
              <w:t>92,628</w:t>
            </w:r>
          </w:p>
        </w:tc>
        <w:tc>
          <w:tcPr>
            <w:tcW w:w="140" w:type="dxa"/>
            <w:vAlign w:val="bottom"/>
            <w:tcBorders>
              <w:bottom w:val="single" w:sz="8" w:color="auto"/>
            </w:tcBorders>
            <w:shd w:val="clear" w:color="auto" w:fill="CCEEFF"/>
          </w:tcPr>
          <w:p>
            <w:pPr>
              <w:jc w:val="right"/>
              <w:ind w:right="32"/>
              <w:spacing w:after="0" w:line="55" w:lineRule="exact"/>
              <w:rPr>
                <w:sz w:val="20"/>
                <w:szCs w:val="20"/>
                <w:color w:val="auto"/>
              </w:rPr>
            </w:pPr>
            <w:r>
              <w:rPr>
                <w:rFonts w:ascii="Arial" w:cs="Arial" w:eastAsia="Arial" w:hAnsi="Arial"/>
                <w:sz w:val="6"/>
                <w:szCs w:val="6"/>
                <w:color w:val="auto"/>
              </w:rPr>
              <w:t>$</w:t>
            </w:r>
          </w:p>
        </w:tc>
        <w:tc>
          <w:tcPr>
            <w:tcW w:w="780" w:type="dxa"/>
            <w:vAlign w:val="bottom"/>
            <w:tcBorders>
              <w:bottom w:val="single" w:sz="8" w:color="auto"/>
            </w:tcBorders>
            <w:shd w:val="clear" w:color="auto" w:fill="CCEEFF"/>
          </w:tcPr>
          <w:p>
            <w:pPr>
              <w:jc w:val="right"/>
              <w:ind w:right="7"/>
              <w:spacing w:after="0" w:line="55" w:lineRule="exact"/>
              <w:rPr>
                <w:sz w:val="20"/>
                <w:szCs w:val="20"/>
                <w:color w:val="auto"/>
              </w:rPr>
            </w:pPr>
            <w:r>
              <w:rPr>
                <w:rFonts w:ascii="Arial" w:cs="Arial" w:eastAsia="Arial" w:hAnsi="Arial"/>
                <w:sz w:val="6"/>
                <w:szCs w:val="6"/>
                <w:color w:val="auto"/>
              </w:rPr>
              <w:t>866</w:t>
            </w:r>
          </w:p>
        </w:tc>
        <w:tc>
          <w:tcPr>
            <w:tcW w:w="10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93,494</w:t>
            </w:r>
          </w:p>
        </w:tc>
        <w:tc>
          <w:tcPr>
            <w:tcW w:w="0" w:type="dxa"/>
            <w:vAlign w:val="bottom"/>
          </w:tcPr>
          <w:p>
            <w:pPr>
              <w:spacing w:after="0"/>
              <w:rPr>
                <w:sz w:val="1"/>
                <w:szCs w:val="1"/>
                <w:color w:val="auto"/>
              </w:rPr>
            </w:pPr>
          </w:p>
        </w:tc>
      </w:tr>
      <w:tr>
        <w:trPr>
          <w:trHeight w:val="63"/>
        </w:trPr>
        <w:tc>
          <w:tcPr>
            <w:tcW w:w="234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Net income</w:t>
            </w:r>
          </w:p>
        </w:tc>
        <w:tc>
          <w:tcPr>
            <w:tcW w:w="70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42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440" w:type="dxa"/>
            <w:vAlign w:val="bottom"/>
            <w:tcBorders>
              <w:right w:val="single" w:sz="8" w:color="auto"/>
            </w:tcBorders>
          </w:tcPr>
          <w:p>
            <w:pPr>
              <w:ind w:left="300"/>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520" w:type="dxa"/>
            <w:vAlign w:val="bottom"/>
          </w:tcPr>
          <w:p>
            <w:pPr>
              <w:jc w:val="right"/>
              <w:ind w:right="8"/>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720" w:type="dxa"/>
            <w:vAlign w:val="bottom"/>
          </w:tcPr>
          <w:p>
            <w:pPr>
              <w:jc w:val="right"/>
              <w:spacing w:after="0" w:line="63" w:lineRule="exact"/>
              <w:rPr>
                <w:sz w:val="20"/>
                <w:szCs w:val="20"/>
                <w:color w:val="auto"/>
              </w:rPr>
            </w:pPr>
            <w:r>
              <w:rPr>
                <w:rFonts w:ascii="Arial" w:cs="Arial" w:eastAsia="Arial" w:hAnsi="Arial"/>
                <w:sz w:val="7"/>
                <w:szCs w:val="7"/>
                <w:color w:val="auto"/>
              </w:rPr>
              <w:t>(2,436)</w:t>
            </w:r>
          </w:p>
        </w:tc>
        <w:tc>
          <w:tcPr>
            <w:tcW w:w="100" w:type="dxa"/>
            <w:vAlign w:val="bottom"/>
          </w:tcPr>
          <w:p>
            <w:pPr>
              <w:spacing w:after="0"/>
              <w:rPr>
                <w:sz w:val="5"/>
                <w:szCs w:val="5"/>
                <w:color w:val="auto"/>
              </w:rPr>
            </w:pPr>
          </w:p>
        </w:tc>
        <w:tc>
          <w:tcPr>
            <w:tcW w:w="520" w:type="dxa"/>
            <w:vAlign w:val="bottom"/>
          </w:tcPr>
          <w:p>
            <w:pPr>
              <w:jc w:val="right"/>
              <w:ind w:right="7"/>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40" w:type="dxa"/>
            <w:vAlign w:val="bottom"/>
          </w:tcPr>
          <w:p>
            <w:pPr>
              <w:jc w:val="right"/>
              <w:ind w:right="28"/>
              <w:spacing w:after="0" w:line="63"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920" w:type="dxa"/>
            <w:vAlign w:val="bottom"/>
          </w:tcPr>
          <w:p>
            <w:pPr>
              <w:jc w:val="right"/>
              <w:ind w:right="8"/>
              <w:spacing w:after="0" w:line="63" w:lineRule="exact"/>
              <w:rPr>
                <w:sz w:val="20"/>
                <w:szCs w:val="20"/>
                <w:color w:val="auto"/>
              </w:rPr>
            </w:pPr>
            <w:r>
              <w:rPr>
                <w:rFonts w:ascii="Arial" w:cs="Arial" w:eastAsia="Arial" w:hAnsi="Arial"/>
                <w:sz w:val="7"/>
                <w:szCs w:val="7"/>
                <w:color w:val="auto"/>
              </w:rPr>
              <w:t>(2,436)</w:t>
            </w:r>
          </w:p>
        </w:tc>
        <w:tc>
          <w:tcPr>
            <w:tcW w:w="140" w:type="dxa"/>
            <w:vAlign w:val="bottom"/>
          </w:tcPr>
          <w:p>
            <w:pPr>
              <w:spacing w:after="0"/>
              <w:rPr>
                <w:sz w:val="5"/>
                <w:szCs w:val="5"/>
                <w:color w:val="auto"/>
              </w:rPr>
            </w:pPr>
          </w:p>
        </w:tc>
        <w:tc>
          <w:tcPr>
            <w:tcW w:w="780" w:type="dxa"/>
            <w:vAlign w:val="bottom"/>
          </w:tcPr>
          <w:p>
            <w:pPr>
              <w:jc w:val="right"/>
              <w:ind w:right="7"/>
              <w:spacing w:after="0" w:line="63" w:lineRule="exact"/>
              <w:rPr>
                <w:sz w:val="20"/>
                <w:szCs w:val="20"/>
                <w:color w:val="auto"/>
              </w:rPr>
            </w:pPr>
            <w:r>
              <w:rPr>
                <w:rFonts w:ascii="Arial" w:cs="Arial" w:eastAsia="Arial" w:hAnsi="Arial"/>
                <w:sz w:val="7"/>
                <w:szCs w:val="7"/>
                <w:color w:val="auto"/>
              </w:rPr>
              <w:t>(7)</w:t>
            </w:r>
          </w:p>
        </w:tc>
        <w:tc>
          <w:tcPr>
            <w:tcW w:w="100" w:type="dxa"/>
            <w:vAlign w:val="bottom"/>
          </w:tcPr>
          <w:p>
            <w:pPr>
              <w:spacing w:after="0"/>
              <w:rPr>
                <w:sz w:val="5"/>
                <w:szCs w:val="5"/>
                <w:color w:val="auto"/>
              </w:rPr>
            </w:pPr>
          </w:p>
        </w:tc>
        <w:tc>
          <w:tcPr>
            <w:tcW w:w="660" w:type="dxa"/>
            <w:vAlign w:val="bottom"/>
          </w:tcPr>
          <w:p>
            <w:pPr>
              <w:jc w:val="right"/>
              <w:spacing w:after="0" w:line="63" w:lineRule="exact"/>
              <w:rPr>
                <w:sz w:val="20"/>
                <w:szCs w:val="20"/>
                <w:color w:val="auto"/>
              </w:rPr>
            </w:pPr>
            <w:r>
              <w:rPr>
                <w:rFonts w:ascii="Arial" w:cs="Arial" w:eastAsia="Arial" w:hAnsi="Arial"/>
                <w:sz w:val="7"/>
                <w:szCs w:val="7"/>
                <w:color w:val="auto"/>
              </w:rPr>
              <w:t>(2,443)</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Other comprehensive income, net</w:t>
            </w:r>
          </w:p>
        </w:tc>
        <w:tc>
          <w:tcPr>
            <w:tcW w:w="70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42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440" w:type="dxa"/>
            <w:vAlign w:val="bottom"/>
            <w:tcBorders>
              <w:right w:val="single" w:sz="8" w:color="auto"/>
            </w:tcBorders>
            <w:shd w:val="clear" w:color="auto" w:fill="CCEEFF"/>
          </w:tcPr>
          <w:p>
            <w:pPr>
              <w:ind w:left="300"/>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jc w:val="right"/>
              <w:ind w:right="28"/>
              <w:spacing w:after="0" w:line="68" w:lineRule="exact"/>
              <w:rPr>
                <w:sz w:val="20"/>
                <w:szCs w:val="20"/>
                <w:color w:val="auto"/>
              </w:rPr>
            </w:pPr>
            <w:r>
              <w:rPr>
                <w:rFonts w:ascii="Arial" w:cs="Arial" w:eastAsia="Arial" w:hAnsi="Arial"/>
                <w:sz w:val="7"/>
                <w:szCs w:val="7"/>
                <w:color w:val="auto"/>
              </w:rPr>
              <w:t>(9,218)</w:t>
            </w: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(9,218)</w:t>
            </w:r>
          </w:p>
        </w:tc>
        <w:tc>
          <w:tcPr>
            <w:tcW w:w="140" w:type="dxa"/>
            <w:vAlign w:val="bottom"/>
            <w:shd w:val="clear" w:color="auto" w:fill="CCEEFF"/>
          </w:tcPr>
          <w:p>
            <w:pPr>
              <w:spacing w:after="0"/>
              <w:rPr>
                <w:sz w:val="5"/>
                <w:szCs w:val="5"/>
                <w:color w:val="auto"/>
              </w:rPr>
            </w:pPr>
          </w:p>
        </w:tc>
        <w:tc>
          <w:tcPr>
            <w:tcW w:w="78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1</w:t>
            </w: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(9,217)</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tcPr>
          <w:p>
            <w:pPr>
              <w:spacing w:after="0" w:line="68" w:lineRule="exact"/>
              <w:rPr>
                <w:sz w:val="20"/>
                <w:szCs w:val="20"/>
                <w:color w:val="auto"/>
              </w:rPr>
            </w:pPr>
            <w:r>
              <w:rPr>
                <w:rFonts w:ascii="Arial" w:cs="Arial" w:eastAsia="Arial" w:hAnsi="Arial"/>
                <w:sz w:val="7"/>
                <w:szCs w:val="7"/>
                <w:color w:val="auto"/>
              </w:rPr>
              <w:t>Share-based compensation expense</w:t>
            </w:r>
          </w:p>
        </w:tc>
        <w:tc>
          <w:tcPr>
            <w:tcW w:w="70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42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440" w:type="dxa"/>
            <w:vAlign w:val="bottom"/>
            <w:tcBorders>
              <w:right w:val="single" w:sz="8" w:color="auto"/>
            </w:tcBorders>
          </w:tcPr>
          <w:p>
            <w:pPr>
              <w:ind w:left="300"/>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520" w:type="dxa"/>
            <w:vAlign w:val="bottom"/>
          </w:tcPr>
          <w:p>
            <w:pPr>
              <w:jc w:val="right"/>
              <w:ind w:right="8"/>
              <w:spacing w:after="0" w:line="68" w:lineRule="exact"/>
              <w:rPr>
                <w:sz w:val="20"/>
                <w:szCs w:val="20"/>
                <w:color w:val="auto"/>
              </w:rPr>
            </w:pPr>
            <w:r>
              <w:rPr>
                <w:rFonts w:ascii="Arial" w:cs="Arial" w:eastAsia="Arial" w:hAnsi="Arial"/>
                <w:sz w:val="7"/>
                <w:szCs w:val="7"/>
                <w:color w:val="auto"/>
              </w:rPr>
              <w:t>466</w:t>
            </w:r>
          </w:p>
        </w:tc>
        <w:tc>
          <w:tcPr>
            <w:tcW w:w="120" w:type="dxa"/>
            <w:vAlign w:val="bottom"/>
          </w:tcPr>
          <w:p>
            <w:pPr>
              <w:spacing w:after="0"/>
              <w:rPr>
                <w:sz w:val="5"/>
                <w:szCs w:val="5"/>
                <w:color w:val="auto"/>
              </w:rPr>
            </w:pPr>
          </w:p>
        </w:tc>
        <w:tc>
          <w:tcPr>
            <w:tcW w:w="7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520" w:type="dxa"/>
            <w:vAlign w:val="bottom"/>
          </w:tcPr>
          <w:p>
            <w:pPr>
              <w:jc w:val="right"/>
              <w:ind w:right="7"/>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40" w:type="dxa"/>
            <w:vAlign w:val="bottom"/>
          </w:tcPr>
          <w:p>
            <w:pPr>
              <w:jc w:val="right"/>
              <w:ind w:right="28"/>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920" w:type="dxa"/>
            <w:vAlign w:val="bottom"/>
          </w:tcPr>
          <w:p>
            <w:pPr>
              <w:jc w:val="right"/>
              <w:ind w:right="8"/>
              <w:spacing w:after="0" w:line="68" w:lineRule="exact"/>
              <w:rPr>
                <w:sz w:val="20"/>
                <w:szCs w:val="20"/>
                <w:color w:val="auto"/>
              </w:rPr>
            </w:pPr>
            <w:r>
              <w:rPr>
                <w:rFonts w:ascii="Arial" w:cs="Arial" w:eastAsia="Arial" w:hAnsi="Arial"/>
                <w:sz w:val="7"/>
                <w:szCs w:val="7"/>
                <w:color w:val="auto"/>
              </w:rPr>
              <w:t>466</w:t>
            </w:r>
          </w:p>
        </w:tc>
        <w:tc>
          <w:tcPr>
            <w:tcW w:w="140" w:type="dxa"/>
            <w:vAlign w:val="bottom"/>
          </w:tcPr>
          <w:p>
            <w:pPr>
              <w:spacing w:after="0"/>
              <w:rPr>
                <w:sz w:val="5"/>
                <w:szCs w:val="5"/>
                <w:color w:val="auto"/>
              </w:rPr>
            </w:pPr>
          </w:p>
        </w:tc>
        <w:tc>
          <w:tcPr>
            <w:tcW w:w="780" w:type="dxa"/>
            <w:vAlign w:val="bottom"/>
          </w:tcPr>
          <w:p>
            <w:pPr>
              <w:jc w:val="right"/>
              <w:ind w:right="7"/>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660" w:type="dxa"/>
            <w:vAlign w:val="bottom"/>
          </w:tcPr>
          <w:p>
            <w:pPr>
              <w:jc w:val="right"/>
              <w:spacing w:after="0" w:line="68" w:lineRule="exact"/>
              <w:rPr>
                <w:sz w:val="20"/>
                <w:szCs w:val="20"/>
                <w:color w:val="auto"/>
              </w:rPr>
            </w:pPr>
            <w:r>
              <w:rPr>
                <w:rFonts w:ascii="Arial" w:cs="Arial" w:eastAsia="Arial" w:hAnsi="Arial"/>
                <w:sz w:val="7"/>
                <w:szCs w:val="7"/>
                <w:color w:val="auto"/>
              </w:rPr>
              <w:t>466</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Restricted Stock Units</w:t>
            </w:r>
          </w:p>
        </w:tc>
        <w:tc>
          <w:tcPr>
            <w:tcW w:w="70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49</w:t>
            </w:r>
          </w:p>
        </w:tc>
        <w:tc>
          <w:tcPr>
            <w:tcW w:w="100" w:type="dxa"/>
            <w:vAlign w:val="bottom"/>
            <w:shd w:val="clear" w:color="auto" w:fill="CCEEFF"/>
          </w:tcPr>
          <w:p>
            <w:pPr>
              <w:spacing w:after="0"/>
              <w:rPr>
                <w:sz w:val="5"/>
                <w:szCs w:val="5"/>
                <w:color w:val="auto"/>
              </w:rPr>
            </w:pPr>
          </w:p>
        </w:tc>
        <w:tc>
          <w:tcPr>
            <w:tcW w:w="42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440" w:type="dxa"/>
            <w:vAlign w:val="bottom"/>
            <w:tcBorders>
              <w:right w:val="single" w:sz="8" w:color="auto"/>
            </w:tcBorders>
            <w:shd w:val="clear" w:color="auto" w:fill="CCEEFF"/>
          </w:tcPr>
          <w:p>
            <w:pPr>
              <w:ind w:left="300"/>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(52)</w:t>
            </w: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jc w:val="right"/>
              <w:ind w:right="28"/>
              <w:spacing w:after="0" w:line="68" w:lineRule="exact"/>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(52)</w:t>
            </w:r>
          </w:p>
        </w:tc>
        <w:tc>
          <w:tcPr>
            <w:tcW w:w="140" w:type="dxa"/>
            <w:vAlign w:val="bottom"/>
            <w:shd w:val="clear" w:color="auto" w:fill="CCEEFF"/>
          </w:tcPr>
          <w:p>
            <w:pPr>
              <w:spacing w:after="0"/>
              <w:rPr>
                <w:sz w:val="5"/>
                <w:szCs w:val="5"/>
                <w:color w:val="auto"/>
              </w:rPr>
            </w:pPr>
          </w:p>
        </w:tc>
        <w:tc>
          <w:tcPr>
            <w:tcW w:w="78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(52)</w:t>
            </w:r>
          </w:p>
        </w:tc>
        <w:tc>
          <w:tcPr>
            <w:tcW w:w="0" w:type="dxa"/>
            <w:vAlign w:val="bottom"/>
          </w:tcPr>
          <w:p>
            <w:pPr>
              <w:spacing w:after="0"/>
              <w:rPr>
                <w:sz w:val="1"/>
                <w:szCs w:val="1"/>
                <w:color w:val="auto"/>
              </w:rPr>
            </w:pPr>
          </w:p>
        </w:tc>
      </w:tr>
      <w:tr>
        <w:trPr>
          <w:trHeight w:val="68"/>
        </w:trPr>
        <w:tc>
          <w:tcPr>
            <w:tcW w:w="2340" w:type="dxa"/>
            <w:vAlign w:val="bottom"/>
            <w:tcBorders>
              <w:bottom w:val="single" w:sz="8" w:color="auto"/>
              <w:right w:val="single" w:sz="8" w:color="auto"/>
            </w:tcBorders>
          </w:tcPr>
          <w:p>
            <w:pPr>
              <w:spacing w:after="0" w:line="68" w:lineRule="exact"/>
              <w:rPr>
                <w:sz w:val="20"/>
                <w:szCs w:val="20"/>
                <w:color w:val="auto"/>
              </w:rPr>
            </w:pPr>
            <w:r>
              <w:rPr>
                <w:rFonts w:ascii="Arial" w:cs="Arial" w:eastAsia="Arial" w:hAnsi="Arial"/>
                <w:sz w:val="7"/>
                <w:szCs w:val="7"/>
                <w:color w:val="auto"/>
              </w:rPr>
              <w:t>Distributions to noncontrolling stockholders</w:t>
            </w:r>
          </w:p>
        </w:tc>
        <w:tc>
          <w:tcPr>
            <w:tcW w:w="700" w:type="dxa"/>
            <w:vAlign w:val="bottom"/>
            <w:tcBorders>
              <w:bottom w:val="single" w:sz="8" w:color="auto"/>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auto"/>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ind w:left="300"/>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jc w:val="right"/>
              <w:ind w:right="8"/>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jc w:val="right"/>
              <w:ind w:right="7"/>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jc w:val="right"/>
              <w:ind w:right="28"/>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jc w:val="right"/>
              <w:ind w:right="8"/>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jc w:val="right"/>
              <w:ind w:right="7"/>
              <w:spacing w:after="0" w:line="68" w:lineRule="exact"/>
              <w:rPr>
                <w:sz w:val="20"/>
                <w:szCs w:val="20"/>
                <w:color w:val="auto"/>
              </w:rPr>
            </w:pPr>
            <w:r>
              <w:rPr>
                <w:rFonts w:ascii="Arial" w:cs="Arial" w:eastAsia="Arial" w:hAnsi="Arial"/>
                <w:sz w:val="7"/>
                <w:szCs w:val="7"/>
                <w:color w:val="auto"/>
              </w:rPr>
              <w:t>(21)</w:t>
            </w: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auto"/>
              </w:rPr>
              <w:t>(21)</w:t>
            </w:r>
          </w:p>
        </w:tc>
        <w:tc>
          <w:tcPr>
            <w:tcW w:w="0" w:type="dxa"/>
            <w:vAlign w:val="bottom"/>
          </w:tcPr>
          <w:p>
            <w:pPr>
              <w:spacing w:after="0"/>
              <w:rPr>
                <w:sz w:val="1"/>
                <w:szCs w:val="1"/>
                <w:color w:val="auto"/>
              </w:rPr>
            </w:pPr>
          </w:p>
        </w:tc>
      </w:tr>
      <w:tr>
        <w:trPr>
          <w:trHeight w:val="55"/>
        </w:trPr>
        <w:tc>
          <w:tcPr>
            <w:tcW w:w="2340" w:type="dxa"/>
            <w:vAlign w:val="bottom"/>
            <w:tcBorders>
              <w:bottom w:val="single" w:sz="8" w:color="auto"/>
              <w:right w:val="single" w:sz="8" w:color="auto"/>
            </w:tcBorders>
            <w:shd w:val="clear" w:color="auto" w:fill="CCEEFF"/>
          </w:tcPr>
          <w:p>
            <w:pPr>
              <w:spacing w:after="0" w:line="55" w:lineRule="exact"/>
              <w:rPr>
                <w:sz w:val="20"/>
                <w:szCs w:val="20"/>
                <w:color w:val="auto"/>
              </w:rPr>
            </w:pPr>
            <w:r>
              <w:rPr>
                <w:rFonts w:ascii="Arial" w:cs="Arial" w:eastAsia="Arial" w:hAnsi="Arial"/>
                <w:sz w:val="6"/>
                <w:szCs w:val="6"/>
                <w:color w:val="auto"/>
              </w:rPr>
              <w:t>At June 30, 2022</w:t>
            </w:r>
          </w:p>
        </w:tc>
        <w:tc>
          <w:tcPr>
            <w:tcW w:w="700" w:type="dxa"/>
            <w:vAlign w:val="bottom"/>
            <w:tcBorders>
              <w:bottom w:val="single" w:sz="8" w:color="auto"/>
              <w:right w:val="single" w:sz="8" w:color="auto"/>
            </w:tcBorders>
            <w:shd w:val="clear" w:color="auto" w:fill="CCEEFF"/>
          </w:tcPr>
          <w:p>
            <w:pPr>
              <w:jc w:val="right"/>
              <w:ind w:right="48"/>
              <w:spacing w:after="0" w:line="55" w:lineRule="exact"/>
              <w:rPr>
                <w:sz w:val="20"/>
                <w:szCs w:val="20"/>
                <w:color w:val="auto"/>
              </w:rPr>
            </w:pPr>
            <w:r>
              <w:rPr>
                <w:rFonts w:ascii="Arial" w:cs="Arial" w:eastAsia="Arial" w:hAnsi="Arial"/>
                <w:sz w:val="6"/>
                <w:szCs w:val="6"/>
                <w:color w:val="auto"/>
              </w:rPr>
              <w:t>20,361</w:t>
            </w:r>
          </w:p>
        </w:tc>
        <w:tc>
          <w:tcPr>
            <w:tcW w:w="10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auto"/>
              <w:right w:val="single" w:sz="8" w:color="auto"/>
            </w:tcBorders>
            <w:shd w:val="clear" w:color="auto" w:fill="CCEEFF"/>
          </w:tcPr>
          <w:p>
            <w:pPr>
              <w:jc w:val="right"/>
              <w:ind w:right="28"/>
              <w:spacing w:after="0" w:line="55" w:lineRule="exact"/>
              <w:rPr>
                <w:sz w:val="20"/>
                <w:szCs w:val="20"/>
                <w:color w:val="auto"/>
              </w:rPr>
            </w:pPr>
            <w:r>
              <w:rPr>
                <w:rFonts w:ascii="Arial" w:cs="Arial" w:eastAsia="Arial" w:hAnsi="Arial"/>
                <w:sz w:val="6"/>
                <w:szCs w:val="6"/>
                <w:color w:val="auto"/>
              </w:rPr>
              <w:t>234</w:t>
            </w:r>
          </w:p>
        </w:tc>
        <w:tc>
          <w:tcPr>
            <w:tcW w:w="700" w:type="dxa"/>
            <w:vAlign w:val="bottom"/>
            <w:tcBorders>
              <w:bottom w:val="single" w:sz="8" w:color="auto"/>
              <w:right w:val="single" w:sz="8" w:color="auto"/>
            </w:tcBorders>
            <w:shd w:val="clear" w:color="auto" w:fill="CCEEFF"/>
          </w:tcPr>
          <w:p>
            <w:pPr>
              <w:jc w:val="right"/>
              <w:ind w:right="48"/>
              <w:spacing w:after="0" w:line="55" w:lineRule="exact"/>
              <w:rPr>
                <w:sz w:val="20"/>
                <w:szCs w:val="20"/>
                <w:color w:val="auto"/>
              </w:rPr>
            </w:pPr>
            <w:r>
              <w:rPr>
                <w:rFonts w:ascii="Arial" w:cs="Arial" w:eastAsia="Arial" w:hAnsi="Arial"/>
                <w:sz w:val="6"/>
                <w:szCs w:val="6"/>
                <w:color w:val="auto"/>
              </w:rPr>
              <w:t>1,680</w:t>
            </w:r>
          </w:p>
        </w:tc>
        <w:tc>
          <w:tcPr>
            <w:tcW w:w="12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440" w:type="dxa"/>
            <w:vAlign w:val="bottom"/>
            <w:tcBorders>
              <w:bottom w:val="single" w:sz="8" w:color="auto"/>
              <w:right w:val="single" w:sz="8" w:color="auto"/>
            </w:tcBorders>
            <w:shd w:val="clear" w:color="auto" w:fill="CCEEFF"/>
          </w:tcPr>
          <w:p>
            <w:pPr>
              <w:ind w:left="300"/>
              <w:spacing w:after="0" w:line="55" w:lineRule="exact"/>
              <w:rPr>
                <w:sz w:val="20"/>
                <w:szCs w:val="20"/>
                <w:color w:val="auto"/>
              </w:rPr>
            </w:pPr>
            <w:r>
              <w:rPr>
                <w:rFonts w:ascii="Arial" w:cs="Arial" w:eastAsia="Arial" w:hAnsi="Arial"/>
                <w:sz w:val="6"/>
                <w:szCs w:val="6"/>
                <w:color w:val="auto"/>
              </w:rPr>
              <w:t>17</w:t>
            </w:r>
          </w:p>
        </w:tc>
        <w:tc>
          <w:tcPr>
            <w:tcW w:w="12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auto"/>
            </w:tcBorders>
            <w:shd w:val="clear" w:color="auto" w:fill="CCEEFF"/>
          </w:tcPr>
          <w:p>
            <w:pPr>
              <w:jc w:val="right"/>
              <w:ind w:right="8"/>
              <w:spacing w:after="0" w:line="55" w:lineRule="exact"/>
              <w:rPr>
                <w:sz w:val="20"/>
                <w:szCs w:val="20"/>
                <w:color w:val="auto"/>
              </w:rPr>
            </w:pPr>
            <w:r>
              <w:rPr>
                <w:rFonts w:ascii="Arial" w:cs="Arial" w:eastAsia="Arial" w:hAnsi="Arial"/>
                <w:sz w:val="6"/>
                <w:szCs w:val="6"/>
                <w:color w:val="auto"/>
              </w:rPr>
              <w:t>152,778</w:t>
            </w:r>
          </w:p>
        </w:tc>
        <w:tc>
          <w:tcPr>
            <w:tcW w:w="12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72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(30,422)</w:t>
            </w:r>
          </w:p>
        </w:tc>
        <w:tc>
          <w:tcPr>
            <w:tcW w:w="10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auto"/>
            </w:tcBorders>
            <w:shd w:val="clear" w:color="auto" w:fill="CCEEFF"/>
          </w:tcPr>
          <w:p>
            <w:pPr>
              <w:jc w:val="right"/>
              <w:ind w:right="7"/>
              <w:spacing w:after="0" w:line="55" w:lineRule="exact"/>
              <w:rPr>
                <w:sz w:val="20"/>
                <w:szCs w:val="20"/>
                <w:color w:val="auto"/>
              </w:rPr>
            </w:pPr>
            <w:r>
              <w:rPr>
                <w:rFonts w:ascii="Arial" w:cs="Arial" w:eastAsia="Arial" w:hAnsi="Arial"/>
                <w:sz w:val="6"/>
                <w:szCs w:val="6"/>
                <w:color w:val="auto"/>
              </w:rPr>
              <w:t>(40,407)</w:t>
            </w:r>
          </w:p>
        </w:tc>
        <w:tc>
          <w:tcPr>
            <w:tcW w:w="120" w:type="dxa"/>
            <w:vAlign w:val="bottom"/>
            <w:tcBorders>
              <w:bottom w:val="single" w:sz="8" w:color="auto"/>
            </w:tcBorders>
            <w:shd w:val="clear" w:color="auto" w:fill="CCEEFF"/>
          </w:tcPr>
          <w:p>
            <w:pPr>
              <w:jc w:val="right"/>
              <w:ind w:right="12"/>
              <w:spacing w:after="0" w:line="55" w:lineRule="exact"/>
              <w:rPr>
                <w:sz w:val="20"/>
                <w:szCs w:val="20"/>
                <w:color w:val="auto"/>
              </w:rPr>
            </w:pPr>
            <w:r>
              <w:rPr>
                <w:rFonts w:ascii="Arial" w:cs="Arial" w:eastAsia="Arial" w:hAnsi="Arial"/>
                <w:sz w:val="6"/>
                <w:szCs w:val="6"/>
                <w:color w:val="auto"/>
              </w:rPr>
              <w:t>$</w:t>
            </w:r>
          </w:p>
        </w:tc>
        <w:tc>
          <w:tcPr>
            <w:tcW w:w="840" w:type="dxa"/>
            <w:vAlign w:val="bottom"/>
            <w:tcBorders>
              <w:bottom w:val="single" w:sz="8" w:color="auto"/>
            </w:tcBorders>
            <w:shd w:val="clear" w:color="auto" w:fill="CCEEFF"/>
          </w:tcPr>
          <w:p>
            <w:pPr>
              <w:jc w:val="right"/>
              <w:ind w:right="28"/>
              <w:spacing w:after="0" w:line="55" w:lineRule="exact"/>
              <w:rPr>
                <w:sz w:val="20"/>
                <w:szCs w:val="20"/>
                <w:color w:val="auto"/>
              </w:rPr>
            </w:pPr>
            <w:r>
              <w:rPr>
                <w:rFonts w:ascii="Arial" w:cs="Arial" w:eastAsia="Arial" w:hAnsi="Arial"/>
                <w:sz w:val="6"/>
                <w:szCs w:val="6"/>
                <w:color w:val="auto"/>
              </w:rPr>
              <w:t>(812)</w:t>
            </w:r>
          </w:p>
        </w:tc>
        <w:tc>
          <w:tcPr>
            <w:tcW w:w="140" w:type="dxa"/>
            <w:vAlign w:val="bottom"/>
            <w:tcBorders>
              <w:bottom w:val="single" w:sz="8" w:color="auto"/>
            </w:tcBorders>
            <w:shd w:val="clear" w:color="auto" w:fill="CCEEFF"/>
          </w:tcPr>
          <w:p>
            <w:pPr>
              <w:jc w:val="right"/>
              <w:ind w:right="32"/>
              <w:spacing w:after="0" w:line="55" w:lineRule="exact"/>
              <w:rPr>
                <w:sz w:val="20"/>
                <w:szCs w:val="20"/>
                <w:color w:val="auto"/>
              </w:rPr>
            </w:pPr>
            <w:r>
              <w:rPr>
                <w:rFonts w:ascii="Arial" w:cs="Arial" w:eastAsia="Arial" w:hAnsi="Arial"/>
                <w:sz w:val="6"/>
                <w:szCs w:val="6"/>
                <w:color w:val="auto"/>
              </w:rPr>
              <w:t>$</w:t>
            </w:r>
          </w:p>
        </w:tc>
        <w:tc>
          <w:tcPr>
            <w:tcW w:w="920" w:type="dxa"/>
            <w:vAlign w:val="bottom"/>
            <w:tcBorders>
              <w:bottom w:val="single" w:sz="8" w:color="auto"/>
            </w:tcBorders>
            <w:shd w:val="clear" w:color="auto" w:fill="CCEEFF"/>
          </w:tcPr>
          <w:p>
            <w:pPr>
              <w:jc w:val="right"/>
              <w:ind w:right="8"/>
              <w:spacing w:after="0" w:line="55" w:lineRule="exact"/>
              <w:rPr>
                <w:sz w:val="20"/>
                <w:szCs w:val="20"/>
                <w:color w:val="auto"/>
              </w:rPr>
            </w:pPr>
            <w:r>
              <w:rPr>
                <w:rFonts w:ascii="Arial" w:cs="Arial" w:eastAsia="Arial" w:hAnsi="Arial"/>
                <w:sz w:val="6"/>
                <w:szCs w:val="6"/>
                <w:color w:val="auto"/>
              </w:rPr>
              <w:t>81,388</w:t>
            </w:r>
          </w:p>
        </w:tc>
        <w:tc>
          <w:tcPr>
            <w:tcW w:w="140" w:type="dxa"/>
            <w:vAlign w:val="bottom"/>
            <w:tcBorders>
              <w:bottom w:val="single" w:sz="8" w:color="auto"/>
            </w:tcBorders>
            <w:shd w:val="clear" w:color="auto" w:fill="CCEEFF"/>
          </w:tcPr>
          <w:p>
            <w:pPr>
              <w:jc w:val="right"/>
              <w:ind w:right="32"/>
              <w:spacing w:after="0" w:line="55" w:lineRule="exact"/>
              <w:rPr>
                <w:sz w:val="20"/>
                <w:szCs w:val="20"/>
                <w:color w:val="auto"/>
              </w:rPr>
            </w:pPr>
            <w:r>
              <w:rPr>
                <w:rFonts w:ascii="Arial" w:cs="Arial" w:eastAsia="Arial" w:hAnsi="Arial"/>
                <w:sz w:val="6"/>
                <w:szCs w:val="6"/>
                <w:color w:val="auto"/>
              </w:rPr>
              <w:t>$</w:t>
            </w:r>
          </w:p>
        </w:tc>
        <w:tc>
          <w:tcPr>
            <w:tcW w:w="780" w:type="dxa"/>
            <w:vAlign w:val="bottom"/>
            <w:tcBorders>
              <w:bottom w:val="single" w:sz="8" w:color="auto"/>
            </w:tcBorders>
            <w:shd w:val="clear" w:color="auto" w:fill="CCEEFF"/>
          </w:tcPr>
          <w:p>
            <w:pPr>
              <w:jc w:val="right"/>
              <w:ind w:right="7"/>
              <w:spacing w:after="0" w:line="55" w:lineRule="exact"/>
              <w:rPr>
                <w:sz w:val="20"/>
                <w:szCs w:val="20"/>
                <w:color w:val="auto"/>
              </w:rPr>
            </w:pPr>
            <w:r>
              <w:rPr>
                <w:rFonts w:ascii="Arial" w:cs="Arial" w:eastAsia="Arial" w:hAnsi="Arial"/>
                <w:sz w:val="6"/>
                <w:szCs w:val="6"/>
                <w:color w:val="auto"/>
              </w:rPr>
              <w:t>839</w:t>
            </w:r>
          </w:p>
        </w:tc>
        <w:tc>
          <w:tcPr>
            <w:tcW w:w="10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82,227</w:t>
            </w:r>
          </w:p>
        </w:tc>
        <w:tc>
          <w:tcPr>
            <w:tcW w:w="0" w:type="dxa"/>
            <w:vAlign w:val="bottom"/>
          </w:tcPr>
          <w:p>
            <w:pPr>
              <w:spacing w:after="0"/>
              <w:rPr>
                <w:sz w:val="1"/>
                <w:szCs w:val="1"/>
                <w:color w:val="auto"/>
              </w:rPr>
            </w:pPr>
          </w:p>
        </w:tc>
      </w:tr>
      <w:tr>
        <w:trPr>
          <w:trHeight w:val="63"/>
        </w:trPr>
        <w:tc>
          <w:tcPr>
            <w:tcW w:w="2340" w:type="dxa"/>
            <w:vAlign w:val="bottom"/>
            <w:tcBorders>
              <w:right w:val="single" w:sz="8" w:color="auto"/>
            </w:tcBorders>
          </w:tcPr>
          <w:p>
            <w:pPr>
              <w:spacing w:after="0" w:line="63" w:lineRule="exact"/>
              <w:rPr>
                <w:sz w:val="20"/>
                <w:szCs w:val="20"/>
                <w:color w:val="auto"/>
              </w:rPr>
            </w:pPr>
            <w:r>
              <w:rPr>
                <w:rFonts w:ascii="Arial" w:cs="Arial" w:eastAsia="Arial" w:hAnsi="Arial"/>
                <w:sz w:val="7"/>
                <w:szCs w:val="7"/>
                <w:color w:val="auto"/>
              </w:rPr>
              <w:t>Net income</w:t>
            </w:r>
          </w:p>
        </w:tc>
        <w:tc>
          <w:tcPr>
            <w:tcW w:w="70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42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tcPr>
          <w:p>
            <w:pPr>
              <w:jc w:val="right"/>
              <w:ind w:right="48"/>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440" w:type="dxa"/>
            <w:vAlign w:val="bottom"/>
            <w:tcBorders>
              <w:right w:val="single" w:sz="8" w:color="auto"/>
            </w:tcBorders>
          </w:tcPr>
          <w:p>
            <w:pPr>
              <w:ind w:left="300"/>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520" w:type="dxa"/>
            <w:vAlign w:val="bottom"/>
          </w:tcPr>
          <w:p>
            <w:pPr>
              <w:jc w:val="right"/>
              <w:ind w:right="8"/>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720" w:type="dxa"/>
            <w:vAlign w:val="bottom"/>
          </w:tcPr>
          <w:p>
            <w:pPr>
              <w:jc w:val="right"/>
              <w:spacing w:after="0" w:line="63" w:lineRule="exact"/>
              <w:rPr>
                <w:sz w:val="20"/>
                <w:szCs w:val="20"/>
                <w:color w:val="auto"/>
              </w:rPr>
            </w:pPr>
            <w:r>
              <w:rPr>
                <w:rFonts w:ascii="Arial" w:cs="Arial" w:eastAsia="Arial" w:hAnsi="Arial"/>
                <w:sz w:val="7"/>
                <w:szCs w:val="7"/>
                <w:color w:val="auto"/>
              </w:rPr>
              <w:t>(5,177)</w:t>
            </w:r>
          </w:p>
        </w:tc>
        <w:tc>
          <w:tcPr>
            <w:tcW w:w="100" w:type="dxa"/>
            <w:vAlign w:val="bottom"/>
          </w:tcPr>
          <w:p>
            <w:pPr>
              <w:spacing w:after="0"/>
              <w:rPr>
                <w:sz w:val="5"/>
                <w:szCs w:val="5"/>
                <w:color w:val="auto"/>
              </w:rPr>
            </w:pPr>
          </w:p>
        </w:tc>
        <w:tc>
          <w:tcPr>
            <w:tcW w:w="520" w:type="dxa"/>
            <w:vAlign w:val="bottom"/>
          </w:tcPr>
          <w:p>
            <w:pPr>
              <w:jc w:val="right"/>
              <w:ind w:right="7"/>
              <w:spacing w:after="0" w:line="63"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40" w:type="dxa"/>
            <w:vAlign w:val="bottom"/>
          </w:tcPr>
          <w:p>
            <w:pPr>
              <w:jc w:val="right"/>
              <w:ind w:right="28"/>
              <w:spacing w:after="0" w:line="63"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920" w:type="dxa"/>
            <w:vAlign w:val="bottom"/>
          </w:tcPr>
          <w:p>
            <w:pPr>
              <w:jc w:val="right"/>
              <w:ind w:right="8"/>
              <w:spacing w:after="0" w:line="63" w:lineRule="exact"/>
              <w:rPr>
                <w:sz w:val="20"/>
                <w:szCs w:val="20"/>
                <w:color w:val="auto"/>
              </w:rPr>
            </w:pPr>
            <w:r>
              <w:rPr>
                <w:rFonts w:ascii="Arial" w:cs="Arial" w:eastAsia="Arial" w:hAnsi="Arial"/>
                <w:sz w:val="7"/>
                <w:szCs w:val="7"/>
                <w:color w:val="auto"/>
              </w:rPr>
              <w:t>(5,177)</w:t>
            </w:r>
          </w:p>
        </w:tc>
        <w:tc>
          <w:tcPr>
            <w:tcW w:w="140" w:type="dxa"/>
            <w:vAlign w:val="bottom"/>
          </w:tcPr>
          <w:p>
            <w:pPr>
              <w:spacing w:after="0"/>
              <w:rPr>
                <w:sz w:val="5"/>
                <w:szCs w:val="5"/>
                <w:color w:val="auto"/>
              </w:rPr>
            </w:pPr>
          </w:p>
        </w:tc>
        <w:tc>
          <w:tcPr>
            <w:tcW w:w="780" w:type="dxa"/>
            <w:vAlign w:val="bottom"/>
          </w:tcPr>
          <w:p>
            <w:pPr>
              <w:jc w:val="right"/>
              <w:ind w:right="7"/>
              <w:spacing w:after="0" w:line="63" w:lineRule="exact"/>
              <w:rPr>
                <w:sz w:val="20"/>
                <w:szCs w:val="20"/>
                <w:color w:val="auto"/>
              </w:rPr>
            </w:pPr>
            <w:r>
              <w:rPr>
                <w:rFonts w:ascii="Arial" w:cs="Arial" w:eastAsia="Arial" w:hAnsi="Arial"/>
                <w:sz w:val="7"/>
                <w:szCs w:val="7"/>
                <w:color w:val="auto"/>
              </w:rPr>
              <w:t>(122)</w:t>
            </w:r>
          </w:p>
        </w:tc>
        <w:tc>
          <w:tcPr>
            <w:tcW w:w="100" w:type="dxa"/>
            <w:vAlign w:val="bottom"/>
          </w:tcPr>
          <w:p>
            <w:pPr>
              <w:spacing w:after="0"/>
              <w:rPr>
                <w:sz w:val="5"/>
                <w:szCs w:val="5"/>
                <w:color w:val="auto"/>
              </w:rPr>
            </w:pPr>
          </w:p>
        </w:tc>
        <w:tc>
          <w:tcPr>
            <w:tcW w:w="660" w:type="dxa"/>
            <w:vAlign w:val="bottom"/>
          </w:tcPr>
          <w:p>
            <w:pPr>
              <w:jc w:val="right"/>
              <w:spacing w:after="0" w:line="63" w:lineRule="exact"/>
              <w:rPr>
                <w:sz w:val="20"/>
                <w:szCs w:val="20"/>
                <w:color w:val="auto"/>
              </w:rPr>
            </w:pPr>
            <w:r>
              <w:rPr>
                <w:rFonts w:ascii="Arial" w:cs="Arial" w:eastAsia="Arial" w:hAnsi="Arial"/>
                <w:sz w:val="7"/>
                <w:szCs w:val="7"/>
                <w:color w:val="auto"/>
              </w:rPr>
              <w:t>(5,299)</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Other comprehensive income, net</w:t>
            </w:r>
          </w:p>
        </w:tc>
        <w:tc>
          <w:tcPr>
            <w:tcW w:w="70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42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440" w:type="dxa"/>
            <w:vAlign w:val="bottom"/>
            <w:tcBorders>
              <w:right w:val="single" w:sz="8" w:color="auto"/>
            </w:tcBorders>
            <w:shd w:val="clear" w:color="auto" w:fill="CCEEFF"/>
          </w:tcPr>
          <w:p>
            <w:pPr>
              <w:ind w:left="300"/>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jc w:val="right"/>
              <w:ind w:right="28"/>
              <w:spacing w:after="0" w:line="68" w:lineRule="exact"/>
              <w:rPr>
                <w:sz w:val="20"/>
                <w:szCs w:val="20"/>
                <w:color w:val="auto"/>
              </w:rPr>
            </w:pPr>
            <w:r>
              <w:rPr>
                <w:rFonts w:ascii="Arial" w:cs="Arial" w:eastAsia="Arial" w:hAnsi="Arial"/>
                <w:sz w:val="7"/>
                <w:szCs w:val="7"/>
                <w:color w:val="auto"/>
              </w:rPr>
              <w:t>(8,167)</w:t>
            </w: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(8,167)</w:t>
            </w:r>
          </w:p>
        </w:tc>
        <w:tc>
          <w:tcPr>
            <w:tcW w:w="140" w:type="dxa"/>
            <w:vAlign w:val="bottom"/>
            <w:shd w:val="clear" w:color="auto" w:fill="CCEEFF"/>
          </w:tcPr>
          <w:p>
            <w:pPr>
              <w:spacing w:after="0"/>
              <w:rPr>
                <w:sz w:val="5"/>
                <w:szCs w:val="5"/>
                <w:color w:val="auto"/>
              </w:rPr>
            </w:pPr>
          </w:p>
        </w:tc>
        <w:tc>
          <w:tcPr>
            <w:tcW w:w="78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(3)</w:t>
            </w: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(8,170)</w:t>
            </w:r>
          </w:p>
        </w:tc>
        <w:tc>
          <w:tcPr>
            <w:tcW w:w="0" w:type="dxa"/>
            <w:vAlign w:val="bottom"/>
          </w:tcPr>
          <w:p>
            <w:pPr>
              <w:spacing w:after="0"/>
              <w:rPr>
                <w:sz w:val="1"/>
                <w:szCs w:val="1"/>
                <w:color w:val="auto"/>
              </w:rPr>
            </w:pPr>
          </w:p>
        </w:tc>
      </w:tr>
      <w:tr>
        <w:trPr>
          <w:trHeight w:val="68"/>
        </w:trPr>
        <w:tc>
          <w:tcPr>
            <w:tcW w:w="2340" w:type="dxa"/>
            <w:vAlign w:val="bottom"/>
            <w:tcBorders>
              <w:right w:val="single" w:sz="8" w:color="auto"/>
            </w:tcBorders>
          </w:tcPr>
          <w:p>
            <w:pPr>
              <w:spacing w:after="0" w:line="68" w:lineRule="exact"/>
              <w:rPr>
                <w:sz w:val="20"/>
                <w:szCs w:val="20"/>
                <w:color w:val="auto"/>
              </w:rPr>
            </w:pPr>
            <w:r>
              <w:rPr>
                <w:rFonts w:ascii="Arial" w:cs="Arial" w:eastAsia="Arial" w:hAnsi="Arial"/>
                <w:sz w:val="7"/>
                <w:szCs w:val="7"/>
                <w:color w:val="auto"/>
              </w:rPr>
              <w:t>Share-based compensation expense</w:t>
            </w:r>
          </w:p>
        </w:tc>
        <w:tc>
          <w:tcPr>
            <w:tcW w:w="70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42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700" w:type="dxa"/>
            <w:vAlign w:val="bottom"/>
            <w:tcBorders>
              <w:right w:val="single" w:sz="8" w:color="auto"/>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440" w:type="dxa"/>
            <w:vAlign w:val="bottom"/>
            <w:tcBorders>
              <w:right w:val="single" w:sz="8" w:color="auto"/>
            </w:tcBorders>
          </w:tcPr>
          <w:p>
            <w:pPr>
              <w:ind w:left="300"/>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520" w:type="dxa"/>
            <w:vAlign w:val="bottom"/>
          </w:tcPr>
          <w:p>
            <w:pPr>
              <w:jc w:val="right"/>
              <w:ind w:right="8"/>
              <w:spacing w:after="0" w:line="68" w:lineRule="exact"/>
              <w:rPr>
                <w:sz w:val="20"/>
                <w:szCs w:val="20"/>
                <w:color w:val="auto"/>
              </w:rPr>
            </w:pPr>
            <w:r>
              <w:rPr>
                <w:rFonts w:ascii="Arial" w:cs="Arial" w:eastAsia="Arial" w:hAnsi="Arial"/>
                <w:sz w:val="7"/>
                <w:szCs w:val="7"/>
                <w:color w:val="auto"/>
              </w:rPr>
              <w:t>497</w:t>
            </w:r>
          </w:p>
        </w:tc>
        <w:tc>
          <w:tcPr>
            <w:tcW w:w="120" w:type="dxa"/>
            <w:vAlign w:val="bottom"/>
          </w:tcPr>
          <w:p>
            <w:pPr>
              <w:spacing w:after="0"/>
              <w:rPr>
                <w:sz w:val="5"/>
                <w:szCs w:val="5"/>
                <w:color w:val="auto"/>
              </w:rPr>
            </w:pPr>
          </w:p>
        </w:tc>
        <w:tc>
          <w:tcPr>
            <w:tcW w:w="7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520" w:type="dxa"/>
            <w:vAlign w:val="bottom"/>
          </w:tcPr>
          <w:p>
            <w:pPr>
              <w:jc w:val="right"/>
              <w:ind w:right="7"/>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40" w:type="dxa"/>
            <w:vAlign w:val="bottom"/>
          </w:tcPr>
          <w:p>
            <w:pPr>
              <w:jc w:val="right"/>
              <w:ind w:right="28"/>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920" w:type="dxa"/>
            <w:vAlign w:val="bottom"/>
          </w:tcPr>
          <w:p>
            <w:pPr>
              <w:jc w:val="right"/>
              <w:ind w:right="8"/>
              <w:spacing w:after="0" w:line="68" w:lineRule="exact"/>
              <w:rPr>
                <w:sz w:val="20"/>
                <w:szCs w:val="20"/>
                <w:color w:val="auto"/>
              </w:rPr>
            </w:pPr>
            <w:r>
              <w:rPr>
                <w:rFonts w:ascii="Arial" w:cs="Arial" w:eastAsia="Arial" w:hAnsi="Arial"/>
                <w:sz w:val="7"/>
                <w:szCs w:val="7"/>
                <w:color w:val="auto"/>
              </w:rPr>
              <w:t>497</w:t>
            </w:r>
          </w:p>
        </w:tc>
        <w:tc>
          <w:tcPr>
            <w:tcW w:w="140" w:type="dxa"/>
            <w:vAlign w:val="bottom"/>
          </w:tcPr>
          <w:p>
            <w:pPr>
              <w:spacing w:after="0"/>
              <w:rPr>
                <w:sz w:val="5"/>
                <w:szCs w:val="5"/>
                <w:color w:val="auto"/>
              </w:rPr>
            </w:pPr>
          </w:p>
        </w:tc>
        <w:tc>
          <w:tcPr>
            <w:tcW w:w="780" w:type="dxa"/>
            <w:vAlign w:val="bottom"/>
          </w:tcPr>
          <w:p>
            <w:pPr>
              <w:jc w:val="right"/>
              <w:ind w:right="7"/>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660" w:type="dxa"/>
            <w:vAlign w:val="bottom"/>
          </w:tcPr>
          <w:p>
            <w:pPr>
              <w:jc w:val="right"/>
              <w:spacing w:after="0" w:line="68" w:lineRule="exact"/>
              <w:rPr>
                <w:sz w:val="20"/>
                <w:szCs w:val="20"/>
                <w:color w:val="auto"/>
              </w:rPr>
            </w:pPr>
            <w:r>
              <w:rPr>
                <w:rFonts w:ascii="Arial" w:cs="Arial" w:eastAsia="Arial" w:hAnsi="Arial"/>
                <w:sz w:val="7"/>
                <w:szCs w:val="7"/>
                <w:color w:val="auto"/>
              </w:rPr>
              <w:t>497</w:t>
            </w:r>
          </w:p>
        </w:tc>
        <w:tc>
          <w:tcPr>
            <w:tcW w:w="0" w:type="dxa"/>
            <w:vAlign w:val="bottom"/>
          </w:tcPr>
          <w:p>
            <w:pPr>
              <w:spacing w:after="0"/>
              <w:rPr>
                <w:sz w:val="1"/>
                <w:szCs w:val="1"/>
                <w:color w:val="auto"/>
              </w:rPr>
            </w:pPr>
          </w:p>
        </w:tc>
      </w:tr>
      <w:tr>
        <w:trPr>
          <w:trHeight w:val="68"/>
        </w:trPr>
        <w:tc>
          <w:tcPr>
            <w:tcW w:w="2340" w:type="dxa"/>
            <w:vAlign w:val="bottom"/>
            <w:tcBorders>
              <w:bottom w:val="single" w:sz="8" w:color="auto"/>
              <w:right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Distributions to noncontrolling stockholders</w:t>
            </w:r>
          </w:p>
        </w:tc>
        <w:tc>
          <w:tcPr>
            <w:tcW w:w="700" w:type="dxa"/>
            <w:vAlign w:val="bottom"/>
            <w:tcBorders>
              <w:bottom w:val="single" w:sz="8" w:color="auto"/>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auto"/>
            </w:tcBorders>
            <w:shd w:val="clear" w:color="auto" w:fill="CCEEFF"/>
          </w:tcPr>
          <w:p>
            <w:pPr>
              <w:spacing w:after="0"/>
              <w:rPr>
                <w:sz w:val="5"/>
                <w:szCs w:val="5"/>
                <w:color w:val="auto"/>
              </w:rPr>
            </w:pPr>
          </w:p>
        </w:tc>
        <w:tc>
          <w:tcPr>
            <w:tcW w:w="4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right w:val="single" w:sz="8" w:color="auto"/>
            </w:tcBorders>
            <w:shd w:val="clear" w:color="auto" w:fill="CCEEFF"/>
          </w:tcPr>
          <w:p>
            <w:pPr>
              <w:ind w:left="300"/>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jc w:val="right"/>
              <w:ind w:right="28"/>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(21)</w:t>
            </w:r>
          </w:p>
        </w:tc>
        <w:tc>
          <w:tcPr>
            <w:tcW w:w="10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(21)</w:t>
            </w:r>
          </w:p>
        </w:tc>
        <w:tc>
          <w:tcPr>
            <w:tcW w:w="0" w:type="dxa"/>
            <w:vAlign w:val="bottom"/>
          </w:tcPr>
          <w:p>
            <w:pPr>
              <w:spacing w:after="0"/>
              <w:rPr>
                <w:sz w:val="1"/>
                <w:szCs w:val="1"/>
                <w:color w:val="auto"/>
              </w:rPr>
            </w:pPr>
          </w:p>
        </w:tc>
      </w:tr>
      <w:tr>
        <w:trPr>
          <w:trHeight w:val="55"/>
        </w:trPr>
        <w:tc>
          <w:tcPr>
            <w:tcW w:w="2340" w:type="dxa"/>
            <w:vAlign w:val="bottom"/>
            <w:tcBorders>
              <w:bottom w:val="single" w:sz="8" w:color="auto"/>
              <w:right w:val="single" w:sz="8" w:color="auto"/>
            </w:tcBorders>
          </w:tcPr>
          <w:p>
            <w:pPr>
              <w:spacing w:after="0" w:line="55" w:lineRule="exact"/>
              <w:rPr>
                <w:sz w:val="20"/>
                <w:szCs w:val="20"/>
                <w:color w:val="auto"/>
              </w:rPr>
            </w:pPr>
            <w:r>
              <w:rPr>
                <w:rFonts w:ascii="Arial" w:cs="Arial" w:eastAsia="Arial" w:hAnsi="Arial"/>
                <w:sz w:val="6"/>
                <w:szCs w:val="6"/>
                <w:color w:val="auto"/>
              </w:rPr>
              <w:t>At September 30, 2022</w:t>
            </w:r>
          </w:p>
        </w:tc>
        <w:tc>
          <w:tcPr>
            <w:tcW w:w="700" w:type="dxa"/>
            <w:vAlign w:val="bottom"/>
            <w:tcBorders>
              <w:bottom w:val="single" w:sz="8" w:color="auto"/>
              <w:right w:val="single" w:sz="8" w:color="auto"/>
            </w:tcBorders>
          </w:tcPr>
          <w:p>
            <w:pPr>
              <w:jc w:val="right"/>
              <w:ind w:right="48"/>
              <w:spacing w:after="0" w:line="55" w:lineRule="exact"/>
              <w:rPr>
                <w:sz w:val="20"/>
                <w:szCs w:val="20"/>
                <w:color w:val="auto"/>
              </w:rPr>
            </w:pPr>
            <w:r>
              <w:rPr>
                <w:rFonts w:ascii="Arial" w:cs="Arial" w:eastAsia="Arial" w:hAnsi="Arial"/>
                <w:sz w:val="6"/>
                <w:szCs w:val="6"/>
                <w:color w:val="auto"/>
              </w:rPr>
              <w:t>20,361</w:t>
            </w:r>
          </w:p>
        </w:tc>
        <w:tc>
          <w:tcPr>
            <w:tcW w:w="100" w:type="dxa"/>
            <w:vAlign w:val="bottom"/>
            <w:tcBorders>
              <w:bottom w:val="single" w:sz="8" w:color="auto"/>
            </w:tcBorders>
          </w:tcPr>
          <w:p>
            <w:pPr>
              <w:jc w:val="right"/>
              <w:ind w:right="12"/>
              <w:spacing w:after="0" w:line="55"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auto"/>
              <w:right w:val="single" w:sz="8" w:color="auto"/>
            </w:tcBorders>
          </w:tcPr>
          <w:p>
            <w:pPr>
              <w:jc w:val="right"/>
              <w:ind w:right="28"/>
              <w:spacing w:after="0" w:line="55" w:lineRule="exact"/>
              <w:rPr>
                <w:sz w:val="20"/>
                <w:szCs w:val="20"/>
                <w:color w:val="auto"/>
              </w:rPr>
            </w:pPr>
            <w:r>
              <w:rPr>
                <w:rFonts w:ascii="Arial" w:cs="Arial" w:eastAsia="Arial" w:hAnsi="Arial"/>
                <w:sz w:val="6"/>
                <w:szCs w:val="6"/>
                <w:color w:val="auto"/>
              </w:rPr>
              <w:t>234</w:t>
            </w:r>
          </w:p>
        </w:tc>
        <w:tc>
          <w:tcPr>
            <w:tcW w:w="700" w:type="dxa"/>
            <w:vAlign w:val="bottom"/>
            <w:tcBorders>
              <w:bottom w:val="single" w:sz="8" w:color="auto"/>
              <w:right w:val="single" w:sz="8" w:color="auto"/>
            </w:tcBorders>
          </w:tcPr>
          <w:p>
            <w:pPr>
              <w:jc w:val="right"/>
              <w:ind w:right="48"/>
              <w:spacing w:after="0" w:line="55" w:lineRule="exact"/>
              <w:rPr>
                <w:sz w:val="20"/>
                <w:szCs w:val="20"/>
                <w:color w:val="auto"/>
              </w:rPr>
            </w:pPr>
            <w:r>
              <w:rPr>
                <w:rFonts w:ascii="Arial" w:cs="Arial" w:eastAsia="Arial" w:hAnsi="Arial"/>
                <w:sz w:val="6"/>
                <w:szCs w:val="6"/>
                <w:color w:val="auto"/>
              </w:rPr>
              <w:t>1,680</w:t>
            </w:r>
          </w:p>
        </w:tc>
        <w:tc>
          <w:tcPr>
            <w:tcW w:w="120" w:type="dxa"/>
            <w:vAlign w:val="bottom"/>
            <w:tcBorders>
              <w:bottom w:val="single" w:sz="8" w:color="auto"/>
            </w:tcBorders>
          </w:tcPr>
          <w:p>
            <w:pPr>
              <w:jc w:val="right"/>
              <w:ind w:right="12"/>
              <w:spacing w:after="0" w:line="55" w:lineRule="exact"/>
              <w:rPr>
                <w:sz w:val="20"/>
                <w:szCs w:val="20"/>
                <w:color w:val="auto"/>
              </w:rPr>
            </w:pPr>
            <w:r>
              <w:rPr>
                <w:rFonts w:ascii="Arial" w:cs="Arial" w:eastAsia="Arial" w:hAnsi="Arial"/>
                <w:sz w:val="6"/>
                <w:szCs w:val="6"/>
                <w:color w:val="auto"/>
              </w:rPr>
              <w:t>$</w:t>
            </w:r>
          </w:p>
        </w:tc>
        <w:tc>
          <w:tcPr>
            <w:tcW w:w="440" w:type="dxa"/>
            <w:vAlign w:val="bottom"/>
            <w:tcBorders>
              <w:bottom w:val="single" w:sz="8" w:color="auto"/>
              <w:right w:val="single" w:sz="8" w:color="auto"/>
            </w:tcBorders>
          </w:tcPr>
          <w:p>
            <w:pPr>
              <w:ind w:left="300"/>
              <w:spacing w:after="0" w:line="55" w:lineRule="exact"/>
              <w:rPr>
                <w:sz w:val="20"/>
                <w:szCs w:val="20"/>
                <w:color w:val="auto"/>
              </w:rPr>
            </w:pPr>
            <w:r>
              <w:rPr>
                <w:rFonts w:ascii="Arial" w:cs="Arial" w:eastAsia="Arial" w:hAnsi="Arial"/>
                <w:sz w:val="6"/>
                <w:szCs w:val="6"/>
                <w:color w:val="auto"/>
              </w:rPr>
              <w:t>17</w:t>
            </w:r>
          </w:p>
        </w:tc>
        <w:tc>
          <w:tcPr>
            <w:tcW w:w="120" w:type="dxa"/>
            <w:vAlign w:val="bottom"/>
            <w:tcBorders>
              <w:bottom w:val="single" w:sz="8" w:color="auto"/>
            </w:tcBorders>
          </w:tcPr>
          <w:p>
            <w:pPr>
              <w:jc w:val="right"/>
              <w:ind w:right="12"/>
              <w:spacing w:after="0" w:line="55"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auto"/>
            </w:tcBorders>
          </w:tcPr>
          <w:p>
            <w:pPr>
              <w:jc w:val="right"/>
              <w:ind w:right="8"/>
              <w:spacing w:after="0" w:line="55" w:lineRule="exact"/>
              <w:rPr>
                <w:sz w:val="20"/>
                <w:szCs w:val="20"/>
                <w:color w:val="auto"/>
              </w:rPr>
            </w:pPr>
            <w:r>
              <w:rPr>
                <w:rFonts w:ascii="Arial" w:cs="Arial" w:eastAsia="Arial" w:hAnsi="Arial"/>
                <w:sz w:val="6"/>
                <w:szCs w:val="6"/>
                <w:color w:val="auto"/>
              </w:rPr>
              <w:t>153,275</w:t>
            </w:r>
          </w:p>
        </w:tc>
        <w:tc>
          <w:tcPr>
            <w:tcW w:w="120" w:type="dxa"/>
            <w:vAlign w:val="bottom"/>
            <w:tcBorders>
              <w:bottom w:val="single" w:sz="8" w:color="auto"/>
            </w:tcBorders>
          </w:tcPr>
          <w:p>
            <w:pPr>
              <w:jc w:val="right"/>
              <w:ind w:right="12"/>
              <w:spacing w:after="0" w:line="55" w:lineRule="exact"/>
              <w:rPr>
                <w:sz w:val="20"/>
                <w:szCs w:val="20"/>
                <w:color w:val="auto"/>
              </w:rPr>
            </w:pPr>
            <w:r>
              <w:rPr>
                <w:rFonts w:ascii="Arial" w:cs="Arial" w:eastAsia="Arial" w:hAnsi="Arial"/>
                <w:sz w:val="6"/>
                <w:szCs w:val="6"/>
                <w:color w:val="auto"/>
              </w:rPr>
              <w:t>$</w:t>
            </w:r>
          </w:p>
        </w:tc>
        <w:tc>
          <w:tcPr>
            <w:tcW w:w="720" w:type="dxa"/>
            <w:vAlign w:val="bottom"/>
            <w:tcBorders>
              <w:bottom w:val="single" w:sz="8" w:color="auto"/>
            </w:tcBorders>
          </w:tcPr>
          <w:p>
            <w:pPr>
              <w:jc w:val="right"/>
              <w:spacing w:after="0" w:line="55" w:lineRule="exact"/>
              <w:rPr>
                <w:sz w:val="20"/>
                <w:szCs w:val="20"/>
                <w:color w:val="auto"/>
              </w:rPr>
            </w:pPr>
            <w:r>
              <w:rPr>
                <w:rFonts w:ascii="Arial" w:cs="Arial" w:eastAsia="Arial" w:hAnsi="Arial"/>
                <w:sz w:val="6"/>
                <w:szCs w:val="6"/>
                <w:color w:val="auto"/>
              </w:rPr>
              <w:t>(35,599)</w:t>
            </w:r>
          </w:p>
        </w:tc>
        <w:tc>
          <w:tcPr>
            <w:tcW w:w="100" w:type="dxa"/>
            <w:vAlign w:val="bottom"/>
            <w:tcBorders>
              <w:bottom w:val="single" w:sz="8" w:color="auto"/>
            </w:tcBorders>
          </w:tcPr>
          <w:p>
            <w:pPr>
              <w:jc w:val="right"/>
              <w:spacing w:after="0" w:line="55"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auto"/>
            </w:tcBorders>
          </w:tcPr>
          <w:p>
            <w:pPr>
              <w:jc w:val="right"/>
              <w:ind w:right="7"/>
              <w:spacing w:after="0" w:line="55" w:lineRule="exact"/>
              <w:rPr>
                <w:sz w:val="20"/>
                <w:szCs w:val="20"/>
                <w:color w:val="auto"/>
              </w:rPr>
            </w:pPr>
            <w:r>
              <w:rPr>
                <w:rFonts w:ascii="Arial" w:cs="Arial" w:eastAsia="Arial" w:hAnsi="Arial"/>
                <w:sz w:val="6"/>
                <w:szCs w:val="6"/>
                <w:color w:val="auto"/>
              </w:rPr>
              <w:t>(40,407)</w:t>
            </w:r>
          </w:p>
        </w:tc>
        <w:tc>
          <w:tcPr>
            <w:tcW w:w="120" w:type="dxa"/>
            <w:vAlign w:val="bottom"/>
            <w:tcBorders>
              <w:bottom w:val="single" w:sz="8" w:color="auto"/>
            </w:tcBorders>
          </w:tcPr>
          <w:p>
            <w:pPr>
              <w:jc w:val="right"/>
              <w:ind w:right="12"/>
              <w:spacing w:after="0" w:line="55" w:lineRule="exact"/>
              <w:rPr>
                <w:sz w:val="20"/>
                <w:szCs w:val="20"/>
                <w:color w:val="auto"/>
              </w:rPr>
            </w:pPr>
            <w:r>
              <w:rPr>
                <w:rFonts w:ascii="Arial" w:cs="Arial" w:eastAsia="Arial" w:hAnsi="Arial"/>
                <w:sz w:val="6"/>
                <w:szCs w:val="6"/>
                <w:color w:val="auto"/>
              </w:rPr>
              <w:t>$</w:t>
            </w:r>
          </w:p>
        </w:tc>
        <w:tc>
          <w:tcPr>
            <w:tcW w:w="840" w:type="dxa"/>
            <w:vAlign w:val="bottom"/>
            <w:tcBorders>
              <w:bottom w:val="single" w:sz="8" w:color="auto"/>
            </w:tcBorders>
          </w:tcPr>
          <w:p>
            <w:pPr>
              <w:jc w:val="right"/>
              <w:ind w:right="28"/>
              <w:spacing w:after="0" w:line="55" w:lineRule="exact"/>
              <w:rPr>
                <w:sz w:val="20"/>
                <w:szCs w:val="20"/>
                <w:color w:val="auto"/>
              </w:rPr>
            </w:pPr>
            <w:r>
              <w:rPr>
                <w:rFonts w:ascii="Arial" w:cs="Arial" w:eastAsia="Arial" w:hAnsi="Arial"/>
                <w:sz w:val="6"/>
                <w:szCs w:val="6"/>
                <w:color w:val="auto"/>
              </w:rPr>
              <w:t>(8,979)</w:t>
            </w:r>
          </w:p>
        </w:tc>
        <w:tc>
          <w:tcPr>
            <w:tcW w:w="140" w:type="dxa"/>
            <w:vAlign w:val="bottom"/>
            <w:tcBorders>
              <w:bottom w:val="single" w:sz="8" w:color="auto"/>
            </w:tcBorders>
          </w:tcPr>
          <w:p>
            <w:pPr>
              <w:jc w:val="right"/>
              <w:ind w:right="32"/>
              <w:spacing w:after="0" w:line="55" w:lineRule="exact"/>
              <w:rPr>
                <w:sz w:val="20"/>
                <w:szCs w:val="20"/>
                <w:color w:val="auto"/>
              </w:rPr>
            </w:pPr>
            <w:r>
              <w:rPr>
                <w:rFonts w:ascii="Arial" w:cs="Arial" w:eastAsia="Arial" w:hAnsi="Arial"/>
                <w:sz w:val="6"/>
                <w:szCs w:val="6"/>
                <w:color w:val="auto"/>
              </w:rPr>
              <w:t>$</w:t>
            </w:r>
          </w:p>
        </w:tc>
        <w:tc>
          <w:tcPr>
            <w:tcW w:w="920" w:type="dxa"/>
            <w:vAlign w:val="bottom"/>
            <w:tcBorders>
              <w:bottom w:val="single" w:sz="8" w:color="auto"/>
            </w:tcBorders>
          </w:tcPr>
          <w:p>
            <w:pPr>
              <w:jc w:val="right"/>
              <w:ind w:right="8"/>
              <w:spacing w:after="0" w:line="55" w:lineRule="exact"/>
              <w:rPr>
                <w:sz w:val="20"/>
                <w:szCs w:val="20"/>
                <w:color w:val="auto"/>
              </w:rPr>
            </w:pPr>
            <w:r>
              <w:rPr>
                <w:rFonts w:ascii="Arial" w:cs="Arial" w:eastAsia="Arial" w:hAnsi="Arial"/>
                <w:sz w:val="6"/>
                <w:szCs w:val="6"/>
                <w:color w:val="auto"/>
              </w:rPr>
              <w:t>68,541</w:t>
            </w:r>
          </w:p>
        </w:tc>
        <w:tc>
          <w:tcPr>
            <w:tcW w:w="140" w:type="dxa"/>
            <w:vAlign w:val="bottom"/>
            <w:tcBorders>
              <w:bottom w:val="single" w:sz="8" w:color="auto"/>
            </w:tcBorders>
          </w:tcPr>
          <w:p>
            <w:pPr>
              <w:jc w:val="right"/>
              <w:ind w:right="32"/>
              <w:spacing w:after="0" w:line="55" w:lineRule="exact"/>
              <w:rPr>
                <w:sz w:val="20"/>
                <w:szCs w:val="20"/>
                <w:color w:val="auto"/>
              </w:rPr>
            </w:pPr>
            <w:r>
              <w:rPr>
                <w:rFonts w:ascii="Arial" w:cs="Arial" w:eastAsia="Arial" w:hAnsi="Arial"/>
                <w:sz w:val="6"/>
                <w:szCs w:val="6"/>
                <w:color w:val="auto"/>
              </w:rPr>
              <w:t>$</w:t>
            </w:r>
          </w:p>
        </w:tc>
        <w:tc>
          <w:tcPr>
            <w:tcW w:w="780" w:type="dxa"/>
            <w:vAlign w:val="bottom"/>
            <w:tcBorders>
              <w:bottom w:val="single" w:sz="8" w:color="auto"/>
            </w:tcBorders>
          </w:tcPr>
          <w:p>
            <w:pPr>
              <w:jc w:val="right"/>
              <w:ind w:right="7"/>
              <w:spacing w:after="0" w:line="55" w:lineRule="exact"/>
              <w:rPr>
                <w:sz w:val="20"/>
                <w:szCs w:val="20"/>
                <w:color w:val="auto"/>
              </w:rPr>
            </w:pPr>
            <w:r>
              <w:rPr>
                <w:rFonts w:ascii="Arial" w:cs="Arial" w:eastAsia="Arial" w:hAnsi="Arial"/>
                <w:sz w:val="6"/>
                <w:szCs w:val="6"/>
                <w:color w:val="auto"/>
              </w:rPr>
              <w:t>693</w:t>
            </w:r>
          </w:p>
        </w:tc>
        <w:tc>
          <w:tcPr>
            <w:tcW w:w="100" w:type="dxa"/>
            <w:vAlign w:val="bottom"/>
            <w:tcBorders>
              <w:bottom w:val="single" w:sz="8" w:color="auto"/>
            </w:tcBorders>
          </w:tcPr>
          <w:p>
            <w:pPr>
              <w:jc w:val="right"/>
              <w:spacing w:after="0" w:line="55"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auto"/>
            </w:tcBorders>
          </w:tcPr>
          <w:p>
            <w:pPr>
              <w:jc w:val="right"/>
              <w:spacing w:after="0" w:line="55" w:lineRule="exact"/>
              <w:rPr>
                <w:sz w:val="20"/>
                <w:szCs w:val="20"/>
                <w:color w:val="auto"/>
              </w:rPr>
            </w:pPr>
            <w:r>
              <w:rPr>
                <w:rFonts w:ascii="Arial" w:cs="Arial" w:eastAsia="Arial" w:hAnsi="Arial"/>
                <w:sz w:val="6"/>
                <w:szCs w:val="6"/>
                <w:color w:val="auto"/>
              </w:rPr>
              <w:t>69,234</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17 – Stock-Based Compensation and Stock Repurchases</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Employee and Director Stock Incentive Plan</w:t>
      </w:r>
    </w:p>
    <w:p>
      <w:pPr>
        <w:spacing w:after="0" w:line="97"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2020 Stock Incentive Plan</w:t>
      </w:r>
    </w:p>
    <w:p>
      <w:pPr>
        <w:ind w:right="60"/>
        <w:spacing w:after="0" w:line="225" w:lineRule="auto"/>
        <w:rPr>
          <w:sz w:val="20"/>
          <w:szCs w:val="20"/>
          <w:color w:val="auto"/>
        </w:rPr>
      </w:pPr>
      <w:r>
        <w:rPr>
          <w:rFonts w:ascii="Arial" w:cs="Arial" w:eastAsia="Arial" w:hAnsi="Arial"/>
          <w:sz w:val="10"/>
          <w:szCs w:val="10"/>
          <w:color w:val="auto"/>
        </w:rPr>
        <w:t>On November 4, 2020, the Company enacted the 2020 Stock Incentive Plan, which was also approved by the Company’s stockholders on December 8, 2020 (the “2020 Plan”). Under the 2020 Plan, the number of permitted authorized shares for issuance was 1,250,000 (the “2020 Authorized Amount”). Added to the 2020 Authorized Amount would be any awards outstanding under the 2010 Plan and 2020 Plan that were subsequently forfeited (for instance, through a then outstanding out of the money option) or if the related shares are repurchased, a corresponding number of shares would automatically become available for issuance under the 2020 Plan, thus resulting in a potential increase from the 2020 Authorized Amount available for issuance under the 2020 Plan.</w:t>
      </w:r>
    </w:p>
    <w:p>
      <w:pPr>
        <w:spacing w:after="0" w:line="88" w:lineRule="exact"/>
        <w:rPr>
          <w:sz w:val="20"/>
          <w:szCs w:val="20"/>
          <w:color w:val="auto"/>
        </w:rPr>
      </w:pPr>
    </w:p>
    <w:p>
      <w:pPr>
        <w:ind w:right="160"/>
        <w:spacing w:after="0" w:line="237" w:lineRule="auto"/>
        <w:rPr>
          <w:sz w:val="20"/>
          <w:szCs w:val="20"/>
          <w:color w:val="auto"/>
        </w:rPr>
      </w:pPr>
      <w:r>
        <w:rPr>
          <w:rFonts w:ascii="Arial" w:cs="Arial" w:eastAsia="Arial" w:hAnsi="Arial"/>
          <w:sz w:val="10"/>
          <w:szCs w:val="10"/>
          <w:color w:val="auto"/>
        </w:rPr>
        <w:t>Under the 2020 Plan, the Company may grant stock options and other share-based payment awards of our Class A Common Stock to eligible employees, directors and consultants. At September 30, 2023, there were 278,193 shares of Class A Common Stock available for issuance under the 2020 Plan, which includes shares from the 2010 Plan that become available for issuance due to the forfeiture of then outstanding out of the money stock options.</w:t>
      </w:r>
    </w:p>
    <w:p>
      <w:pPr>
        <w:spacing w:after="0" w:line="88" w:lineRule="exact"/>
        <w:rPr>
          <w:sz w:val="20"/>
          <w:szCs w:val="20"/>
          <w:color w:val="auto"/>
        </w:rPr>
      </w:pPr>
    </w:p>
    <w:p>
      <w:pPr>
        <w:ind w:right="120"/>
        <w:spacing w:after="0" w:line="228" w:lineRule="auto"/>
        <w:rPr>
          <w:sz w:val="20"/>
          <w:szCs w:val="20"/>
          <w:color w:val="auto"/>
        </w:rPr>
      </w:pPr>
      <w:r>
        <w:rPr>
          <w:rFonts w:ascii="Arial" w:cs="Arial" w:eastAsia="Arial" w:hAnsi="Arial"/>
          <w:sz w:val="10"/>
          <w:szCs w:val="10"/>
          <w:color w:val="auto"/>
        </w:rPr>
        <w:t>Stock options are granted at exercise prices equal to the grant-date market prices and typically expire no later than five years from the grant date. In contrast to a stock option where the grantee buys our Company’s share at an exercise price determined on the grant date, a restricted stock unit (“RSU”) entitles the grantee to receive one share for every RSU based on a vesting plan, typically between one year and four years from grant. As discussed further below, a performance component has been added to certain of the RSUs granted to management. At the time the options are exercised or RSUs vest and are settled, at the discretion of management, we will issue treasury shares or make a new issuance of shares to the option or RSU holder.</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Stock Options</w:t>
      </w:r>
    </w:p>
    <w:p>
      <w:pPr>
        <w:ind w:right="160"/>
        <w:spacing w:after="0" w:line="226" w:lineRule="auto"/>
        <w:rPr>
          <w:sz w:val="20"/>
          <w:szCs w:val="20"/>
          <w:color w:val="auto"/>
        </w:rPr>
      </w:pPr>
      <w:r>
        <w:rPr>
          <w:rFonts w:ascii="Arial" w:cs="Arial" w:eastAsia="Arial" w:hAnsi="Arial"/>
          <w:sz w:val="10"/>
          <w:szCs w:val="10"/>
          <w:color w:val="auto"/>
        </w:rPr>
        <w:t>We have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spacing w:after="0" w:line="89" w:lineRule="exact"/>
        <w:rPr>
          <w:sz w:val="20"/>
          <w:szCs w:val="20"/>
          <w:color w:val="auto"/>
        </w:rPr>
      </w:pPr>
    </w:p>
    <w:p>
      <w:pPr>
        <w:spacing w:after="0"/>
        <w:rPr>
          <w:sz w:val="20"/>
          <w:szCs w:val="20"/>
          <w:color w:val="auto"/>
        </w:rPr>
      </w:pPr>
      <w:r>
        <w:rPr>
          <w:rFonts w:ascii="Arial" w:cs="Arial" w:eastAsia="Arial" w:hAnsi="Arial"/>
          <w:sz w:val="10"/>
          <w:szCs w:val="10"/>
          <w:color w:val="auto"/>
        </w:rPr>
        <w:t>No stock options were issued in the nine months ended September 30, 2023.</w:t>
      </w:r>
    </w:p>
    <w:p>
      <w:pPr>
        <w:spacing w:after="0" w:line="95" w:lineRule="exact"/>
        <w:rPr>
          <w:sz w:val="20"/>
          <w:szCs w:val="20"/>
          <w:color w:val="auto"/>
        </w:rPr>
      </w:pPr>
    </w:p>
    <w:p>
      <w:pPr>
        <w:ind w:right="40"/>
        <w:spacing w:after="0" w:line="265" w:lineRule="auto"/>
        <w:rPr>
          <w:sz w:val="20"/>
          <w:szCs w:val="20"/>
          <w:color w:val="auto"/>
        </w:rPr>
      </w:pPr>
      <w:r>
        <w:rPr>
          <w:rFonts w:ascii="Arial" w:cs="Arial" w:eastAsia="Arial" w:hAnsi="Arial"/>
          <w:sz w:val="9"/>
          <w:szCs w:val="9"/>
          <w:color w:val="auto"/>
        </w:rPr>
        <w:t>For the quarters ended September 30, 2023, and 2022, we recorded a compensation expense of $9,000 and $53,000, respectively. For the nine months ended September 30, 2023, and 2022, we recorded a compensation expense of $27,000 and $159,000, respectively, with respect to our prior stock option grants. At September 30, 2023, the total unrecognized estimated compensation expense related to non-vested stock options was $9,000, which we expect to recognize over a weighted average vesting period of 0.25 years. The intrinsic, unrealized value of all options outstanding vested and expected to vest, at September 30, 2023, was nil, as the closing price of our Class A Common Stock on that date was $2.12.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2" w:right="640" w:bottom="1440" w:gutter="0" w:footer="0" w:header="0"/>
        </w:sectPr>
      </w:pPr>
    </w:p>
    <w:bookmarkStart w:id="21" w:name="page22"/>
    <w:bookmarkEnd w:id="21"/>
    <w:p>
      <w:pPr>
        <w:spacing w:after="0"/>
        <w:rPr>
          <w:sz w:val="20"/>
          <w:szCs w:val="20"/>
          <w:color w:val="auto"/>
        </w:rPr>
      </w:pPr>
      <w:r>
        <w:rPr>
          <w:rFonts w:ascii="Arial" w:cs="Arial" w:eastAsia="Arial" w:hAnsi="Arial"/>
          <w:sz w:val="10"/>
          <w:szCs w:val="10"/>
          <w:color w:val="auto"/>
        </w:rPr>
        <w:t>The following table summarizes the number of options outstanding and exercisable as of September 30, 2023, and December 31,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00"/>
        </w:trPr>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gridSpan w:val="7"/>
          </w:tcPr>
          <w:p>
            <w:pPr>
              <w:ind w:left="60"/>
              <w:spacing w:after="0"/>
              <w:rPr>
                <w:sz w:val="20"/>
                <w:szCs w:val="20"/>
                <w:color w:val="auto"/>
              </w:rPr>
            </w:pPr>
            <w:r>
              <w:rPr>
                <w:rFonts w:ascii="Arial" w:cs="Arial" w:eastAsia="Arial" w:hAnsi="Arial"/>
                <w:sz w:val="8"/>
                <w:szCs w:val="8"/>
                <w:b w:val="1"/>
                <w:bCs w:val="1"/>
                <w:color w:val="auto"/>
              </w:rPr>
              <w:t>Outstanding Stock Options - Class A Shares</w:t>
            </w: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tcPr>
          <w:p>
            <w:pPr>
              <w:jc w:val="center"/>
              <w:ind w:right="400"/>
              <w:spacing w:after="0" w:line="63" w:lineRule="exact"/>
              <w:rPr>
                <w:sz w:val="20"/>
                <w:szCs w:val="20"/>
                <w:color w:val="auto"/>
              </w:rPr>
            </w:pPr>
            <w:r>
              <w:rPr>
                <w:rFonts w:ascii="Arial" w:cs="Arial" w:eastAsia="Arial" w:hAnsi="Arial"/>
                <w:sz w:val="7"/>
                <w:szCs w:val="7"/>
                <w:b w:val="1"/>
                <w:bCs w:val="1"/>
                <w:color w:val="auto"/>
              </w:rPr>
              <w:t>Weighted</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tcPr>
          <w:p>
            <w:pPr>
              <w:jc w:val="center"/>
              <w:ind w:right="420"/>
              <w:spacing w:after="0" w:line="83" w:lineRule="exact"/>
              <w:rPr>
                <w:sz w:val="20"/>
                <w:szCs w:val="20"/>
                <w:color w:val="auto"/>
              </w:rPr>
            </w:pPr>
            <w:r>
              <w:rPr>
                <w:rFonts w:ascii="Arial" w:cs="Arial" w:eastAsia="Arial" w:hAnsi="Arial"/>
                <w:sz w:val="8"/>
                <w:szCs w:val="8"/>
                <w:b w:val="1"/>
                <w:bCs w:val="1"/>
                <w:color w:val="auto"/>
              </w:rPr>
              <w:t>​Average</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gridSpan w:val="4"/>
            <w:vMerge w:val="restart"/>
          </w:tcPr>
          <w:p>
            <w:pPr>
              <w:jc w:val="center"/>
              <w:ind w:right="791"/>
              <w:spacing w:after="0"/>
              <w:rPr>
                <w:sz w:val="20"/>
                <w:szCs w:val="20"/>
                <w:color w:val="auto"/>
              </w:rPr>
            </w:pPr>
            <w:r>
              <w:rPr>
                <w:rFonts w:ascii="Arial" w:cs="Arial" w:eastAsia="Arial" w:hAnsi="Arial"/>
                <w:sz w:val="8"/>
                <w:szCs w:val="8"/>
                <w:b w:val="1"/>
                <w:bCs w:val="1"/>
                <w:color w:val="auto"/>
                <w:w w:val="99"/>
              </w:rPr>
              <w:t>Weighted</w:t>
            </w:r>
          </w:p>
        </w:tc>
        <w:tc>
          <w:tcPr>
            <w:tcW w:w="140" w:type="dxa"/>
            <w:vAlign w:val="bottom"/>
          </w:tcPr>
          <w:p>
            <w:pPr>
              <w:spacing w:after="0"/>
              <w:rPr>
                <w:sz w:val="7"/>
                <w:szCs w:val="7"/>
                <w:color w:val="auto"/>
              </w:rPr>
            </w:pPr>
          </w:p>
        </w:tc>
        <w:tc>
          <w:tcPr>
            <w:tcW w:w="900" w:type="dxa"/>
            <w:vAlign w:val="bottom"/>
            <w:gridSpan w:val="2"/>
          </w:tcPr>
          <w:p>
            <w:pPr>
              <w:jc w:val="center"/>
              <w:ind w:right="400"/>
              <w:spacing w:after="0" w:line="83" w:lineRule="exact"/>
              <w:rPr>
                <w:sz w:val="20"/>
                <w:szCs w:val="20"/>
                <w:color w:val="auto"/>
              </w:rPr>
            </w:pPr>
            <w:r>
              <w:rPr>
                <w:rFonts w:ascii="Arial" w:cs="Arial" w:eastAsia="Arial" w:hAnsi="Arial"/>
                <w:sz w:val="8"/>
                <w:szCs w:val="8"/>
                <w:b w:val="1"/>
                <w:bCs w:val="1"/>
                <w:color w:val="auto"/>
              </w:rPr>
              <w:t>​Remaining</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vMerge w:val="restart"/>
          </w:tcPr>
          <w:p>
            <w:pPr>
              <w:jc w:val="center"/>
              <w:ind w:right="194"/>
              <w:spacing w:after="0"/>
              <w:rPr>
                <w:sz w:val="20"/>
                <w:szCs w:val="20"/>
                <w:color w:val="auto"/>
              </w:rPr>
            </w:pPr>
            <w:r>
              <w:rPr>
                <w:rFonts w:ascii="Arial" w:cs="Arial" w:eastAsia="Arial" w:hAnsi="Arial"/>
                <w:sz w:val="8"/>
                <w:szCs w:val="8"/>
                <w:b w:val="1"/>
                <w:bCs w:val="1"/>
                <w:color w:val="auto"/>
              </w:rPr>
              <w:t>Aggregate</w:t>
            </w:r>
          </w:p>
        </w:tc>
        <w:tc>
          <w:tcPr>
            <w:tcW w:w="0" w:type="dxa"/>
            <w:vAlign w:val="bottom"/>
          </w:tcPr>
          <w:p>
            <w:pPr>
              <w:spacing w:after="0"/>
              <w:rPr>
                <w:sz w:val="1"/>
                <w:szCs w:val="1"/>
                <w:color w:val="auto"/>
              </w:rPr>
            </w:pPr>
          </w:p>
        </w:tc>
      </w:tr>
      <w:tr>
        <w:trPr>
          <w:trHeight w:val="83"/>
        </w:trPr>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4"/>
            <w:vMerge w:val="restart"/>
          </w:tcPr>
          <w:p>
            <w:pPr>
              <w:jc w:val="right"/>
              <w:ind w:right="393"/>
              <w:spacing w:after="0"/>
              <w:rPr>
                <w:sz w:val="20"/>
                <w:szCs w:val="20"/>
                <w:color w:val="auto"/>
              </w:rPr>
            </w:pPr>
            <w:r>
              <w:rPr>
                <w:rFonts w:ascii="Arial" w:cs="Arial" w:eastAsia="Arial" w:hAnsi="Arial"/>
                <w:sz w:val="8"/>
                <w:szCs w:val="8"/>
                <w:b w:val="1"/>
                <w:bCs w:val="1"/>
                <w:color w:val="auto"/>
              </w:rPr>
              <w:t>Number</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tcPr>
          <w:p>
            <w:pPr>
              <w:jc w:val="center"/>
              <w:ind w:right="420"/>
              <w:spacing w:after="0" w:line="83" w:lineRule="exact"/>
              <w:rPr>
                <w:sz w:val="20"/>
                <w:szCs w:val="20"/>
                <w:color w:val="auto"/>
              </w:rPr>
            </w:pPr>
            <w:r>
              <w:rPr>
                <w:rFonts w:ascii="Arial" w:cs="Arial" w:eastAsia="Arial" w:hAnsi="Arial"/>
                <w:sz w:val="8"/>
                <w:szCs w:val="8"/>
                <w:b w:val="1"/>
                <w:bCs w:val="1"/>
                <w:color w:val="auto"/>
              </w:rPr>
              <w:t>​Years of</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gridSpan w:val="4"/>
          </w:tcPr>
          <w:p>
            <w:pPr>
              <w:jc w:val="center"/>
              <w:ind w:right="791"/>
              <w:spacing w:after="0" w:line="83" w:lineRule="exact"/>
              <w:rPr>
                <w:sz w:val="20"/>
                <w:szCs w:val="20"/>
                <w:color w:val="auto"/>
              </w:rPr>
            </w:pPr>
            <w:r>
              <w:rPr>
                <w:rFonts w:ascii="Arial" w:cs="Arial" w:eastAsia="Arial" w:hAnsi="Arial"/>
                <w:sz w:val="8"/>
                <w:szCs w:val="8"/>
                <w:b w:val="1"/>
                <w:bCs w:val="1"/>
                <w:color w:val="auto"/>
              </w:rPr>
              <w:t>​Average</w:t>
            </w:r>
          </w:p>
        </w:tc>
        <w:tc>
          <w:tcPr>
            <w:tcW w:w="140" w:type="dxa"/>
            <w:vAlign w:val="bottom"/>
          </w:tcPr>
          <w:p>
            <w:pPr>
              <w:spacing w:after="0"/>
              <w:rPr>
                <w:sz w:val="7"/>
                <w:szCs w:val="7"/>
                <w:color w:val="auto"/>
              </w:rPr>
            </w:pPr>
          </w:p>
        </w:tc>
        <w:tc>
          <w:tcPr>
            <w:tcW w:w="900" w:type="dxa"/>
            <w:vAlign w:val="bottom"/>
            <w:gridSpan w:val="2"/>
          </w:tcPr>
          <w:p>
            <w:pPr>
              <w:jc w:val="center"/>
              <w:ind w:right="400"/>
              <w:spacing w:after="0" w:line="83" w:lineRule="exact"/>
              <w:rPr>
                <w:sz w:val="20"/>
                <w:szCs w:val="20"/>
                <w:color w:val="auto"/>
              </w:rPr>
            </w:pPr>
            <w:r>
              <w:rPr>
                <w:rFonts w:ascii="Arial" w:cs="Arial" w:eastAsia="Arial" w:hAnsi="Arial"/>
                <w:sz w:val="8"/>
                <w:szCs w:val="8"/>
                <w:b w:val="1"/>
                <w:bCs w:val="1"/>
                <w:color w:val="auto"/>
              </w:rPr>
              <w:t>​Contractual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jc w:val="center"/>
              <w:ind w:right="194"/>
              <w:spacing w:after="0" w:line="83" w:lineRule="exact"/>
              <w:rPr>
                <w:sz w:val="20"/>
                <w:szCs w:val="20"/>
                <w:color w:val="auto"/>
              </w:rPr>
            </w:pPr>
            <w:r>
              <w:rPr>
                <w:rFonts w:ascii="Arial" w:cs="Arial" w:eastAsia="Arial" w:hAnsi="Arial"/>
                <w:sz w:val="8"/>
                <w:szCs w:val="8"/>
                <w:b w:val="1"/>
                <w:bCs w:val="1"/>
                <w:color w:val="auto"/>
              </w:rPr>
              <w:t>Intrinsic​</w:t>
            </w:r>
          </w:p>
        </w:tc>
        <w:tc>
          <w:tcPr>
            <w:tcW w:w="0" w:type="dxa"/>
            <w:vAlign w:val="bottom"/>
          </w:tcPr>
          <w:p>
            <w:pPr>
              <w:spacing w:after="0"/>
              <w:rPr>
                <w:sz w:val="1"/>
                <w:szCs w:val="1"/>
                <w:color w:val="auto"/>
              </w:rPr>
            </w:pPr>
          </w:p>
        </w:tc>
      </w:tr>
      <w:tr>
        <w:trPr>
          <w:trHeight w:val="98"/>
        </w:trPr>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ind w:left="380"/>
              <w:spacing w:after="0"/>
              <w:rPr>
                <w:sz w:val="20"/>
                <w:szCs w:val="20"/>
                <w:color w:val="auto"/>
              </w:rPr>
            </w:pPr>
            <w:r>
              <w:rPr>
                <w:rFonts w:ascii="Arial" w:cs="Arial" w:eastAsia="Arial" w:hAnsi="Arial"/>
                <w:sz w:val="8"/>
                <w:szCs w:val="8"/>
                <w:b w:val="1"/>
                <w:bCs w:val="1"/>
                <w:color w:val="auto"/>
              </w:rPr>
              <w:t>of​</w:t>
            </w:r>
          </w:p>
        </w:tc>
        <w:tc>
          <w:tcPr>
            <w:tcW w:w="700" w:type="dxa"/>
            <w:vAlign w:val="bottom"/>
            <w:gridSpan w:val="3"/>
          </w:tcPr>
          <w:p>
            <w:pPr>
              <w:jc w:val="right"/>
              <w:ind w:right="333"/>
              <w:spacing w:after="0"/>
              <w:rPr>
                <w:sz w:val="20"/>
                <w:szCs w:val="20"/>
                <w:color w:val="auto"/>
              </w:rPr>
            </w:pPr>
            <w:r>
              <w:rPr>
                <w:rFonts w:ascii="Arial" w:cs="Arial" w:eastAsia="Arial" w:hAnsi="Arial"/>
                <w:sz w:val="8"/>
                <w:szCs w:val="8"/>
                <w:b w:val="1"/>
                <w:bCs w:val="1"/>
                <w:color w:val="auto"/>
                <w:w w:val="99"/>
              </w:rPr>
              <w:t>Options</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gridSpan w:val="5"/>
          </w:tcPr>
          <w:p>
            <w:pPr>
              <w:jc w:val="center"/>
              <w:ind w:right="391"/>
              <w:spacing w:after="0"/>
              <w:rPr>
                <w:sz w:val="20"/>
                <w:szCs w:val="20"/>
                <w:color w:val="auto"/>
              </w:rPr>
            </w:pPr>
            <w:r>
              <w:rPr>
                <w:rFonts w:ascii="Arial" w:cs="Arial" w:eastAsia="Arial" w:hAnsi="Arial"/>
                <w:sz w:val="8"/>
                <w:szCs w:val="8"/>
                <w:b w:val="1"/>
                <w:bCs w:val="1"/>
                <w:color w:val="auto"/>
              </w:rPr>
              <w:t>​Exercise Price</w:t>
            </w:r>
          </w:p>
        </w:tc>
        <w:tc>
          <w:tcPr>
            <w:tcW w:w="140" w:type="dxa"/>
            <w:vAlign w:val="bottom"/>
          </w:tcPr>
          <w:p>
            <w:pPr>
              <w:spacing w:after="0"/>
              <w:rPr>
                <w:sz w:val="8"/>
                <w:szCs w:val="8"/>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8"/>
                <w:szCs w:val="8"/>
                <w:b w:val="1"/>
                <w:bCs w:val="1"/>
                <w:color w:val="auto"/>
                <w:w w:val="98"/>
              </w:rPr>
              <w:t>​Life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jc w:val="center"/>
              <w:ind w:right="174"/>
              <w:spacing w:after="0"/>
              <w:rPr>
                <w:sz w:val="20"/>
                <w:szCs w:val="20"/>
                <w:color w:val="auto"/>
              </w:rPr>
            </w:pPr>
            <w:r>
              <w:rPr>
                <w:rFonts w:ascii="Arial" w:cs="Arial" w:eastAsia="Arial" w:hAnsi="Arial"/>
                <w:sz w:val="8"/>
                <w:szCs w:val="8"/>
                <w:b w:val="1"/>
                <w:bCs w:val="1"/>
                <w:color w:val="auto"/>
              </w:rPr>
              <w:t>Value​</w:t>
            </w:r>
          </w:p>
        </w:tc>
        <w:tc>
          <w:tcPr>
            <w:tcW w:w="0" w:type="dxa"/>
            <w:vAlign w:val="bottom"/>
          </w:tcPr>
          <w:p>
            <w:pPr>
              <w:spacing w:after="0"/>
              <w:rPr>
                <w:sz w:val="1"/>
                <w:szCs w:val="1"/>
                <w:color w:val="auto"/>
              </w:rPr>
            </w:pPr>
          </w:p>
        </w:tc>
      </w:tr>
      <w:tr>
        <w:trPr>
          <w:trHeight w:val="78"/>
        </w:trPr>
        <w:tc>
          <w:tcPr>
            <w:tcW w:w="7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180" w:type="dxa"/>
            <w:vAlign w:val="bottom"/>
            <w:tcBorders>
              <w:top w:val="single" w:sz="8" w:color="auto"/>
              <w:bottom w:val="single" w:sz="8" w:color="auto"/>
            </w:tcBorders>
            <w:gridSpan w:val="4"/>
          </w:tcPr>
          <w:p>
            <w:pPr>
              <w:jc w:val="right"/>
              <w:ind w:right="393"/>
              <w:spacing w:after="0" w:line="78" w:lineRule="exact"/>
              <w:rPr>
                <w:sz w:val="20"/>
                <w:szCs w:val="20"/>
                <w:color w:val="auto"/>
              </w:rPr>
            </w:pPr>
            <w:r>
              <w:rPr>
                <w:rFonts w:ascii="Arial" w:cs="Arial" w:eastAsia="Arial" w:hAnsi="Arial"/>
                <w:sz w:val="8"/>
                <w:szCs w:val="8"/>
                <w:b w:val="1"/>
                <w:bCs w:val="1"/>
                <w:color w:val="auto"/>
              </w:rPr>
              <w:t>Class A</w:t>
            </w:r>
          </w:p>
        </w:tc>
        <w:tc>
          <w:tcPr>
            <w:tcW w:w="160" w:type="dxa"/>
            <w:vAlign w:val="bottom"/>
            <w:tcBorders>
              <w:bottom w:val="single" w:sz="8" w:color="CCEEFF"/>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spacing w:after="0"/>
              <w:rPr>
                <w:sz w:val="6"/>
                <w:szCs w:val="6"/>
                <w:color w:val="auto"/>
              </w:rPr>
            </w:pPr>
          </w:p>
        </w:tc>
        <w:tc>
          <w:tcPr>
            <w:tcW w:w="860" w:type="dxa"/>
            <w:vAlign w:val="bottom"/>
            <w:tcBorders>
              <w:top w:val="single" w:sz="8" w:color="auto"/>
              <w:bottom w:val="single" w:sz="8" w:color="auto"/>
            </w:tcBorders>
            <w:gridSpan w:val="2"/>
          </w:tcPr>
          <w:p>
            <w:pPr>
              <w:jc w:val="center"/>
              <w:ind w:right="434"/>
              <w:spacing w:after="0" w:line="78" w:lineRule="exact"/>
              <w:rPr>
                <w:sz w:val="20"/>
                <w:szCs w:val="20"/>
                <w:color w:val="auto"/>
              </w:rPr>
            </w:pPr>
            <w:r>
              <w:rPr>
                <w:rFonts w:ascii="Arial" w:cs="Arial" w:eastAsia="Arial" w:hAnsi="Arial"/>
                <w:sz w:val="8"/>
                <w:szCs w:val="8"/>
                <w:b w:val="1"/>
                <w:bCs w:val="1"/>
                <w:color w:val="auto"/>
              </w:rPr>
              <w:t>Class A</w:t>
            </w:r>
          </w:p>
        </w:tc>
        <w:tc>
          <w:tcPr>
            <w:tcW w:w="180" w:type="dxa"/>
            <w:vAlign w:val="bottom"/>
            <w:tcBorders>
              <w:bottom w:val="single" w:sz="8" w:color="CCEEFF"/>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840" w:type="dxa"/>
            <w:vAlign w:val="bottom"/>
            <w:tcBorders>
              <w:top w:val="single" w:sz="8" w:color="auto"/>
              <w:bottom w:val="single" w:sz="8" w:color="auto"/>
            </w:tcBorders>
          </w:tcPr>
          <w:p>
            <w:pPr>
              <w:jc w:val="center"/>
              <w:ind w:right="296"/>
              <w:spacing w:after="0" w:line="78" w:lineRule="exact"/>
              <w:rPr>
                <w:sz w:val="20"/>
                <w:szCs w:val="20"/>
                <w:color w:val="auto"/>
              </w:rPr>
            </w:pPr>
            <w:r>
              <w:rPr>
                <w:rFonts w:ascii="Arial" w:cs="Arial" w:eastAsia="Arial" w:hAnsi="Arial"/>
                <w:sz w:val="8"/>
                <w:szCs w:val="8"/>
                <w:b w:val="1"/>
                <w:bCs w:val="1"/>
                <w:color w:val="auto"/>
              </w:rPr>
              <w:t>Class A</w:t>
            </w:r>
          </w:p>
        </w:tc>
        <w:tc>
          <w:tcPr>
            <w:tcW w:w="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jc w:val="center"/>
              <w:ind w:right="174"/>
              <w:spacing w:after="0" w:line="78" w:lineRule="exact"/>
              <w:rPr>
                <w:sz w:val="20"/>
                <w:szCs w:val="20"/>
                <w:color w:val="auto"/>
              </w:rPr>
            </w:pPr>
            <w:r>
              <w:rPr>
                <w:rFonts w:ascii="Arial" w:cs="Arial" w:eastAsia="Arial" w:hAnsi="Arial"/>
                <w:sz w:val="8"/>
                <w:szCs w:val="8"/>
                <w:b w:val="1"/>
                <w:bCs w:val="1"/>
                <w:color w:val="auto"/>
              </w:rPr>
              <w:t>Class A</w:t>
            </w:r>
          </w:p>
        </w:tc>
        <w:tc>
          <w:tcPr>
            <w:tcW w:w="0" w:type="dxa"/>
            <w:vAlign w:val="bottom"/>
          </w:tcPr>
          <w:p>
            <w:pPr>
              <w:spacing w:after="0"/>
              <w:rPr>
                <w:sz w:val="1"/>
                <w:szCs w:val="1"/>
                <w:color w:val="auto"/>
              </w:rPr>
            </w:pPr>
          </w:p>
        </w:tc>
      </w:tr>
      <w:tr>
        <w:trPr>
          <w:trHeight w:val="100"/>
        </w:trPr>
        <w:tc>
          <w:tcPr>
            <w:tcW w:w="3360" w:type="dxa"/>
            <w:vAlign w:val="bottom"/>
            <w:gridSpan w:val="4"/>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Balance - December 31, 2021</w:t>
            </w:r>
          </w:p>
        </w:tc>
        <w:tc>
          <w:tcPr>
            <w:tcW w:w="1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gridSpan w:val="3"/>
            <w:shd w:val="clear" w:color="auto" w:fill="CCEEFF"/>
          </w:tcPr>
          <w:p>
            <w:pPr>
              <w:jc w:val="right"/>
              <w:spacing w:after="0" w:line="100" w:lineRule="exact"/>
              <w:rPr>
                <w:sz w:val="20"/>
                <w:szCs w:val="20"/>
                <w:color w:val="auto"/>
              </w:rPr>
            </w:pPr>
            <w:r>
              <w:rPr>
                <w:rFonts w:ascii="Arial" w:cs="Arial" w:eastAsia="Arial" w:hAnsi="Arial"/>
                <w:sz w:val="10"/>
                <w:szCs w:val="10"/>
                <w:color w:val="auto"/>
              </w:rPr>
              <w:t>517,344</w:t>
            </w:r>
          </w:p>
        </w:tc>
        <w:tc>
          <w:tcPr>
            <w:tcW w:w="1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gridSpan w:val="2"/>
            <w:shd w:val="clear" w:color="auto" w:fill="CCEEFF"/>
          </w:tcPr>
          <w:p>
            <w:pPr>
              <w:jc w:val="right"/>
              <w:spacing w:after="0" w:line="100" w:lineRule="exact"/>
              <w:rPr>
                <w:sz w:val="20"/>
                <w:szCs w:val="20"/>
                <w:color w:val="auto"/>
              </w:rPr>
            </w:pPr>
            <w:r>
              <w:rPr>
                <w:rFonts w:ascii="Arial" w:cs="Arial" w:eastAsia="Arial" w:hAnsi="Arial"/>
                <w:sz w:val="10"/>
                <w:szCs w:val="10"/>
                <w:color w:val="auto"/>
              </w:rPr>
              <w:t>15.42</w:t>
            </w:r>
          </w:p>
        </w:tc>
        <w:tc>
          <w:tcPr>
            <w:tcW w:w="18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gridSpan w:val="2"/>
            <w:shd w:val="clear" w:color="auto" w:fill="CCEEFF"/>
          </w:tcPr>
          <w:p>
            <w:pPr>
              <w:jc w:val="right"/>
              <w:spacing w:after="0" w:line="100" w:lineRule="exact"/>
              <w:rPr>
                <w:sz w:val="20"/>
                <w:szCs w:val="20"/>
                <w:color w:val="auto"/>
              </w:rPr>
            </w:pPr>
            <w:r>
              <w:rPr>
                <w:rFonts w:ascii="Arial" w:cs="Arial" w:eastAsia="Arial" w:hAnsi="Arial"/>
                <w:sz w:val="10"/>
                <w:szCs w:val="10"/>
                <w:color w:val="auto"/>
              </w:rPr>
              <w:t>1.66</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140" w:type="dxa"/>
            <w:vAlign w:val="bottom"/>
            <w:tcBorders>
              <w:bottom w:val="single" w:sz="8" w:color="auto"/>
            </w:tcBorders>
            <w:shd w:val="clear" w:color="auto" w:fill="CCEEFF"/>
          </w:tcPr>
          <w:p>
            <w:pPr>
              <w:spacing w:after="0"/>
              <w:rPr>
                <w:sz w:val="8"/>
                <w:szCs w:val="8"/>
                <w:color w:val="auto"/>
              </w:rPr>
            </w:pPr>
          </w:p>
        </w:tc>
        <w:tc>
          <w:tcPr>
            <w:tcW w:w="104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3"/>
        </w:trPr>
        <w:tc>
          <w:tcPr>
            <w:tcW w:w="3360" w:type="dxa"/>
            <w:vAlign w:val="bottom"/>
            <w:gridSpan w:val="4"/>
          </w:tcPr>
          <w:p>
            <w:pPr>
              <w:ind w:left="40"/>
              <w:spacing w:after="0" w:line="93" w:lineRule="exact"/>
              <w:rPr>
                <w:sz w:val="20"/>
                <w:szCs w:val="20"/>
                <w:color w:val="auto"/>
              </w:rPr>
            </w:pPr>
            <w:r>
              <w:rPr>
                <w:rFonts w:ascii="Arial" w:cs="Arial" w:eastAsia="Arial" w:hAnsi="Arial"/>
                <w:sz w:val="10"/>
                <w:szCs w:val="10"/>
                <w:color w:val="auto"/>
              </w:rPr>
              <w:t>Granted</w:t>
            </w: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3360" w:type="dxa"/>
            <w:vAlign w:val="bottom"/>
            <w:gridSpan w:val="4"/>
            <w:shd w:val="clear" w:color="auto" w:fill="CCEEFF"/>
          </w:tcPr>
          <w:p>
            <w:pPr>
              <w:ind w:left="40"/>
              <w:spacing w:after="0" w:line="105" w:lineRule="exact"/>
              <w:rPr>
                <w:sz w:val="20"/>
                <w:szCs w:val="20"/>
                <w:color w:val="auto"/>
              </w:rPr>
            </w:pPr>
            <w:r>
              <w:rPr>
                <w:rFonts w:ascii="Arial" w:cs="Arial" w:eastAsia="Arial" w:hAnsi="Arial"/>
                <w:sz w:val="10"/>
                <w:szCs w:val="10"/>
                <w:color w:val="auto"/>
              </w:rPr>
              <w:t>Exercised</w:t>
            </w:r>
          </w:p>
        </w:tc>
        <w:tc>
          <w:tcPr>
            <w:tcW w:w="1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gridSpan w:val="3"/>
            <w:shd w:val="clear" w:color="auto" w:fill="CCEEFF"/>
          </w:tcPr>
          <w:p>
            <w:pPr>
              <w:jc w:val="right"/>
              <w:ind w:right="351"/>
              <w:spacing w:after="0" w:line="105"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3360" w:type="dxa"/>
            <w:vAlign w:val="bottom"/>
            <w:gridSpan w:val="4"/>
          </w:tcPr>
          <w:p>
            <w:pPr>
              <w:ind w:left="40"/>
              <w:spacing w:after="0" w:line="105" w:lineRule="exact"/>
              <w:rPr>
                <w:sz w:val="20"/>
                <w:szCs w:val="20"/>
                <w:color w:val="auto"/>
              </w:rPr>
            </w:pPr>
            <w:r>
              <w:rPr>
                <w:rFonts w:ascii="Arial" w:cs="Arial" w:eastAsia="Arial" w:hAnsi="Arial"/>
                <w:sz w:val="10"/>
                <w:szCs w:val="10"/>
                <w:color w:val="auto"/>
              </w:rPr>
              <w:t>Forfeited</w:t>
            </w: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gridSpan w:val="3"/>
          </w:tcPr>
          <w:p>
            <w:pPr>
              <w:jc w:val="right"/>
              <w:spacing w:after="0" w:line="105" w:lineRule="exact"/>
              <w:rPr>
                <w:sz w:val="20"/>
                <w:szCs w:val="20"/>
                <w:color w:val="auto"/>
              </w:rPr>
            </w:pPr>
            <w:r>
              <w:rPr>
                <w:rFonts w:ascii="Arial" w:cs="Arial" w:eastAsia="Arial" w:hAnsi="Arial"/>
                <w:sz w:val="10"/>
                <w:szCs w:val="10"/>
                <w:color w:val="auto"/>
              </w:rPr>
              <w:t>(189,846)</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14.63</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3"/>
        </w:trPr>
        <w:tc>
          <w:tcPr>
            <w:tcW w:w="3360" w:type="dxa"/>
            <w:vAlign w:val="bottom"/>
            <w:tcBorders>
              <w:top w:val="single" w:sz="8" w:color="CCEEFF"/>
            </w:tcBorders>
            <w:gridSpan w:val="4"/>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 - December 31, 2022</w:t>
            </w:r>
          </w:p>
        </w:tc>
        <w:tc>
          <w:tcPr>
            <w:tcW w:w="1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spacing w:after="0"/>
              <w:rPr>
                <w:sz w:val="8"/>
                <w:szCs w:val="8"/>
                <w:color w:val="auto"/>
              </w:rPr>
            </w:pPr>
          </w:p>
        </w:tc>
        <w:tc>
          <w:tcPr>
            <w:tcW w:w="700" w:type="dxa"/>
            <w:vAlign w:val="bottom"/>
            <w:tcBorders>
              <w:top w:val="single" w:sz="8" w:color="auto"/>
              <w:bottom w:val="single" w:sz="8" w:color="auto"/>
            </w:tcBorders>
            <w:gridSpan w:val="3"/>
            <w:shd w:val="clear" w:color="auto" w:fill="CCEEFF"/>
          </w:tcPr>
          <w:p>
            <w:pPr>
              <w:jc w:val="right"/>
              <w:spacing w:after="0" w:line="93" w:lineRule="exact"/>
              <w:rPr>
                <w:sz w:val="20"/>
                <w:szCs w:val="20"/>
                <w:color w:val="auto"/>
              </w:rPr>
            </w:pPr>
            <w:r>
              <w:rPr>
                <w:rFonts w:ascii="Arial" w:cs="Arial" w:eastAsia="Arial" w:hAnsi="Arial"/>
                <w:sz w:val="10"/>
                <w:szCs w:val="10"/>
                <w:color w:val="auto"/>
              </w:rPr>
              <w:t>327,498</w:t>
            </w: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spacing w:after="0"/>
              <w:rPr>
                <w:sz w:val="8"/>
                <w:szCs w:val="8"/>
                <w:color w:val="auto"/>
              </w:rPr>
            </w:pPr>
          </w:p>
        </w:tc>
        <w:tc>
          <w:tcPr>
            <w:tcW w:w="860" w:type="dxa"/>
            <w:vAlign w:val="bottom"/>
            <w:tcBorders>
              <w:top w:val="single" w:sz="8" w:color="auto"/>
              <w:bottom w:val="single" w:sz="8" w:color="auto"/>
            </w:tcBorders>
            <w:gridSpan w:val="2"/>
            <w:shd w:val="clear" w:color="auto" w:fill="CCEEFF"/>
          </w:tcPr>
          <w:p>
            <w:pPr>
              <w:jc w:val="right"/>
              <w:spacing w:after="0" w:line="93" w:lineRule="exact"/>
              <w:rPr>
                <w:sz w:val="20"/>
                <w:szCs w:val="20"/>
                <w:color w:val="auto"/>
              </w:rPr>
            </w:pPr>
            <w:r>
              <w:rPr>
                <w:rFonts w:ascii="Arial" w:cs="Arial" w:eastAsia="Arial" w:hAnsi="Arial"/>
                <w:sz w:val="10"/>
                <w:szCs w:val="10"/>
                <w:color w:val="auto"/>
              </w:rPr>
              <w:t>15.87</w:t>
            </w:r>
          </w:p>
        </w:tc>
        <w:tc>
          <w:tcPr>
            <w:tcW w:w="1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bottom w:val="single" w:sz="8" w:color="auto"/>
            </w:tcBorders>
            <w:shd w:val="clear" w:color="auto" w:fill="CCEEFF"/>
          </w:tcPr>
          <w:p>
            <w:pPr>
              <w:spacing w:after="0"/>
              <w:rPr>
                <w:sz w:val="8"/>
                <w:szCs w:val="8"/>
                <w:color w:val="auto"/>
              </w:rPr>
            </w:pPr>
          </w:p>
        </w:tc>
        <w:tc>
          <w:tcPr>
            <w:tcW w:w="980" w:type="dxa"/>
            <w:vAlign w:val="bottom"/>
            <w:tcBorders>
              <w:top w:val="single" w:sz="8" w:color="auto"/>
              <w:bottom w:val="single" w:sz="8" w:color="auto"/>
            </w:tcBorders>
            <w:gridSpan w:val="2"/>
            <w:shd w:val="clear" w:color="auto" w:fill="CCEEFF"/>
          </w:tcPr>
          <w:p>
            <w:pPr>
              <w:jc w:val="right"/>
              <w:spacing w:after="0" w:line="93" w:lineRule="exact"/>
              <w:rPr>
                <w:sz w:val="20"/>
                <w:szCs w:val="20"/>
                <w:color w:val="auto"/>
              </w:rPr>
            </w:pPr>
            <w:r>
              <w:rPr>
                <w:rFonts w:ascii="Arial" w:cs="Arial" w:eastAsia="Arial" w:hAnsi="Arial"/>
                <w:sz w:val="10"/>
                <w:szCs w:val="10"/>
                <w:color w:val="auto"/>
              </w:rPr>
              <w:t>1.24</w:t>
            </w: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140" w:type="dxa"/>
            <w:vAlign w:val="bottom"/>
            <w:tcBorders>
              <w:top w:val="single" w:sz="8" w:color="auto"/>
              <w:bottom w:val="single" w:sz="8" w:color="auto"/>
            </w:tcBorders>
            <w:shd w:val="clear" w:color="auto" w:fill="CCEEFF"/>
          </w:tcPr>
          <w:p>
            <w:pPr>
              <w:spacing w:after="0"/>
              <w:rPr>
                <w:sz w:val="8"/>
                <w:szCs w:val="8"/>
                <w:color w:val="auto"/>
              </w:rPr>
            </w:pPr>
          </w:p>
        </w:tc>
        <w:tc>
          <w:tcPr>
            <w:tcW w:w="104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3"/>
        </w:trPr>
        <w:tc>
          <w:tcPr>
            <w:tcW w:w="3360" w:type="dxa"/>
            <w:vAlign w:val="bottom"/>
            <w:gridSpan w:val="4"/>
          </w:tcPr>
          <w:p>
            <w:pPr>
              <w:ind w:left="40"/>
              <w:spacing w:after="0" w:line="93" w:lineRule="exact"/>
              <w:rPr>
                <w:sz w:val="20"/>
                <w:szCs w:val="20"/>
                <w:color w:val="auto"/>
              </w:rPr>
            </w:pPr>
            <w:r>
              <w:rPr>
                <w:rFonts w:ascii="Arial" w:cs="Arial" w:eastAsia="Arial" w:hAnsi="Arial"/>
                <w:sz w:val="10"/>
                <w:szCs w:val="10"/>
                <w:color w:val="auto"/>
              </w:rPr>
              <w:t>Granted</w:t>
            </w: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3360" w:type="dxa"/>
            <w:vAlign w:val="bottom"/>
            <w:gridSpan w:val="4"/>
            <w:shd w:val="clear" w:color="auto" w:fill="CCEEFF"/>
          </w:tcPr>
          <w:p>
            <w:pPr>
              <w:ind w:left="40"/>
              <w:spacing w:after="0" w:line="105" w:lineRule="exact"/>
              <w:rPr>
                <w:sz w:val="20"/>
                <w:szCs w:val="20"/>
                <w:color w:val="auto"/>
              </w:rPr>
            </w:pPr>
            <w:r>
              <w:rPr>
                <w:rFonts w:ascii="Arial" w:cs="Arial" w:eastAsia="Arial" w:hAnsi="Arial"/>
                <w:sz w:val="10"/>
                <w:szCs w:val="10"/>
                <w:color w:val="auto"/>
              </w:rPr>
              <w:t>Exercised</w:t>
            </w:r>
          </w:p>
        </w:tc>
        <w:tc>
          <w:tcPr>
            <w:tcW w:w="1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gridSpan w:val="3"/>
            <w:shd w:val="clear" w:color="auto" w:fill="CCEEFF"/>
          </w:tcPr>
          <w:p>
            <w:pPr>
              <w:jc w:val="right"/>
              <w:ind w:right="331"/>
              <w:spacing w:after="0" w:line="105"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3360" w:type="dxa"/>
            <w:vAlign w:val="bottom"/>
            <w:gridSpan w:val="4"/>
          </w:tcPr>
          <w:p>
            <w:pPr>
              <w:ind w:left="40"/>
              <w:spacing w:after="0" w:line="105" w:lineRule="exact"/>
              <w:rPr>
                <w:sz w:val="20"/>
                <w:szCs w:val="20"/>
                <w:color w:val="auto"/>
              </w:rPr>
            </w:pPr>
            <w:r>
              <w:rPr>
                <w:rFonts w:ascii="Arial" w:cs="Arial" w:eastAsia="Arial" w:hAnsi="Arial"/>
                <w:sz w:val="10"/>
                <w:szCs w:val="10"/>
                <w:color w:val="auto"/>
              </w:rPr>
              <w:t>Forfeited</w:t>
            </w: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gridSpan w:val="3"/>
          </w:tcPr>
          <w:p>
            <w:pPr>
              <w:jc w:val="right"/>
              <w:spacing w:after="0" w:line="105" w:lineRule="exact"/>
              <w:rPr>
                <w:sz w:val="20"/>
                <w:szCs w:val="20"/>
                <w:color w:val="auto"/>
              </w:rPr>
            </w:pPr>
            <w:r>
              <w:rPr>
                <w:rFonts w:ascii="Arial" w:cs="Arial" w:eastAsia="Arial" w:hAnsi="Arial"/>
                <w:sz w:val="10"/>
                <w:szCs w:val="10"/>
                <w:color w:val="auto"/>
              </w:rPr>
              <w:t>(122,376)</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3"/>
          </w:tcPr>
          <w:p>
            <w:pPr>
              <w:jc w:val="right"/>
              <w:ind w:right="331"/>
              <w:spacing w:after="0" w:line="10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90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3360" w:type="dxa"/>
            <w:vAlign w:val="bottom"/>
            <w:tcBorders>
              <w:top w:val="single" w:sz="8" w:color="CCEEFF"/>
              <w:bottom w:val="single" w:sz="8" w:color="CCEEFF"/>
            </w:tcBorders>
            <w:gridSpan w:val="4"/>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 - September 30, 2023</w:t>
            </w:r>
          </w:p>
        </w:tc>
        <w:tc>
          <w:tcPr>
            <w:tcW w:w="110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36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auto"/>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gridSpan w:val="3"/>
            <w:shd w:val="clear" w:color="auto" w:fill="CCEEFF"/>
          </w:tcPr>
          <w:p>
            <w:pPr>
              <w:jc w:val="right"/>
              <w:spacing w:after="0" w:line="93" w:lineRule="exact"/>
              <w:rPr>
                <w:sz w:val="20"/>
                <w:szCs w:val="20"/>
                <w:color w:val="auto"/>
              </w:rPr>
            </w:pPr>
            <w:r>
              <w:rPr>
                <w:rFonts w:ascii="Arial" w:cs="Arial" w:eastAsia="Arial" w:hAnsi="Arial"/>
                <w:sz w:val="10"/>
                <w:szCs w:val="10"/>
                <w:color w:val="auto"/>
              </w:rPr>
              <w:t>205,122</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spacing w:after="0"/>
              <w:rPr>
                <w:sz w:val="9"/>
                <w:szCs w:val="9"/>
                <w:color w:val="auto"/>
              </w:rPr>
            </w:pPr>
          </w:p>
        </w:tc>
        <w:tc>
          <w:tcPr>
            <w:tcW w:w="860" w:type="dxa"/>
            <w:vAlign w:val="bottom"/>
            <w:tcBorders>
              <w:top w:val="single" w:sz="8" w:color="auto"/>
              <w:bottom w:val="single" w:sz="8" w:color="auto"/>
            </w:tcBorders>
            <w:gridSpan w:val="2"/>
            <w:shd w:val="clear" w:color="auto" w:fill="CCEEFF"/>
          </w:tcPr>
          <w:p>
            <w:pPr>
              <w:jc w:val="right"/>
              <w:spacing w:after="0" w:line="93" w:lineRule="exact"/>
              <w:rPr>
                <w:sz w:val="20"/>
                <w:szCs w:val="20"/>
                <w:color w:val="auto"/>
              </w:rPr>
            </w:pPr>
            <w:r>
              <w:rPr>
                <w:rFonts w:ascii="Arial" w:cs="Arial" w:eastAsia="Arial" w:hAnsi="Arial"/>
                <w:sz w:val="10"/>
                <w:szCs w:val="10"/>
                <w:color w:val="auto"/>
              </w:rPr>
              <w:t>15.92</w:t>
            </w: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spacing w:after="0"/>
              <w:rPr>
                <w:sz w:val="9"/>
                <w:szCs w:val="9"/>
                <w:color w:val="auto"/>
              </w:rPr>
            </w:pPr>
          </w:p>
        </w:tc>
        <w:tc>
          <w:tcPr>
            <w:tcW w:w="980" w:type="dxa"/>
            <w:vAlign w:val="bottom"/>
            <w:tcBorders>
              <w:top w:val="single" w:sz="8" w:color="auto"/>
              <w:bottom w:val="single" w:sz="8" w:color="auto"/>
            </w:tcBorders>
            <w:gridSpan w:val="2"/>
            <w:shd w:val="clear" w:color="auto" w:fill="CCEEFF"/>
          </w:tcPr>
          <w:p>
            <w:pPr>
              <w:jc w:val="right"/>
              <w:spacing w:after="0" w:line="93" w:lineRule="exact"/>
              <w:rPr>
                <w:sz w:val="20"/>
                <w:szCs w:val="20"/>
                <w:color w:val="auto"/>
              </w:rPr>
            </w:pPr>
            <w:r>
              <w:rPr>
                <w:rFonts w:ascii="Arial" w:cs="Arial" w:eastAsia="Arial" w:hAnsi="Arial"/>
                <w:sz w:val="10"/>
                <w:szCs w:val="10"/>
                <w:color w:val="auto"/>
              </w:rPr>
              <w:t>0.45</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140" w:type="dxa"/>
            <w:vAlign w:val="bottom"/>
            <w:tcBorders>
              <w:top w:val="single" w:sz="8" w:color="auto"/>
              <w:bottom w:val="single" w:sz="8" w:color="auto"/>
            </w:tcBorders>
            <w:shd w:val="clear" w:color="auto" w:fill="CCEEFF"/>
          </w:tcPr>
          <w:p>
            <w:pPr>
              <w:spacing w:after="0"/>
              <w:rPr>
                <w:sz w:val="9"/>
                <w:szCs w:val="9"/>
                <w:color w:val="auto"/>
              </w:rPr>
            </w:pPr>
          </w:p>
        </w:tc>
        <w:tc>
          <w:tcPr>
            <w:tcW w:w="104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8"/>
        </w:trPr>
        <w:tc>
          <w:tcPr>
            <w:tcW w:w="3360" w:type="dxa"/>
            <w:vAlign w:val="bottom"/>
            <w:gridSpan w:val="4"/>
          </w:tcPr>
          <w:p>
            <w:pPr>
              <w:spacing w:after="0"/>
              <w:rPr>
                <w:sz w:val="20"/>
                <w:szCs w:val="20"/>
                <w:color w:val="auto"/>
              </w:rPr>
            </w:pPr>
            <w:r>
              <w:rPr>
                <w:rFonts w:ascii="Arial" w:cs="Arial" w:eastAsia="Arial" w:hAnsi="Arial"/>
                <w:sz w:val="10"/>
                <w:szCs w:val="10"/>
                <w:color w:val="auto"/>
              </w:rPr>
              <w:t>Restricted Stock Units</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960" w:type="dxa"/>
            <w:vAlign w:val="bottom"/>
            <w:tcBorders>
              <w:top w:val="single" w:sz="8" w:color="auto"/>
            </w:tcBorders>
            <w:gridSpan w:val="2"/>
          </w:tcPr>
          <w:p>
            <w:pPr>
              <w:spacing w:after="0" w:line="110" w:lineRule="exact"/>
              <w:rPr>
                <w:sz w:val="20"/>
                <w:szCs w:val="20"/>
                <w:color w:val="auto"/>
              </w:rPr>
            </w:pPr>
            <w:r>
              <w:rPr>
                <w:rFonts w:ascii="Arial" w:cs="Arial" w:eastAsia="Arial" w:hAnsi="Arial"/>
                <w:sz w:val="10"/>
                <w:szCs w:val="10"/>
                <w:color w:val="auto"/>
              </w:rPr>
              <w:t>The following table</w:t>
            </w:r>
          </w:p>
        </w:tc>
        <w:tc>
          <w:tcPr>
            <w:tcW w:w="3500" w:type="dxa"/>
            <w:vAlign w:val="bottom"/>
            <w:gridSpan w:val="3"/>
          </w:tcPr>
          <w:p>
            <w:pPr>
              <w:jc w:val="right"/>
              <w:ind w:right="372"/>
              <w:spacing w:after="0" w:line="106" w:lineRule="exact"/>
              <w:rPr>
                <w:sz w:val="20"/>
                <w:szCs w:val="20"/>
                <w:color w:val="auto"/>
              </w:rPr>
            </w:pPr>
            <w:r>
              <w:rPr>
                <w:rFonts w:ascii="Arial" w:cs="Arial" w:eastAsia="Arial" w:hAnsi="Arial"/>
                <w:sz w:val="10"/>
                <w:szCs w:val="10"/>
                <w:color w:val="auto"/>
                <w:w w:val="92"/>
              </w:rPr>
              <w:t>summarizes the status of RSUs granted to date as of September 30, 2023:</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jc w:val="right"/>
              <w:ind w:right="711"/>
              <w:spacing w:after="0"/>
              <w:rPr>
                <w:sz w:val="20"/>
                <w:szCs w:val="20"/>
                <w:color w:val="auto"/>
              </w:rPr>
            </w:pPr>
            <w:r>
              <w:rPr>
                <w:rFonts w:ascii="Arial" w:cs="Arial" w:eastAsia="Arial" w:hAnsi="Arial"/>
                <w:sz w:val="8"/>
                <w:szCs w:val="8"/>
                <w:b w:val="1"/>
                <w:bCs w:val="1"/>
                <w:color w:val="auto"/>
              </w:rPr>
              <w:t>Restricted Stock Units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7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gridSpan w:val="5"/>
          </w:tcPr>
          <w:p>
            <w:pPr>
              <w:ind w:left="760"/>
              <w:spacing w:after="0" w:line="78" w:lineRule="exact"/>
              <w:rPr>
                <w:sz w:val="20"/>
                <w:szCs w:val="20"/>
                <w:color w:val="auto"/>
              </w:rPr>
            </w:pPr>
            <w:r>
              <w:rPr>
                <w:rFonts w:ascii="Arial" w:cs="Arial" w:eastAsia="Arial" w:hAnsi="Arial"/>
                <w:sz w:val="8"/>
                <w:szCs w:val="8"/>
                <w:b w:val="1"/>
                <w:bCs w:val="1"/>
                <w:color w:val="auto"/>
              </w:rPr>
              <w:t>RSU Grants (in units)</w:t>
            </w: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3"/>
          </w:tcPr>
          <w:p>
            <w:pPr>
              <w:jc w:val="center"/>
              <w:spacing w:after="0" w:line="78" w:lineRule="exact"/>
              <w:rPr>
                <w:sz w:val="20"/>
                <w:szCs w:val="20"/>
                <w:color w:val="auto"/>
              </w:rPr>
            </w:pPr>
            <w:r>
              <w:rPr>
                <w:rFonts w:ascii="Arial" w:cs="Arial" w:eastAsia="Arial" w:hAnsi="Arial"/>
                <w:sz w:val="8"/>
                <w:szCs w:val="8"/>
                <w:b w:val="1"/>
                <w:bCs w:val="1"/>
                <w:color w:val="auto"/>
              </w:rPr>
              <w:t>Vested,</w:t>
            </w:r>
          </w:p>
        </w:tc>
        <w:tc>
          <w:tcPr>
            <w:tcW w:w="140" w:type="dxa"/>
            <w:vAlign w:val="bottom"/>
          </w:tcPr>
          <w:p>
            <w:pPr>
              <w:spacing w:after="0"/>
              <w:rPr>
                <w:sz w:val="6"/>
                <w:szCs w:val="6"/>
                <w:color w:val="auto"/>
              </w:rPr>
            </w:pPr>
          </w:p>
        </w:tc>
        <w:tc>
          <w:tcPr>
            <w:tcW w:w="900" w:type="dxa"/>
            <w:vAlign w:val="bottom"/>
            <w:gridSpan w:val="2"/>
          </w:tcPr>
          <w:p>
            <w:pPr>
              <w:jc w:val="center"/>
              <w:ind w:left="156"/>
              <w:spacing w:after="0" w:line="78" w:lineRule="exact"/>
              <w:rPr>
                <w:sz w:val="20"/>
                <w:szCs w:val="20"/>
                <w:color w:val="auto"/>
              </w:rPr>
            </w:pPr>
            <w:r>
              <w:rPr>
                <w:rFonts w:ascii="Arial" w:cs="Arial" w:eastAsia="Arial" w:hAnsi="Arial"/>
                <w:sz w:val="8"/>
                <w:szCs w:val="8"/>
                <w:b w:val="1"/>
                <w:bCs w:val="1"/>
                <w:color w:val="auto"/>
                <w:w w:val="99"/>
              </w:rPr>
              <w:t>Unvested,</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jc w:val="center"/>
              <w:spacing w:after="0" w:line="78" w:lineRule="exact"/>
              <w:rPr>
                <w:sz w:val="20"/>
                <w:szCs w:val="20"/>
                <w:color w:val="auto"/>
              </w:rPr>
            </w:pPr>
            <w:r>
              <w:rPr>
                <w:rFonts w:ascii="Arial" w:cs="Arial" w:eastAsia="Arial" w:hAnsi="Arial"/>
                <w:sz w:val="8"/>
                <w:szCs w:val="8"/>
                <w:b w:val="1"/>
                <w:bCs w:val="1"/>
                <w:color w:val="auto"/>
              </w:rPr>
              <w:t>Forfeited,</w:t>
            </w:r>
          </w:p>
        </w:tc>
        <w:tc>
          <w:tcPr>
            <w:tcW w:w="0" w:type="dxa"/>
            <w:vAlign w:val="bottom"/>
          </w:tcPr>
          <w:p>
            <w:pPr>
              <w:spacing w:after="0"/>
              <w:rPr>
                <w:sz w:val="1"/>
                <w:szCs w:val="1"/>
                <w:color w:val="auto"/>
              </w:rPr>
            </w:pPr>
          </w:p>
        </w:tc>
      </w:tr>
      <w:tr>
        <w:trPr>
          <w:trHeight w:val="63"/>
        </w:trPr>
        <w:tc>
          <w:tcPr>
            <w:tcW w:w="3360" w:type="dxa"/>
            <w:vAlign w:val="bottom"/>
            <w:gridSpan w:val="4"/>
            <w:vMerge w:val="restart"/>
          </w:tcPr>
          <w:p>
            <w:pPr>
              <w:spacing w:after="0"/>
              <w:rPr>
                <w:sz w:val="20"/>
                <w:szCs w:val="20"/>
                <w:color w:val="auto"/>
              </w:rPr>
            </w:pPr>
            <w:r>
              <w:rPr>
                <w:rFonts w:ascii="Arial" w:cs="Arial" w:eastAsia="Arial" w:hAnsi="Arial"/>
                <w:sz w:val="8"/>
                <w:szCs w:val="8"/>
                <w:b w:val="1"/>
                <w:bCs w:val="1"/>
                <w:color w:val="auto"/>
              </w:rPr>
              <w:t>Grant Date</w:t>
            </w:r>
          </w:p>
        </w:tc>
        <w:tc>
          <w:tcPr>
            <w:tcW w:w="1100" w:type="dxa"/>
            <w:vAlign w:val="bottom"/>
            <w:vMerge w:val="restart"/>
          </w:tcPr>
          <w:p>
            <w:pPr>
              <w:jc w:val="right"/>
              <w:ind w:right="312"/>
              <w:spacing w:after="0"/>
              <w:rPr>
                <w:sz w:val="20"/>
                <w:szCs w:val="20"/>
                <w:color w:val="auto"/>
              </w:rPr>
            </w:pPr>
            <w:r>
              <w:rPr>
                <w:rFonts w:ascii="Arial" w:cs="Arial" w:eastAsia="Arial" w:hAnsi="Arial"/>
                <w:sz w:val="8"/>
                <w:szCs w:val="8"/>
                <w:b w:val="1"/>
                <w:bCs w:val="1"/>
                <w:color w:val="auto"/>
              </w:rPr>
              <w:t>Directors</w:t>
            </w:r>
          </w:p>
        </w:tc>
        <w:tc>
          <w:tcPr>
            <w:tcW w:w="1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8"/>
                <w:szCs w:val="8"/>
                <w:b w:val="1"/>
                <w:bCs w:val="1"/>
                <w:color w:val="auto"/>
              </w:rPr>
              <w:t>Management</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gridSpan w:val="2"/>
          </w:tcPr>
          <w:p>
            <w:pPr>
              <w:jc w:val="right"/>
              <w:spacing w:after="0" w:line="63" w:lineRule="exact"/>
              <w:rPr>
                <w:sz w:val="20"/>
                <w:szCs w:val="20"/>
                <w:color w:val="auto"/>
              </w:rPr>
            </w:pPr>
            <w:r>
              <w:rPr>
                <w:rFonts w:ascii="Arial" w:cs="Arial" w:eastAsia="Arial" w:hAnsi="Arial"/>
                <w:sz w:val="7"/>
                <w:szCs w:val="7"/>
                <w:b w:val="1"/>
                <w:bCs w:val="1"/>
                <w:color w:val="auto"/>
              </w:rPr>
              <w:t>Total</w:t>
            </w: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3"/>
          </w:tcPr>
          <w:p>
            <w:pPr>
              <w:jc w:val="center"/>
              <w:spacing w:after="0" w:line="63" w:lineRule="exact"/>
              <w:rPr>
                <w:sz w:val="20"/>
                <w:szCs w:val="20"/>
                <w:color w:val="auto"/>
              </w:rPr>
            </w:pPr>
            <w:r>
              <w:rPr>
                <w:rFonts w:ascii="Arial" w:cs="Arial" w:eastAsia="Arial" w:hAnsi="Arial"/>
                <w:sz w:val="7"/>
                <w:szCs w:val="7"/>
                <w:b w:val="1"/>
                <w:bCs w:val="1"/>
                <w:color w:val="auto"/>
              </w:rPr>
              <w:t>September 30,</w:t>
            </w:r>
          </w:p>
        </w:tc>
        <w:tc>
          <w:tcPr>
            <w:tcW w:w="140" w:type="dxa"/>
            <w:vAlign w:val="bottom"/>
          </w:tcPr>
          <w:p>
            <w:pPr>
              <w:spacing w:after="0"/>
              <w:rPr>
                <w:sz w:val="5"/>
                <w:szCs w:val="5"/>
                <w:color w:val="auto"/>
              </w:rPr>
            </w:pPr>
          </w:p>
        </w:tc>
        <w:tc>
          <w:tcPr>
            <w:tcW w:w="900" w:type="dxa"/>
            <w:vAlign w:val="bottom"/>
            <w:gridSpan w:val="2"/>
          </w:tcPr>
          <w:p>
            <w:pPr>
              <w:jc w:val="center"/>
              <w:ind w:left="176"/>
              <w:spacing w:after="0" w:line="63" w:lineRule="exact"/>
              <w:rPr>
                <w:sz w:val="20"/>
                <w:szCs w:val="20"/>
                <w:color w:val="auto"/>
              </w:rPr>
            </w:pPr>
            <w:r>
              <w:rPr>
                <w:rFonts w:ascii="Arial" w:cs="Arial" w:eastAsia="Arial" w:hAnsi="Arial"/>
                <w:sz w:val="7"/>
                <w:szCs w:val="7"/>
                <w:b w:val="1"/>
                <w:bCs w:val="1"/>
                <w:color w:val="auto"/>
              </w:rPr>
              <w:t>September 30,</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jc w:val="center"/>
              <w:spacing w:after="0" w:line="63" w:lineRule="exact"/>
              <w:rPr>
                <w:sz w:val="20"/>
                <w:szCs w:val="20"/>
                <w:color w:val="auto"/>
              </w:rPr>
            </w:pPr>
            <w:r>
              <w:rPr>
                <w:rFonts w:ascii="Arial" w:cs="Arial" w:eastAsia="Arial" w:hAnsi="Arial"/>
                <w:sz w:val="7"/>
                <w:szCs w:val="7"/>
                <w:b w:val="1"/>
                <w:bCs w:val="1"/>
                <w:color w:val="auto"/>
              </w:rPr>
              <w:t>September 30,</w:t>
            </w:r>
          </w:p>
        </w:tc>
        <w:tc>
          <w:tcPr>
            <w:tcW w:w="0" w:type="dxa"/>
            <w:vAlign w:val="bottom"/>
          </w:tcPr>
          <w:p>
            <w:pPr>
              <w:spacing w:after="0"/>
              <w:rPr>
                <w:sz w:val="1"/>
                <w:szCs w:val="1"/>
                <w:color w:val="auto"/>
              </w:rPr>
            </w:pPr>
          </w:p>
        </w:tc>
      </w:tr>
      <w:tr>
        <w:trPr>
          <w:trHeight w:val="98"/>
        </w:trPr>
        <w:tc>
          <w:tcPr>
            <w:tcW w:w="3360" w:type="dxa"/>
            <w:vAlign w:val="bottom"/>
            <w:gridSpan w:val="4"/>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3"/>
          </w:tcPr>
          <w:p>
            <w:pPr>
              <w:jc w:val="right"/>
              <w:spacing w:after="0"/>
              <w:rPr>
                <w:sz w:val="20"/>
                <w:szCs w:val="20"/>
                <w:color w:val="auto"/>
              </w:rPr>
            </w:pPr>
            <w:r>
              <w:rPr>
                <w:rFonts w:ascii="Arial" w:cs="Arial" w:eastAsia="Arial" w:hAnsi="Arial"/>
                <w:sz w:val="8"/>
                <w:szCs w:val="8"/>
                <w:b w:val="1"/>
                <w:bCs w:val="1"/>
                <w:color w:val="auto"/>
              </w:rPr>
              <w:t>​Grants</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3"/>
          </w:tcPr>
          <w:p>
            <w:pPr>
              <w:jc w:val="center"/>
              <w:spacing w:after="0"/>
              <w:rPr>
                <w:sz w:val="20"/>
                <w:szCs w:val="20"/>
                <w:color w:val="auto"/>
              </w:rPr>
            </w:pPr>
            <w:r>
              <w:rPr>
                <w:rFonts w:ascii="Arial" w:cs="Arial" w:eastAsia="Arial" w:hAnsi="Arial"/>
                <w:sz w:val="8"/>
                <w:szCs w:val="8"/>
                <w:b w:val="1"/>
                <w:bCs w:val="1"/>
                <w:color w:val="auto"/>
              </w:rPr>
              <w:t>2023​</w:t>
            </w:r>
          </w:p>
        </w:tc>
        <w:tc>
          <w:tcPr>
            <w:tcW w:w="140" w:type="dxa"/>
            <w:vAlign w:val="bottom"/>
          </w:tcPr>
          <w:p>
            <w:pPr>
              <w:spacing w:after="0"/>
              <w:rPr>
                <w:sz w:val="8"/>
                <w:szCs w:val="8"/>
                <w:color w:val="auto"/>
              </w:rPr>
            </w:pPr>
          </w:p>
        </w:tc>
        <w:tc>
          <w:tcPr>
            <w:tcW w:w="900" w:type="dxa"/>
            <w:vAlign w:val="bottom"/>
            <w:gridSpan w:val="2"/>
          </w:tcPr>
          <w:p>
            <w:pPr>
              <w:jc w:val="center"/>
              <w:ind w:left="156"/>
              <w:spacing w:after="0"/>
              <w:rPr>
                <w:sz w:val="20"/>
                <w:szCs w:val="20"/>
                <w:color w:val="auto"/>
              </w:rPr>
            </w:pPr>
            <w:r>
              <w:rPr>
                <w:rFonts w:ascii="Arial" w:cs="Arial" w:eastAsia="Arial" w:hAnsi="Arial"/>
                <w:sz w:val="8"/>
                <w:szCs w:val="8"/>
                <w:b w:val="1"/>
                <w:bCs w:val="1"/>
                <w:color w:val="auto"/>
              </w:rPr>
              <w:t>2023​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Arial" w:cs="Arial" w:eastAsia="Arial" w:hAnsi="Arial"/>
                <w:sz w:val="8"/>
                <w:szCs w:val="8"/>
                <w:b w:val="1"/>
                <w:bCs w:val="1"/>
                <w:color w:val="auto"/>
              </w:rPr>
              <w:t>2023​</w:t>
            </w:r>
          </w:p>
        </w:tc>
        <w:tc>
          <w:tcPr>
            <w:tcW w:w="0" w:type="dxa"/>
            <w:vAlign w:val="bottom"/>
          </w:tcPr>
          <w:p>
            <w:pPr>
              <w:spacing w:after="0"/>
              <w:rPr>
                <w:sz w:val="1"/>
                <w:szCs w:val="1"/>
                <w:color w:val="auto"/>
              </w:rPr>
            </w:pPr>
          </w:p>
        </w:tc>
      </w:tr>
      <w:tr>
        <w:trPr>
          <w:trHeight w:val="93"/>
        </w:trPr>
        <w:tc>
          <w:tcPr>
            <w:tcW w:w="3220" w:type="dxa"/>
            <w:vAlign w:val="bottom"/>
            <w:tcBorders>
              <w:top w:val="single" w:sz="8" w:color="auto"/>
            </w:tcBorders>
            <w:gridSpan w:val="3"/>
            <w:shd w:val="clear" w:color="auto" w:fill="CCEEFF"/>
          </w:tcPr>
          <w:p>
            <w:pPr>
              <w:spacing w:after="0" w:line="93" w:lineRule="exact"/>
              <w:rPr>
                <w:sz w:val="20"/>
                <w:szCs w:val="20"/>
                <w:color w:val="auto"/>
              </w:rPr>
            </w:pPr>
            <w:r>
              <w:rPr>
                <w:rFonts w:ascii="Arial" w:cs="Arial" w:eastAsia="Arial" w:hAnsi="Arial"/>
                <w:sz w:val="10"/>
                <w:szCs w:val="10"/>
                <w:color w:val="auto"/>
              </w:rPr>
              <w:t>Opening balance</w:t>
            </w:r>
          </w:p>
        </w:tc>
        <w:tc>
          <w:tcPr>
            <w:tcW w:w="14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189,880</w:t>
            </w:r>
          </w:p>
        </w:tc>
        <w:tc>
          <w:tcPr>
            <w:tcW w:w="16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gridSpan w:val="4"/>
            <w:shd w:val="clear" w:color="auto" w:fill="CCEEFF"/>
          </w:tcPr>
          <w:p>
            <w:pPr>
              <w:jc w:val="right"/>
              <w:spacing w:after="0" w:line="93" w:lineRule="exact"/>
              <w:rPr>
                <w:sz w:val="20"/>
                <w:szCs w:val="20"/>
                <w:color w:val="auto"/>
              </w:rPr>
            </w:pPr>
            <w:r>
              <w:rPr>
                <w:rFonts w:ascii="Arial" w:cs="Arial" w:eastAsia="Arial" w:hAnsi="Arial"/>
                <w:sz w:val="10"/>
                <w:szCs w:val="10"/>
                <w:color w:val="auto"/>
              </w:rPr>
              <w:t>507,635</w:t>
            </w:r>
          </w:p>
        </w:tc>
        <w:tc>
          <w:tcPr>
            <w:tcW w:w="1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w w:val="99"/>
              </w:rPr>
              <w:t>697,515</w:t>
            </w:r>
          </w:p>
        </w:tc>
        <w:tc>
          <w:tcPr>
            <w:tcW w:w="14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gridSpan w:val="3"/>
            <w:shd w:val="clear" w:color="auto" w:fill="CCEEFF"/>
          </w:tcPr>
          <w:p>
            <w:pPr>
              <w:jc w:val="right"/>
              <w:spacing w:after="0" w:line="93" w:lineRule="exact"/>
              <w:rPr>
                <w:sz w:val="20"/>
                <w:szCs w:val="20"/>
                <w:color w:val="auto"/>
              </w:rPr>
            </w:pPr>
            <w:r>
              <w:rPr>
                <w:rFonts w:ascii="Arial" w:cs="Arial" w:eastAsia="Arial" w:hAnsi="Arial"/>
                <w:sz w:val="10"/>
                <w:szCs w:val="10"/>
                <w:color w:val="auto"/>
              </w:rPr>
              <w:t>642,908</w:t>
            </w:r>
          </w:p>
        </w:tc>
        <w:tc>
          <w:tcPr>
            <w:tcW w:w="14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gridSpan w:val="4"/>
            <w:shd w:val="clear" w:color="auto" w:fill="CCEEFF"/>
          </w:tcPr>
          <w:p>
            <w:pPr>
              <w:jc w:val="right"/>
              <w:ind w:right="16"/>
              <w:spacing w:after="0" w:line="93" w:lineRule="exact"/>
              <w:rPr>
                <w:sz w:val="20"/>
                <w:szCs w:val="20"/>
                <w:color w:val="auto"/>
              </w:rPr>
            </w:pPr>
            <w:r>
              <w:rPr>
                <w:rFonts w:ascii="Arial" w:cs="Arial" w:eastAsia="Arial" w:hAnsi="Arial"/>
                <w:sz w:val="10"/>
                <w:szCs w:val="10"/>
                <w:color w:val="auto"/>
              </w:rPr>
              <w:t>18,758</w:t>
            </w:r>
          </w:p>
        </w:tc>
        <w:tc>
          <w:tcPr>
            <w:tcW w:w="14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35,849</w:t>
            </w:r>
          </w:p>
        </w:tc>
        <w:tc>
          <w:tcPr>
            <w:tcW w:w="0" w:type="dxa"/>
            <w:vAlign w:val="bottom"/>
          </w:tcPr>
          <w:p>
            <w:pPr>
              <w:spacing w:after="0"/>
              <w:rPr>
                <w:sz w:val="1"/>
                <w:szCs w:val="1"/>
                <w:color w:val="auto"/>
              </w:rPr>
            </w:pPr>
          </w:p>
        </w:tc>
      </w:tr>
      <w:tr>
        <w:trPr>
          <w:trHeight w:val="93"/>
        </w:trPr>
        <w:tc>
          <w:tcPr>
            <w:tcW w:w="72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226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10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100" w:type="dxa"/>
            <w:vAlign w:val="bottom"/>
            <w:tcBorders>
              <w:top w:val="single" w:sz="8" w:color="CCEEFF"/>
            </w:tcBorders>
            <w:gridSpan w:val="4"/>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44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100" w:type="dxa"/>
            <w:vAlign w:val="bottom"/>
            <w:tcBorders>
              <w:top w:val="single" w:sz="8" w:color="CCEEFF"/>
            </w:tcBorders>
            <w:gridSpan w:val="3"/>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100" w:type="dxa"/>
            <w:vAlign w:val="bottom"/>
            <w:tcBorders>
              <w:top w:val="single" w:sz="8" w:color="CCEEFF"/>
            </w:tcBorders>
            <w:gridSpan w:val="4"/>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04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360" w:type="dxa"/>
            <w:vAlign w:val="bottom"/>
            <w:gridSpan w:val="4"/>
            <w:shd w:val="clear" w:color="auto" w:fill="CCEEFF"/>
          </w:tcPr>
          <w:p>
            <w:pPr>
              <w:spacing w:after="0" w:line="105" w:lineRule="exact"/>
              <w:rPr>
                <w:sz w:val="20"/>
                <w:szCs w:val="20"/>
                <w:color w:val="auto"/>
              </w:rPr>
            </w:pPr>
            <w:r>
              <w:rPr>
                <w:rFonts w:ascii="Arial" w:cs="Arial" w:eastAsia="Arial" w:hAnsi="Arial"/>
                <w:sz w:val="10"/>
                <w:szCs w:val="10"/>
                <w:color w:val="auto"/>
              </w:rPr>
              <w:t>April 5, 2021</w:t>
            </w:r>
          </w:p>
        </w:tc>
        <w:tc>
          <w:tcPr>
            <w:tcW w:w="11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1260" w:type="dxa"/>
            <w:vAlign w:val="bottom"/>
            <w:gridSpan w:val="5"/>
            <w:shd w:val="clear" w:color="auto" w:fill="CCEEFF"/>
          </w:tcPr>
          <w:p>
            <w:pPr>
              <w:jc w:val="right"/>
              <w:spacing w:after="0" w:line="105" w:lineRule="exact"/>
              <w:rPr>
                <w:sz w:val="20"/>
                <w:szCs w:val="20"/>
                <w:color w:val="auto"/>
              </w:rPr>
            </w:pPr>
            <w:r>
              <w:rPr>
                <w:rFonts w:ascii="Arial" w:cs="Arial" w:eastAsia="Arial" w:hAnsi="Arial"/>
                <w:sz w:val="10"/>
                <w:szCs w:val="10"/>
                <w:color w:val="auto"/>
              </w:rPr>
              <w:t>262,830</w:t>
            </w: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w w:val="99"/>
              </w:rPr>
              <w:t>262,830</w:t>
            </w:r>
          </w:p>
        </w:tc>
        <w:tc>
          <w:tcPr>
            <w:tcW w:w="1240" w:type="dxa"/>
            <w:vAlign w:val="bottom"/>
            <w:gridSpan w:val="4"/>
            <w:shd w:val="clear" w:color="auto" w:fill="CCEEFF"/>
          </w:tcPr>
          <w:p>
            <w:pPr>
              <w:jc w:val="right"/>
              <w:spacing w:after="0" w:line="105" w:lineRule="exact"/>
              <w:rPr>
                <w:sz w:val="20"/>
                <w:szCs w:val="20"/>
                <w:color w:val="auto"/>
              </w:rPr>
            </w:pPr>
            <w:r>
              <w:rPr>
                <w:rFonts w:ascii="Arial" w:cs="Arial" w:eastAsia="Arial" w:hAnsi="Arial"/>
                <w:sz w:val="10"/>
                <w:szCs w:val="10"/>
                <w:color w:val="auto"/>
              </w:rPr>
              <w:t>90,804</w:t>
            </w:r>
          </w:p>
        </w:tc>
        <w:tc>
          <w:tcPr>
            <w:tcW w:w="1240" w:type="dxa"/>
            <w:vAlign w:val="bottom"/>
            <w:gridSpan w:val="5"/>
            <w:shd w:val="clear" w:color="auto" w:fill="CCEEFF"/>
          </w:tcPr>
          <w:p>
            <w:pPr>
              <w:jc w:val="right"/>
              <w:ind w:right="16"/>
              <w:spacing w:after="0" w:line="105" w:lineRule="exact"/>
              <w:rPr>
                <w:sz w:val="20"/>
                <w:szCs w:val="20"/>
                <w:color w:val="auto"/>
              </w:rPr>
            </w:pPr>
            <w:r>
              <w:rPr>
                <w:rFonts w:ascii="Arial" w:cs="Arial" w:eastAsia="Arial" w:hAnsi="Arial"/>
                <w:sz w:val="10"/>
                <w:szCs w:val="10"/>
                <w:color w:val="auto"/>
              </w:rPr>
              <w:t>149,008</w:t>
            </w:r>
          </w:p>
        </w:tc>
        <w:tc>
          <w:tcPr>
            <w:tcW w:w="118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23,018</w:t>
            </w:r>
          </w:p>
        </w:tc>
        <w:tc>
          <w:tcPr>
            <w:tcW w:w="0" w:type="dxa"/>
            <w:vAlign w:val="bottom"/>
          </w:tcPr>
          <w:p>
            <w:pPr>
              <w:spacing w:after="0"/>
              <w:rPr>
                <w:sz w:val="1"/>
                <w:szCs w:val="1"/>
                <w:color w:val="auto"/>
              </w:rPr>
            </w:pPr>
          </w:p>
        </w:tc>
      </w:tr>
      <w:tr>
        <w:trPr>
          <w:trHeight w:val="105"/>
        </w:trPr>
        <w:tc>
          <w:tcPr>
            <w:tcW w:w="3360" w:type="dxa"/>
            <w:vAlign w:val="bottom"/>
            <w:gridSpan w:val="4"/>
          </w:tcPr>
          <w:p>
            <w:pPr>
              <w:spacing w:after="0" w:line="105" w:lineRule="exact"/>
              <w:rPr>
                <w:sz w:val="20"/>
                <w:szCs w:val="20"/>
                <w:color w:val="auto"/>
              </w:rPr>
            </w:pPr>
            <w:r>
              <w:rPr>
                <w:rFonts w:ascii="Arial" w:cs="Arial" w:eastAsia="Arial" w:hAnsi="Arial"/>
                <w:sz w:val="10"/>
                <w:szCs w:val="10"/>
                <w:color w:val="auto"/>
              </w:rPr>
              <w:t>April 19, 2021</w:t>
            </w:r>
          </w:p>
        </w:tc>
        <w:tc>
          <w:tcPr>
            <w:tcW w:w="11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260" w:type="dxa"/>
            <w:vAlign w:val="bottom"/>
            <w:gridSpan w:val="5"/>
          </w:tcPr>
          <w:p>
            <w:pPr>
              <w:jc w:val="right"/>
              <w:spacing w:after="0" w:line="105" w:lineRule="exact"/>
              <w:rPr>
                <w:sz w:val="20"/>
                <w:szCs w:val="20"/>
                <w:color w:val="auto"/>
              </w:rPr>
            </w:pPr>
            <w:r>
              <w:rPr>
                <w:rFonts w:ascii="Arial" w:cs="Arial" w:eastAsia="Arial" w:hAnsi="Arial"/>
                <w:sz w:val="10"/>
                <w:szCs w:val="10"/>
                <w:color w:val="auto"/>
              </w:rPr>
              <w:t>22,888</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5" w:lineRule="exact"/>
              <w:rPr>
                <w:sz w:val="20"/>
                <w:szCs w:val="20"/>
                <w:color w:val="auto"/>
              </w:rPr>
            </w:pPr>
            <w:r>
              <w:rPr>
                <w:rFonts w:ascii="Arial" w:cs="Arial" w:eastAsia="Arial" w:hAnsi="Arial"/>
                <w:sz w:val="10"/>
                <w:szCs w:val="10"/>
                <w:color w:val="auto"/>
              </w:rPr>
              <w:t>22,888</w:t>
            </w:r>
          </w:p>
        </w:tc>
        <w:tc>
          <w:tcPr>
            <w:tcW w:w="1240" w:type="dxa"/>
            <w:vAlign w:val="bottom"/>
            <w:gridSpan w:val="4"/>
          </w:tcPr>
          <w:p>
            <w:pPr>
              <w:jc w:val="right"/>
              <w:spacing w:after="0" w:line="105" w:lineRule="exact"/>
              <w:rPr>
                <w:sz w:val="20"/>
                <w:szCs w:val="20"/>
                <w:color w:val="auto"/>
              </w:rPr>
            </w:pPr>
            <w:r>
              <w:rPr>
                <w:rFonts w:ascii="Arial" w:cs="Arial" w:eastAsia="Arial" w:hAnsi="Arial"/>
                <w:sz w:val="10"/>
                <w:szCs w:val="10"/>
                <w:color w:val="auto"/>
              </w:rPr>
              <w:t>10,831</w:t>
            </w:r>
          </w:p>
        </w:tc>
        <w:tc>
          <w:tcPr>
            <w:tcW w:w="1240" w:type="dxa"/>
            <w:vAlign w:val="bottom"/>
            <w:gridSpan w:val="5"/>
          </w:tcPr>
          <w:p>
            <w:pPr>
              <w:jc w:val="right"/>
              <w:ind w:right="16"/>
              <w:spacing w:after="0" w:line="105" w:lineRule="exact"/>
              <w:rPr>
                <w:sz w:val="20"/>
                <w:szCs w:val="20"/>
                <w:color w:val="auto"/>
              </w:rPr>
            </w:pPr>
            <w:r>
              <w:rPr>
                <w:rFonts w:ascii="Arial" w:cs="Arial" w:eastAsia="Arial" w:hAnsi="Arial"/>
                <w:sz w:val="10"/>
                <w:szCs w:val="10"/>
                <w:color w:val="auto"/>
              </w:rPr>
              <w:t>10,560</w:t>
            </w:r>
          </w:p>
        </w:tc>
        <w:tc>
          <w:tcPr>
            <w:tcW w:w="118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1,497</w:t>
            </w:r>
          </w:p>
        </w:tc>
        <w:tc>
          <w:tcPr>
            <w:tcW w:w="0" w:type="dxa"/>
            <w:vAlign w:val="bottom"/>
          </w:tcPr>
          <w:p>
            <w:pPr>
              <w:spacing w:after="0"/>
              <w:rPr>
                <w:sz w:val="1"/>
                <w:szCs w:val="1"/>
                <w:color w:val="auto"/>
              </w:rPr>
            </w:pPr>
          </w:p>
        </w:tc>
      </w:tr>
      <w:tr>
        <w:trPr>
          <w:trHeight w:val="105"/>
        </w:trPr>
        <w:tc>
          <w:tcPr>
            <w:tcW w:w="3360" w:type="dxa"/>
            <w:vAlign w:val="bottom"/>
            <w:gridSpan w:val="4"/>
            <w:shd w:val="clear" w:color="auto" w:fill="CCEEFF"/>
          </w:tcPr>
          <w:p>
            <w:pPr>
              <w:spacing w:after="0" w:line="105" w:lineRule="exact"/>
              <w:rPr>
                <w:sz w:val="20"/>
                <w:szCs w:val="20"/>
                <w:color w:val="auto"/>
              </w:rPr>
            </w:pPr>
            <w:r>
              <w:rPr>
                <w:rFonts w:ascii="Arial" w:cs="Arial" w:eastAsia="Arial" w:hAnsi="Arial"/>
                <w:sz w:val="10"/>
                <w:szCs w:val="10"/>
                <w:color w:val="auto"/>
              </w:rPr>
              <w:t>August 11, 2021</w:t>
            </w:r>
          </w:p>
        </w:tc>
        <w:tc>
          <w:tcPr>
            <w:tcW w:w="11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26,924</w:t>
            </w: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gridSpan w:val="4"/>
            <w:shd w:val="clear" w:color="auto" w:fill="CCEEFF"/>
          </w:tcPr>
          <w:p>
            <w:pPr>
              <w:jc w:val="right"/>
              <w:ind w:right="593"/>
              <w:spacing w:after="0" w:line="105"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26,924</w:t>
            </w:r>
          </w:p>
        </w:tc>
        <w:tc>
          <w:tcPr>
            <w:tcW w:w="1240" w:type="dxa"/>
            <w:vAlign w:val="bottom"/>
            <w:gridSpan w:val="4"/>
            <w:shd w:val="clear" w:color="auto" w:fill="CCEEFF"/>
          </w:tcPr>
          <w:p>
            <w:pPr>
              <w:jc w:val="right"/>
              <w:spacing w:after="0" w:line="105" w:lineRule="exact"/>
              <w:rPr>
                <w:sz w:val="20"/>
                <w:szCs w:val="20"/>
                <w:color w:val="auto"/>
              </w:rPr>
            </w:pPr>
            <w:r>
              <w:rPr>
                <w:rFonts w:ascii="Arial" w:cs="Arial" w:eastAsia="Arial" w:hAnsi="Arial"/>
                <w:sz w:val="10"/>
                <w:szCs w:val="10"/>
                <w:color w:val="auto"/>
              </w:rPr>
              <w:t>26,924</w:t>
            </w:r>
          </w:p>
        </w:tc>
        <w:tc>
          <w:tcPr>
            <w:tcW w:w="1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gridSpan w:val="2"/>
            <w:shd w:val="clear" w:color="auto" w:fill="CCEEFF"/>
          </w:tcPr>
          <w:p>
            <w:pPr>
              <w:jc w:val="right"/>
              <w:ind w:right="16"/>
              <w:spacing w:after="0" w:line="105"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3360" w:type="dxa"/>
            <w:vAlign w:val="bottom"/>
            <w:gridSpan w:val="4"/>
          </w:tcPr>
          <w:p>
            <w:pPr>
              <w:spacing w:after="0" w:line="105" w:lineRule="exact"/>
              <w:rPr>
                <w:sz w:val="20"/>
                <w:szCs w:val="20"/>
                <w:color w:val="auto"/>
              </w:rPr>
            </w:pPr>
            <w:r>
              <w:rPr>
                <w:rFonts w:ascii="Arial" w:cs="Arial" w:eastAsia="Arial" w:hAnsi="Arial"/>
                <w:sz w:val="10"/>
                <w:szCs w:val="10"/>
                <w:color w:val="auto"/>
              </w:rPr>
              <w:t>December 8, 2021</w:t>
            </w:r>
          </w:p>
        </w:tc>
        <w:tc>
          <w:tcPr>
            <w:tcW w:w="1100" w:type="dxa"/>
            <w:vAlign w:val="bottom"/>
          </w:tcPr>
          <w:p>
            <w:pPr>
              <w:jc w:val="right"/>
              <w:spacing w:after="0" w:line="105" w:lineRule="exact"/>
              <w:rPr>
                <w:sz w:val="20"/>
                <w:szCs w:val="20"/>
                <w:color w:val="auto"/>
              </w:rPr>
            </w:pPr>
            <w:r>
              <w:rPr>
                <w:rFonts w:ascii="Arial" w:cs="Arial" w:eastAsia="Arial" w:hAnsi="Arial"/>
                <w:sz w:val="10"/>
                <w:szCs w:val="10"/>
                <w:color w:val="auto"/>
              </w:rPr>
              <w:t>48,951</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4"/>
          </w:tcPr>
          <w:p>
            <w:pPr>
              <w:jc w:val="right"/>
              <w:ind w:right="593"/>
              <w:spacing w:after="0" w:line="105"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5" w:lineRule="exact"/>
              <w:rPr>
                <w:sz w:val="20"/>
                <w:szCs w:val="20"/>
                <w:color w:val="auto"/>
              </w:rPr>
            </w:pPr>
            <w:r>
              <w:rPr>
                <w:rFonts w:ascii="Arial" w:cs="Arial" w:eastAsia="Arial" w:hAnsi="Arial"/>
                <w:sz w:val="10"/>
                <w:szCs w:val="10"/>
                <w:color w:val="auto"/>
              </w:rPr>
              <w:t>48,951</w:t>
            </w:r>
          </w:p>
        </w:tc>
        <w:tc>
          <w:tcPr>
            <w:tcW w:w="1240" w:type="dxa"/>
            <w:vAlign w:val="bottom"/>
            <w:gridSpan w:val="4"/>
          </w:tcPr>
          <w:p>
            <w:pPr>
              <w:jc w:val="right"/>
              <w:spacing w:after="0" w:line="105" w:lineRule="exact"/>
              <w:rPr>
                <w:sz w:val="20"/>
                <w:szCs w:val="20"/>
                <w:color w:val="auto"/>
              </w:rPr>
            </w:pPr>
            <w:r>
              <w:rPr>
                <w:rFonts w:ascii="Arial" w:cs="Arial" w:eastAsia="Arial" w:hAnsi="Arial"/>
                <w:sz w:val="10"/>
                <w:szCs w:val="10"/>
                <w:color w:val="auto"/>
              </w:rPr>
              <w:t>48,951</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tcPr>
          <w:p>
            <w:pPr>
              <w:jc w:val="right"/>
              <w:ind w:right="16"/>
              <w:spacing w:after="0" w:line="10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3360" w:type="dxa"/>
            <w:vAlign w:val="bottom"/>
            <w:gridSpan w:val="4"/>
            <w:shd w:val="clear" w:color="auto" w:fill="CCEEFF"/>
          </w:tcPr>
          <w:p>
            <w:pPr>
              <w:spacing w:after="0" w:line="105" w:lineRule="exact"/>
              <w:rPr>
                <w:sz w:val="20"/>
                <w:szCs w:val="20"/>
                <w:color w:val="auto"/>
              </w:rPr>
            </w:pPr>
            <w:r>
              <w:rPr>
                <w:rFonts w:ascii="Arial" w:cs="Arial" w:eastAsia="Arial" w:hAnsi="Arial"/>
                <w:sz w:val="10"/>
                <w:szCs w:val="10"/>
                <w:color w:val="auto"/>
              </w:rPr>
              <w:t>April 18, 2022</w:t>
            </w:r>
          </w:p>
        </w:tc>
        <w:tc>
          <w:tcPr>
            <w:tcW w:w="11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1260" w:type="dxa"/>
            <w:vAlign w:val="bottom"/>
            <w:gridSpan w:val="5"/>
            <w:shd w:val="clear" w:color="auto" w:fill="CCEEFF"/>
          </w:tcPr>
          <w:p>
            <w:pPr>
              <w:jc w:val="right"/>
              <w:spacing w:after="0" w:line="105" w:lineRule="exact"/>
              <w:rPr>
                <w:sz w:val="20"/>
                <w:szCs w:val="20"/>
                <w:color w:val="auto"/>
              </w:rPr>
            </w:pPr>
            <w:r>
              <w:rPr>
                <w:rFonts w:ascii="Arial" w:cs="Arial" w:eastAsia="Arial" w:hAnsi="Arial"/>
                <w:sz w:val="10"/>
                <w:szCs w:val="10"/>
                <w:color w:val="auto"/>
              </w:rPr>
              <w:t>428,899</w:t>
            </w: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w w:val="99"/>
              </w:rPr>
              <w:t>428,899</w:t>
            </w:r>
          </w:p>
        </w:tc>
        <w:tc>
          <w:tcPr>
            <w:tcW w:w="1240" w:type="dxa"/>
            <w:vAlign w:val="bottom"/>
            <w:gridSpan w:val="4"/>
            <w:shd w:val="clear" w:color="auto" w:fill="CCEEFF"/>
          </w:tcPr>
          <w:p>
            <w:pPr>
              <w:jc w:val="right"/>
              <w:spacing w:after="0" w:line="105" w:lineRule="exact"/>
              <w:rPr>
                <w:sz w:val="20"/>
                <w:szCs w:val="20"/>
                <w:color w:val="auto"/>
              </w:rPr>
            </w:pPr>
            <w:r>
              <w:rPr>
                <w:rFonts w:ascii="Arial" w:cs="Arial" w:eastAsia="Arial" w:hAnsi="Arial"/>
                <w:sz w:val="10"/>
                <w:szCs w:val="10"/>
                <w:color w:val="auto"/>
              </w:rPr>
              <w:t>75,721</w:t>
            </w:r>
          </w:p>
        </w:tc>
        <w:tc>
          <w:tcPr>
            <w:tcW w:w="1240" w:type="dxa"/>
            <w:vAlign w:val="bottom"/>
            <w:gridSpan w:val="5"/>
            <w:shd w:val="clear" w:color="auto" w:fill="CCEEFF"/>
          </w:tcPr>
          <w:p>
            <w:pPr>
              <w:jc w:val="right"/>
              <w:ind w:right="16"/>
              <w:spacing w:after="0" w:line="105" w:lineRule="exact"/>
              <w:rPr>
                <w:sz w:val="20"/>
                <w:szCs w:val="20"/>
                <w:color w:val="auto"/>
              </w:rPr>
            </w:pPr>
            <w:r>
              <w:rPr>
                <w:rFonts w:ascii="Arial" w:cs="Arial" w:eastAsia="Arial" w:hAnsi="Arial"/>
                <w:sz w:val="10"/>
                <w:szCs w:val="10"/>
                <w:color w:val="auto"/>
              </w:rPr>
              <w:t>316,601</w:t>
            </w:r>
          </w:p>
        </w:tc>
        <w:tc>
          <w:tcPr>
            <w:tcW w:w="118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36,577</w:t>
            </w:r>
          </w:p>
        </w:tc>
        <w:tc>
          <w:tcPr>
            <w:tcW w:w="0" w:type="dxa"/>
            <w:vAlign w:val="bottom"/>
          </w:tcPr>
          <w:p>
            <w:pPr>
              <w:spacing w:after="0"/>
              <w:rPr>
                <w:sz w:val="1"/>
                <w:szCs w:val="1"/>
                <w:color w:val="auto"/>
              </w:rPr>
            </w:pPr>
          </w:p>
        </w:tc>
      </w:tr>
      <w:tr>
        <w:trPr>
          <w:trHeight w:val="105"/>
        </w:trPr>
        <w:tc>
          <w:tcPr>
            <w:tcW w:w="3360" w:type="dxa"/>
            <w:vAlign w:val="bottom"/>
            <w:gridSpan w:val="4"/>
          </w:tcPr>
          <w:p>
            <w:pPr>
              <w:spacing w:after="0" w:line="105" w:lineRule="exact"/>
              <w:rPr>
                <w:sz w:val="20"/>
                <w:szCs w:val="20"/>
                <w:color w:val="auto"/>
              </w:rPr>
            </w:pPr>
            <w:r>
              <w:rPr>
                <w:rFonts w:ascii="Arial" w:cs="Arial" w:eastAsia="Arial" w:hAnsi="Arial"/>
                <w:sz w:val="10"/>
                <w:szCs w:val="10"/>
                <w:color w:val="auto"/>
              </w:rPr>
              <w:t>December 15, 2022</w:t>
            </w:r>
          </w:p>
        </w:tc>
        <w:tc>
          <w:tcPr>
            <w:tcW w:w="1100" w:type="dxa"/>
            <w:vAlign w:val="bottom"/>
          </w:tcPr>
          <w:p>
            <w:pPr>
              <w:jc w:val="right"/>
              <w:spacing w:after="0" w:line="105" w:lineRule="exact"/>
              <w:rPr>
                <w:sz w:val="20"/>
                <w:szCs w:val="20"/>
                <w:color w:val="auto"/>
              </w:rPr>
            </w:pPr>
            <w:r>
              <w:rPr>
                <w:rFonts w:ascii="Arial" w:cs="Arial" w:eastAsia="Arial" w:hAnsi="Arial"/>
                <w:sz w:val="10"/>
                <w:szCs w:val="10"/>
                <w:color w:val="auto"/>
              </w:rPr>
              <w:t>73,683</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4"/>
          </w:tcPr>
          <w:p>
            <w:pPr>
              <w:jc w:val="right"/>
              <w:ind w:right="593"/>
              <w:spacing w:after="0" w:line="105"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5" w:lineRule="exact"/>
              <w:rPr>
                <w:sz w:val="20"/>
                <w:szCs w:val="20"/>
                <w:color w:val="auto"/>
              </w:rPr>
            </w:pPr>
            <w:r>
              <w:rPr>
                <w:rFonts w:ascii="Arial" w:cs="Arial" w:eastAsia="Arial" w:hAnsi="Arial"/>
                <w:sz w:val="10"/>
                <w:szCs w:val="10"/>
                <w:color w:val="auto"/>
              </w:rPr>
              <w:t>73,683</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240" w:type="dxa"/>
            <w:vAlign w:val="bottom"/>
            <w:gridSpan w:val="5"/>
          </w:tcPr>
          <w:p>
            <w:pPr>
              <w:jc w:val="right"/>
              <w:ind w:right="16"/>
              <w:spacing w:after="0" w:line="105" w:lineRule="exact"/>
              <w:rPr>
                <w:sz w:val="20"/>
                <w:szCs w:val="20"/>
                <w:color w:val="auto"/>
              </w:rPr>
            </w:pPr>
            <w:r>
              <w:rPr>
                <w:rFonts w:ascii="Arial" w:cs="Arial" w:eastAsia="Arial" w:hAnsi="Arial"/>
                <w:sz w:val="10"/>
                <w:szCs w:val="10"/>
                <w:color w:val="auto"/>
              </w:rPr>
              <w:t>73,683</w:t>
            </w:r>
          </w:p>
        </w:tc>
        <w:tc>
          <w:tcPr>
            <w:tcW w:w="140" w:type="dxa"/>
            <w:vAlign w:val="bottom"/>
          </w:tcPr>
          <w:p>
            <w:pPr>
              <w:spacing w:after="0"/>
              <w:rPr>
                <w:sz w:val="9"/>
                <w:szCs w:val="9"/>
                <w:color w:val="auto"/>
              </w:rPr>
            </w:pPr>
          </w:p>
        </w:tc>
        <w:tc>
          <w:tcPr>
            <w:tcW w:w="10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3360" w:type="dxa"/>
            <w:vAlign w:val="bottom"/>
            <w:gridSpan w:val="4"/>
            <w:shd w:val="clear" w:color="auto" w:fill="CCEEFF"/>
          </w:tcPr>
          <w:p>
            <w:pPr>
              <w:spacing w:after="0" w:line="105" w:lineRule="exact"/>
              <w:rPr>
                <w:sz w:val="20"/>
                <w:szCs w:val="20"/>
                <w:color w:val="auto"/>
              </w:rPr>
            </w:pPr>
            <w:r>
              <w:rPr>
                <w:rFonts w:ascii="Arial" w:cs="Arial" w:eastAsia="Arial" w:hAnsi="Arial"/>
                <w:sz w:val="10"/>
                <w:szCs w:val="10"/>
                <w:color w:val="auto"/>
              </w:rPr>
              <w:t>April 11, 2023</w:t>
            </w:r>
          </w:p>
        </w:tc>
        <w:tc>
          <w:tcPr>
            <w:tcW w:w="11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1260" w:type="dxa"/>
            <w:vAlign w:val="bottom"/>
            <w:gridSpan w:val="5"/>
            <w:shd w:val="clear" w:color="auto" w:fill="CCEEFF"/>
          </w:tcPr>
          <w:p>
            <w:pPr>
              <w:jc w:val="right"/>
              <w:spacing w:after="0" w:line="105" w:lineRule="exact"/>
              <w:rPr>
                <w:sz w:val="20"/>
                <w:szCs w:val="20"/>
                <w:color w:val="auto"/>
              </w:rPr>
            </w:pPr>
            <w:r>
              <w:rPr>
                <w:rFonts w:ascii="Arial" w:cs="Arial" w:eastAsia="Arial" w:hAnsi="Arial"/>
                <w:sz w:val="10"/>
                <w:szCs w:val="10"/>
                <w:color w:val="auto"/>
              </w:rPr>
              <w:t>413,536</w:t>
            </w: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w w:val="99"/>
              </w:rPr>
              <w:t>413,536</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1240" w:type="dxa"/>
            <w:vAlign w:val="bottom"/>
            <w:gridSpan w:val="5"/>
            <w:shd w:val="clear" w:color="auto" w:fill="CCEEFF"/>
          </w:tcPr>
          <w:p>
            <w:pPr>
              <w:jc w:val="right"/>
              <w:ind w:right="16"/>
              <w:spacing w:after="0" w:line="105" w:lineRule="exact"/>
              <w:rPr>
                <w:sz w:val="20"/>
                <w:szCs w:val="20"/>
                <w:color w:val="auto"/>
              </w:rPr>
            </w:pPr>
            <w:r>
              <w:rPr>
                <w:rFonts w:ascii="Arial" w:cs="Arial" w:eastAsia="Arial" w:hAnsi="Arial"/>
                <w:sz w:val="10"/>
                <w:szCs w:val="10"/>
                <w:color w:val="auto"/>
              </w:rPr>
              <w:t>413,536</w:t>
            </w: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3360" w:type="dxa"/>
            <w:vAlign w:val="bottom"/>
            <w:gridSpan w:val="4"/>
          </w:tcPr>
          <w:p>
            <w:pPr>
              <w:spacing w:after="0" w:line="105" w:lineRule="exact"/>
              <w:rPr>
                <w:sz w:val="20"/>
                <w:szCs w:val="20"/>
                <w:color w:val="auto"/>
              </w:rPr>
            </w:pPr>
            <w:r>
              <w:rPr>
                <w:rFonts w:ascii="Arial" w:cs="Arial" w:eastAsia="Arial" w:hAnsi="Arial"/>
                <w:sz w:val="10"/>
                <w:szCs w:val="10"/>
                <w:color w:val="auto"/>
              </w:rPr>
              <w:t>April 21, 2023</w:t>
            </w:r>
          </w:p>
        </w:tc>
        <w:tc>
          <w:tcPr>
            <w:tcW w:w="11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260" w:type="dxa"/>
            <w:vAlign w:val="bottom"/>
            <w:gridSpan w:val="5"/>
          </w:tcPr>
          <w:p>
            <w:pPr>
              <w:jc w:val="right"/>
              <w:spacing w:after="0" w:line="105" w:lineRule="exact"/>
              <w:rPr>
                <w:sz w:val="20"/>
                <w:szCs w:val="20"/>
                <w:color w:val="auto"/>
              </w:rPr>
            </w:pPr>
            <w:r>
              <w:rPr>
                <w:rFonts w:ascii="Arial" w:cs="Arial" w:eastAsia="Arial" w:hAnsi="Arial"/>
                <w:sz w:val="10"/>
                <w:szCs w:val="10"/>
                <w:color w:val="auto"/>
              </w:rPr>
              <w:t>237,719</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5" w:lineRule="exact"/>
              <w:rPr>
                <w:sz w:val="20"/>
                <w:szCs w:val="20"/>
                <w:color w:val="auto"/>
              </w:rPr>
            </w:pPr>
            <w:r>
              <w:rPr>
                <w:rFonts w:ascii="Arial" w:cs="Arial" w:eastAsia="Arial" w:hAnsi="Arial"/>
                <w:sz w:val="10"/>
                <w:szCs w:val="10"/>
                <w:color w:val="auto"/>
                <w:w w:val="99"/>
              </w:rPr>
              <w:t>237,719</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240" w:type="dxa"/>
            <w:vAlign w:val="bottom"/>
            <w:gridSpan w:val="5"/>
          </w:tcPr>
          <w:p>
            <w:pPr>
              <w:jc w:val="right"/>
              <w:ind w:right="16"/>
              <w:spacing w:after="0" w:line="105" w:lineRule="exact"/>
              <w:rPr>
                <w:sz w:val="20"/>
                <w:szCs w:val="20"/>
                <w:color w:val="auto"/>
              </w:rPr>
            </w:pPr>
            <w:r>
              <w:rPr>
                <w:rFonts w:ascii="Arial" w:cs="Arial" w:eastAsia="Arial" w:hAnsi="Arial"/>
                <w:sz w:val="10"/>
                <w:szCs w:val="10"/>
                <w:color w:val="auto"/>
              </w:rPr>
              <w:t>237,719</w:t>
            </w:r>
          </w:p>
        </w:tc>
        <w:tc>
          <w:tcPr>
            <w:tcW w:w="140" w:type="dxa"/>
            <w:vAlign w:val="bottom"/>
          </w:tcPr>
          <w:p>
            <w:pPr>
              <w:spacing w:after="0"/>
              <w:rPr>
                <w:sz w:val="9"/>
                <w:szCs w:val="9"/>
                <w:color w:val="auto"/>
              </w:rPr>
            </w:pPr>
          </w:p>
        </w:tc>
        <w:tc>
          <w:tcPr>
            <w:tcW w:w="10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3360" w:type="dxa"/>
            <w:vAlign w:val="bottom"/>
            <w:gridSpan w:val="4"/>
            <w:shd w:val="clear" w:color="auto" w:fill="CCEEFF"/>
          </w:tcPr>
          <w:p>
            <w:pPr>
              <w:spacing w:after="0" w:line="105" w:lineRule="exact"/>
              <w:rPr>
                <w:sz w:val="20"/>
                <w:szCs w:val="20"/>
                <w:color w:val="auto"/>
              </w:rPr>
            </w:pPr>
            <w:r>
              <w:rPr>
                <w:rFonts w:ascii="Arial" w:cs="Arial" w:eastAsia="Arial" w:hAnsi="Arial"/>
                <w:sz w:val="10"/>
                <w:szCs w:val="10"/>
                <w:color w:val="auto"/>
              </w:rPr>
              <w:t>April 28, 2023</w:t>
            </w:r>
          </w:p>
        </w:tc>
        <w:tc>
          <w:tcPr>
            <w:tcW w:w="11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1260" w:type="dxa"/>
            <w:vAlign w:val="bottom"/>
            <w:gridSpan w:val="5"/>
            <w:shd w:val="clear" w:color="auto" w:fill="CCEEFF"/>
          </w:tcPr>
          <w:p>
            <w:pPr>
              <w:jc w:val="right"/>
              <w:spacing w:after="0" w:line="105" w:lineRule="exact"/>
              <w:rPr>
                <w:sz w:val="20"/>
                <w:szCs w:val="20"/>
                <w:color w:val="auto"/>
              </w:rPr>
            </w:pPr>
            <w:r>
              <w:rPr>
                <w:rFonts w:ascii="Arial" w:cs="Arial" w:eastAsia="Arial" w:hAnsi="Arial"/>
                <w:sz w:val="10"/>
                <w:szCs w:val="10"/>
                <w:color w:val="auto"/>
              </w:rPr>
              <w:t>20,427</w:t>
            </w: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20,427</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1240" w:type="dxa"/>
            <w:vAlign w:val="bottom"/>
            <w:gridSpan w:val="5"/>
            <w:shd w:val="clear" w:color="auto" w:fill="CCEEFF"/>
          </w:tcPr>
          <w:p>
            <w:pPr>
              <w:jc w:val="right"/>
              <w:ind w:right="16"/>
              <w:spacing w:after="0" w:line="105" w:lineRule="exact"/>
              <w:rPr>
                <w:sz w:val="20"/>
                <w:szCs w:val="20"/>
                <w:color w:val="auto"/>
              </w:rPr>
            </w:pPr>
            <w:r>
              <w:rPr>
                <w:rFonts w:ascii="Arial" w:cs="Arial" w:eastAsia="Arial" w:hAnsi="Arial"/>
                <w:sz w:val="10"/>
                <w:szCs w:val="10"/>
                <w:color w:val="auto"/>
              </w:rPr>
              <w:t>20,427</w:t>
            </w: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72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226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100" w:type="dxa"/>
            <w:vAlign w:val="bottom"/>
            <w:tcBorders>
              <w:bottom w:val="single" w:sz="8" w:color="auto"/>
            </w:tcBorders>
            <w:gridSpan w:val="4"/>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3"/>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100" w:type="dxa"/>
            <w:vAlign w:val="bottom"/>
            <w:tcBorders>
              <w:bottom w:val="single" w:sz="8" w:color="auto"/>
            </w:tcBorders>
            <w:gridSpan w:val="3"/>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100" w:type="dxa"/>
            <w:vAlign w:val="bottom"/>
            <w:tcBorders>
              <w:bottom w:val="single" w:sz="8" w:color="auto"/>
            </w:tcBorders>
            <w:gridSpan w:val="4"/>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220" w:type="dxa"/>
            <w:vAlign w:val="bottom"/>
            <w:tcBorders>
              <w:bottom w:val="single" w:sz="8" w:color="auto"/>
            </w:tcBorders>
            <w:gridSpan w:val="3"/>
            <w:shd w:val="clear" w:color="auto" w:fill="CCEEFF"/>
          </w:tcPr>
          <w:p>
            <w:pPr>
              <w:spacing w:after="0" w:line="93" w:lineRule="exact"/>
              <w:rPr>
                <w:sz w:val="20"/>
                <w:szCs w:val="20"/>
                <w:color w:val="auto"/>
              </w:rPr>
            </w:pPr>
            <w:r>
              <w:rPr>
                <w:rFonts w:ascii="Arial" w:cs="Arial" w:eastAsia="Arial" w:hAnsi="Arial"/>
                <w:sz w:val="10"/>
                <w:szCs w:val="10"/>
                <w:b w:val="1"/>
                <w:bCs w:val="1"/>
                <w:color w:val="auto"/>
              </w:rPr>
              <w:t>Total</w:t>
            </w:r>
          </w:p>
        </w:tc>
        <w:tc>
          <w:tcPr>
            <w:tcW w:w="14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339,438</w:t>
            </w:r>
          </w:p>
        </w:tc>
        <w:tc>
          <w:tcPr>
            <w:tcW w:w="16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auto"/>
            </w:tcBorders>
            <w:gridSpan w:val="4"/>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1,893,934</w:t>
            </w:r>
          </w:p>
        </w:tc>
        <w:tc>
          <w:tcPr>
            <w:tcW w:w="16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gridSpan w:val="3"/>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2,233,372</w:t>
            </w:r>
          </w:p>
        </w:tc>
        <w:tc>
          <w:tcPr>
            <w:tcW w:w="14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auto"/>
            </w:tcBorders>
            <w:gridSpan w:val="3"/>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896,139</w:t>
            </w:r>
          </w:p>
        </w:tc>
        <w:tc>
          <w:tcPr>
            <w:tcW w:w="14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auto"/>
            </w:tcBorders>
            <w:gridSpan w:val="4"/>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1,240,292</w:t>
            </w:r>
          </w:p>
        </w:tc>
        <w:tc>
          <w:tcPr>
            <w:tcW w:w="140" w:type="dxa"/>
            <w:vAlign w:val="bottom"/>
            <w:tcBorders>
              <w:bottom w:val="single" w:sz="8" w:color="CCEEFF"/>
            </w:tcBorders>
            <w:shd w:val="clear" w:color="auto" w:fill="CCEEFF"/>
          </w:tcPr>
          <w:p>
            <w:pPr>
              <w:spacing w:after="0"/>
              <w:rPr>
                <w:sz w:val="8"/>
                <w:szCs w:val="8"/>
                <w:color w:val="auto"/>
              </w:rPr>
            </w:pPr>
          </w:p>
        </w:tc>
        <w:tc>
          <w:tcPr>
            <w:tcW w:w="104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96,941</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line="225" w:lineRule="auto"/>
        <w:rPr>
          <w:sz w:val="20"/>
          <w:szCs w:val="20"/>
          <w:color w:val="auto"/>
        </w:rPr>
      </w:pPr>
      <w:r>
        <w:rPr>
          <w:rFonts w:ascii="Arial" w:cs="Arial" w:eastAsia="Arial" w:hAnsi="Arial"/>
          <w:sz w:val="10"/>
          <w:szCs w:val="10"/>
          <w:color w:val="auto"/>
        </w:rPr>
        <w:t>Time vested RSU awards to management vest 25% on the anniversary of the grant date and the remainder over a period of four years. Beginning in 2020, a performance component has been added to certain of the RSUs granted to management, which vest on the third anniversary of their grant date based on the achievement of certain performance metrics. From 2021 onwards, RSUs have two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 with the remaining 50%, contingent upon the achievement of certain performance metrics, vesting in full on the third anniversary of the grant date. On April 11 and April 21, 2023, the Board of Directors determined that our Company was not in a position to pay cash bonuses that would otherwise have been earned by certain members of management under our Company’s Incentive Compensation Plan for 2022, and authorized the issuance in lieu of such cash bonuses 85,139 RSUs, vesting on April 11, 2024 and 52,350 RSUs, vesting on April 21, 2024.</w:t>
      </w:r>
    </w:p>
    <w:p>
      <w:pPr>
        <w:spacing w:after="0" w:line="88" w:lineRule="exact"/>
        <w:rPr>
          <w:sz w:val="20"/>
          <w:szCs w:val="20"/>
          <w:color w:val="auto"/>
        </w:rPr>
      </w:pPr>
    </w:p>
    <w:p>
      <w:pPr>
        <w:ind w:right="100"/>
        <w:spacing w:after="0" w:line="237" w:lineRule="auto"/>
        <w:rPr>
          <w:sz w:val="20"/>
          <w:szCs w:val="20"/>
          <w:color w:val="auto"/>
        </w:rPr>
      </w:pPr>
      <w:r>
        <w:rPr>
          <w:rFonts w:ascii="Arial" w:cs="Arial" w:eastAsia="Arial" w:hAnsi="Arial"/>
          <w:sz w:val="10"/>
          <w:szCs w:val="10"/>
          <w:color w:val="auto"/>
        </w:rPr>
        <w:t>RSUs issued to non-employee directors vest on the first to occur of (i) 5:00 pm, Los Angeles, CA time on the last business day prior to the one-year anniversary of the Grant Date or (ii) the date on which the Recipient has served such Recipient’s full term as a Director.</w:t>
      </w:r>
    </w:p>
    <w:p>
      <w:pPr>
        <w:spacing w:after="0" w:line="88" w:lineRule="exact"/>
        <w:rPr>
          <w:sz w:val="20"/>
          <w:szCs w:val="20"/>
          <w:color w:val="auto"/>
        </w:rPr>
      </w:pPr>
    </w:p>
    <w:p>
      <w:pPr>
        <w:ind w:right="80"/>
        <w:spacing w:after="0" w:line="287" w:lineRule="auto"/>
        <w:rPr>
          <w:sz w:val="20"/>
          <w:szCs w:val="20"/>
          <w:color w:val="auto"/>
        </w:rPr>
      </w:pPr>
      <w:r>
        <w:rPr>
          <w:rFonts w:ascii="Arial" w:cs="Arial" w:eastAsia="Arial" w:hAnsi="Arial"/>
          <w:sz w:val="9"/>
          <w:szCs w:val="9"/>
          <w:color w:val="auto"/>
        </w:rPr>
        <w:t>For the quarters ended September 30, 2023, and 2022, we recorded compensation expense of $604,000 and $444,000, respectively. For the nine months ended September 30, 2023, and 2022, we recorded compensation expense of $1.3 million and $1.2 million, respectively. The total unrecognized compensation expense related to the non-vested RSUs was $4.1 million as of September 30, 2023, which we expect to recognize over a weighted average vesting period of 1.48 years.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70" w:right="640" w:bottom="1440" w:gutter="0" w:footer="0" w:header="0"/>
        </w:sectPr>
      </w:pPr>
    </w:p>
    <w:bookmarkStart w:id="22" w:name="page23"/>
    <w:bookmarkEnd w:id="22"/>
    <w:p>
      <w:pPr>
        <w:spacing w:after="0"/>
        <w:rPr>
          <w:sz w:val="20"/>
          <w:szCs w:val="20"/>
          <w:color w:val="auto"/>
        </w:rPr>
      </w:pPr>
      <w:r>
        <w:rPr>
          <w:rFonts w:ascii="Arial" w:cs="Arial" w:eastAsia="Arial" w:hAnsi="Arial"/>
          <w:sz w:val="10"/>
          <w:szCs w:val="10"/>
          <w:b w:val="1"/>
          <w:bCs w:val="1"/>
          <w:i w:val="1"/>
          <w:iCs w:val="1"/>
          <w:color w:val="auto"/>
        </w:rPr>
        <w:t>Stock Repurchase Program</w:t>
      </w:r>
    </w:p>
    <w:p>
      <w:pPr>
        <w:spacing w:after="0" w:line="101" w:lineRule="exact"/>
        <w:rPr>
          <w:sz w:val="20"/>
          <w:szCs w:val="20"/>
          <w:color w:val="auto"/>
        </w:rPr>
      </w:pPr>
    </w:p>
    <w:p>
      <w:pPr>
        <w:ind w:right="220"/>
        <w:spacing w:after="0" w:line="231" w:lineRule="auto"/>
        <w:rPr>
          <w:sz w:val="20"/>
          <w:szCs w:val="20"/>
          <w:color w:val="auto"/>
        </w:rPr>
      </w:pPr>
      <w:r>
        <w:rPr>
          <w:rFonts w:ascii="Arial" w:cs="Arial" w:eastAsia="Arial" w:hAnsi="Arial"/>
          <w:sz w:val="10"/>
          <w:szCs w:val="10"/>
          <w:color w:val="auto"/>
        </w:rPr>
        <w:t>On March 10, 2020, our Board of Directors authorized a $25.0 million increase to our 2017 stock repurchase program, bringing our total authorized repurchase amount remaining to $26.0 million, and extended the program to March 2, 2024. Through September 30, 2023, we have repurchased 1,792,819 shares of Class A Common Stock at an average price of $13.39 per share (excluding transaction costs). The last share repurchase made by our Company was made on March 5, 2020, at which time 25,000 shares were purchased at an average cost per share of $7.30.</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18 – Hedge Accounting</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As of September 30, 2023, our Company held interest rate derivatives in the total nominal amount of $8.0 million. As of December 31, 2022, our Company held interest rate derivatives in the total notional amount of $51.0 million.</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The derivatives are recorded on the balance sheet at fair value and are included in the following line items: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720" w:type="dxa"/>
            <w:vAlign w:val="bottom"/>
            <w:vMerge w:val="restart"/>
          </w:tcPr>
          <w:p>
            <w:pPr>
              <w:jc w:val="right"/>
              <w:ind w:right="499"/>
              <w:spacing w:after="0"/>
              <w:rPr>
                <w:sz w:val="20"/>
                <w:szCs w:val="20"/>
                <w:color w:val="auto"/>
              </w:rPr>
            </w:pPr>
            <w:r>
              <w:rPr>
                <w:rFonts w:ascii="Arial" w:cs="Arial" w:eastAsia="Arial" w:hAnsi="Arial"/>
                <w:sz w:val="8"/>
                <w:szCs w:val="8"/>
                <w:b w:val="1"/>
                <w:bCs w:val="1"/>
                <w:color w:val="auto"/>
              </w:rPr>
              <w:t>September 30,</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140" w:type="dxa"/>
            <w:vAlign w:val="bottom"/>
            <w:gridSpan w:val="3"/>
          </w:tcPr>
          <w:p>
            <w:pPr>
              <w:jc w:val="right"/>
              <w:ind w:right="2419"/>
              <w:spacing w:after="0"/>
              <w:rPr>
                <w:sz w:val="20"/>
                <w:szCs w:val="20"/>
                <w:color w:val="auto"/>
              </w:rPr>
            </w:pPr>
            <w:r>
              <w:rPr>
                <w:rFonts w:ascii="Arial" w:cs="Arial" w:eastAsia="Arial" w:hAnsi="Arial"/>
                <w:sz w:val="8"/>
                <w:szCs w:val="8"/>
                <w:b w:val="1"/>
                <w:bCs w:val="1"/>
                <w:color w:val="auto"/>
                <w:w w:val="98"/>
              </w:rPr>
              <w:t>Asset Derivatives</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tcPr>
          <w:p>
            <w:pPr>
              <w:jc w:val="right"/>
              <w:ind w:right="519"/>
              <w:spacing w:after="0"/>
              <w:rPr>
                <w:sz w:val="20"/>
                <w:szCs w:val="20"/>
                <w:color w:val="auto"/>
              </w:rPr>
            </w:pPr>
            <w:r>
              <w:rPr>
                <w:rFonts w:ascii="Arial" w:cs="Arial" w:eastAsia="Arial" w:hAnsi="Arial"/>
                <w:sz w:val="8"/>
                <w:szCs w:val="8"/>
                <w:b w:val="1"/>
                <w:bCs w:val="1"/>
                <w:color w:val="auto"/>
              </w:rPr>
              <w:t>December 31,</w:t>
            </w: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86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2720" w:type="dxa"/>
            <w:vAlign w:val="bottom"/>
            <w:tcBorders>
              <w:bottom w:val="single" w:sz="8" w:color="auto"/>
            </w:tcBorders>
          </w:tcPr>
          <w:p>
            <w:pPr>
              <w:jc w:val="right"/>
              <w:ind w:right="679"/>
              <w:spacing w:after="0" w:line="78" w:lineRule="exact"/>
              <w:rPr>
                <w:sz w:val="20"/>
                <w:szCs w:val="20"/>
                <w:color w:val="auto"/>
              </w:rPr>
            </w:pPr>
            <w:r>
              <w:rPr>
                <w:rFonts w:ascii="Arial" w:cs="Arial" w:eastAsia="Arial" w:hAnsi="Arial"/>
                <w:sz w:val="8"/>
                <w:szCs w:val="8"/>
                <w:b w:val="1"/>
                <w:bCs w:val="1"/>
                <w:color w:val="auto"/>
              </w:rPr>
              <w:t>2023</w:t>
            </w: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720" w:type="dxa"/>
            <w:vAlign w:val="bottom"/>
            <w:tcBorders>
              <w:bottom w:val="single" w:sz="8" w:color="auto"/>
            </w:tcBorders>
          </w:tcPr>
          <w:p>
            <w:pPr>
              <w:jc w:val="right"/>
              <w:ind w:right="679"/>
              <w:spacing w:after="0" w:line="78" w:lineRule="exact"/>
              <w:rPr>
                <w:sz w:val="20"/>
                <w:szCs w:val="20"/>
                <w:color w:val="auto"/>
              </w:rPr>
            </w:pPr>
            <w:r>
              <w:rPr>
                <w:rFonts w:ascii="Arial" w:cs="Arial" w:eastAsia="Arial" w:hAnsi="Arial"/>
                <w:sz w:val="8"/>
                <w:szCs w:val="8"/>
                <w:b w:val="1"/>
                <w:bCs w:val="1"/>
                <w:color w:val="auto"/>
              </w:rPr>
              <w:t>2022</w:t>
            </w: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860" w:type="dxa"/>
            <w:vAlign w:val="bottom"/>
            <w:gridSpan w:val="2"/>
            <w:vMerge w:val="continue"/>
          </w:tcPr>
          <w:p>
            <w:pPr>
              <w:spacing w:after="0"/>
              <w:rPr>
                <w:sz w:val="6"/>
                <w:szCs w:val="6"/>
                <w:color w:val="auto"/>
              </w:rPr>
            </w:pPr>
          </w:p>
        </w:tc>
        <w:tc>
          <w:tcPr>
            <w:tcW w:w="2720" w:type="dxa"/>
            <w:vAlign w:val="bottom"/>
          </w:tcPr>
          <w:p>
            <w:pPr>
              <w:jc w:val="right"/>
              <w:ind w:right="1779"/>
              <w:spacing w:after="0" w:line="78" w:lineRule="exact"/>
              <w:rPr>
                <w:sz w:val="20"/>
                <w:szCs w:val="20"/>
                <w:color w:val="auto"/>
              </w:rPr>
            </w:pPr>
            <w:r>
              <w:rPr>
                <w:rFonts w:ascii="Arial" w:cs="Arial" w:eastAsia="Arial" w:hAnsi="Arial"/>
                <w:sz w:val="8"/>
                <w:szCs w:val="8"/>
                <w:b w:val="1"/>
                <w:bCs w:val="1"/>
                <w:color w:val="auto"/>
              </w:rPr>
              <w:t>Balance sheet location</w:t>
            </w:r>
          </w:p>
        </w:tc>
        <w:tc>
          <w:tcPr>
            <w:tcW w:w="160" w:type="dxa"/>
            <w:vAlign w:val="bottom"/>
          </w:tcPr>
          <w:p>
            <w:pPr>
              <w:spacing w:after="0"/>
              <w:rPr>
                <w:sz w:val="6"/>
                <w:szCs w:val="6"/>
                <w:color w:val="auto"/>
              </w:rPr>
            </w:pPr>
          </w:p>
        </w:tc>
        <w:tc>
          <w:tcPr>
            <w:tcW w:w="660" w:type="dxa"/>
            <w:vAlign w:val="bottom"/>
          </w:tcPr>
          <w:p>
            <w:pPr>
              <w:jc w:val="right"/>
              <w:spacing w:after="0" w:line="78" w:lineRule="exact"/>
              <w:rPr>
                <w:sz w:val="20"/>
                <w:szCs w:val="20"/>
                <w:color w:val="auto"/>
              </w:rPr>
            </w:pPr>
            <w:r>
              <w:rPr>
                <w:rFonts w:ascii="Arial" w:cs="Arial" w:eastAsia="Arial" w:hAnsi="Arial"/>
                <w:sz w:val="8"/>
                <w:szCs w:val="8"/>
                <w:b w:val="1"/>
                <w:bCs w:val="1"/>
                <w:color w:val="auto"/>
              </w:rPr>
              <w:t>Fair value</w:t>
            </w: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20" w:type="dxa"/>
            <w:vAlign w:val="bottom"/>
          </w:tcPr>
          <w:p>
            <w:pPr>
              <w:jc w:val="right"/>
              <w:ind w:right="1799"/>
              <w:spacing w:after="0" w:line="78" w:lineRule="exact"/>
              <w:rPr>
                <w:sz w:val="20"/>
                <w:szCs w:val="20"/>
                <w:color w:val="auto"/>
              </w:rPr>
            </w:pPr>
            <w:r>
              <w:rPr>
                <w:rFonts w:ascii="Arial" w:cs="Arial" w:eastAsia="Arial" w:hAnsi="Arial"/>
                <w:sz w:val="8"/>
                <w:szCs w:val="8"/>
                <w:b w:val="1"/>
                <w:bCs w:val="1"/>
                <w:color w:val="auto"/>
                <w:w w:val="99"/>
              </w:rPr>
              <w:t>Balance sheet location</w:t>
            </w: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jc w:val="right"/>
              <w:ind w:right="221"/>
              <w:spacing w:after="0" w:line="78" w:lineRule="exact"/>
              <w:rPr>
                <w:sz w:val="20"/>
                <w:szCs w:val="20"/>
                <w:color w:val="auto"/>
              </w:rPr>
            </w:pPr>
            <w:r>
              <w:rPr>
                <w:rFonts w:ascii="Arial" w:cs="Arial" w:eastAsia="Arial" w:hAnsi="Arial"/>
                <w:sz w:val="8"/>
                <w:szCs w:val="8"/>
                <w:b w:val="1"/>
                <w:bCs w:val="1"/>
                <w:color w:val="auto"/>
              </w:rPr>
              <w:t>Fair value</w:t>
            </w:r>
          </w:p>
        </w:tc>
        <w:tc>
          <w:tcPr>
            <w:tcW w:w="0" w:type="dxa"/>
            <w:vAlign w:val="bottom"/>
          </w:tcPr>
          <w:p>
            <w:pPr>
              <w:spacing w:after="0"/>
              <w:rPr>
                <w:sz w:val="1"/>
                <w:szCs w:val="1"/>
                <w:color w:val="auto"/>
              </w:rPr>
            </w:pPr>
          </w:p>
        </w:tc>
      </w:tr>
      <w:tr>
        <w:trPr>
          <w:trHeight w:val="78"/>
        </w:trPr>
        <w:tc>
          <w:tcPr>
            <w:tcW w:w="2700" w:type="dxa"/>
            <w:vAlign w:val="bottom"/>
            <w:tcBorders>
              <w:top w:val="single" w:sz="8" w:color="auto"/>
            </w:tcBorders>
            <w:shd w:val="clear" w:color="auto" w:fill="CCEEFF"/>
          </w:tcPr>
          <w:p>
            <w:pPr>
              <w:spacing w:after="0" w:line="78" w:lineRule="exact"/>
              <w:rPr>
                <w:sz w:val="20"/>
                <w:szCs w:val="20"/>
                <w:color w:val="auto"/>
              </w:rPr>
            </w:pPr>
            <w:r>
              <w:rPr>
                <w:rFonts w:ascii="Arial" w:cs="Arial" w:eastAsia="Arial" w:hAnsi="Arial"/>
                <w:sz w:val="8"/>
                <w:szCs w:val="8"/>
                <w:color w:val="auto"/>
              </w:rPr>
              <w:t>Interest rate contracts</w:t>
            </w:r>
          </w:p>
        </w:tc>
        <w:tc>
          <w:tcPr>
            <w:tcW w:w="160" w:type="dxa"/>
            <w:vAlign w:val="bottom"/>
            <w:tcBorders>
              <w:top w:val="single" w:sz="8" w:color="CCEEFF"/>
            </w:tcBorders>
            <w:shd w:val="clear" w:color="auto" w:fill="CCEEFF"/>
          </w:tcPr>
          <w:p>
            <w:pPr>
              <w:spacing w:after="0"/>
              <w:rPr>
                <w:sz w:val="6"/>
                <w:szCs w:val="6"/>
                <w:color w:val="auto"/>
              </w:rPr>
            </w:pPr>
          </w:p>
        </w:tc>
        <w:tc>
          <w:tcPr>
            <w:tcW w:w="272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Derivative financial instruments - current portion</w:t>
            </w:r>
          </w:p>
        </w:tc>
        <w:tc>
          <w:tcPr>
            <w:tcW w:w="16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ind w:right="589"/>
              <w:spacing w:after="0"/>
              <w:rPr>
                <w:sz w:val="20"/>
                <w:szCs w:val="20"/>
                <w:color w:val="auto"/>
              </w:rPr>
            </w:pPr>
            <w:r>
              <w:rPr>
                <w:rFonts w:ascii="Arial" w:cs="Arial" w:eastAsia="Arial" w:hAnsi="Arial"/>
                <w:sz w:val="5"/>
                <w:szCs w:val="5"/>
                <w:color w:val="auto"/>
                <w:w w:val="70"/>
              </w:rPr>
              <w:t>$</w:t>
            </w:r>
          </w:p>
        </w:tc>
        <w:tc>
          <w:tcPr>
            <w:tcW w:w="26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17</w:t>
            </w:r>
          </w:p>
        </w:tc>
        <w:tc>
          <w:tcPr>
            <w:tcW w:w="160" w:type="dxa"/>
            <w:vAlign w:val="bottom"/>
            <w:tcBorders>
              <w:top w:val="single" w:sz="8" w:color="CCEEFF"/>
            </w:tcBorders>
            <w:shd w:val="clear" w:color="auto" w:fill="CCEEFF"/>
          </w:tcPr>
          <w:p>
            <w:pPr>
              <w:spacing w:after="0"/>
              <w:rPr>
                <w:sz w:val="6"/>
                <w:szCs w:val="6"/>
                <w:color w:val="auto"/>
              </w:rPr>
            </w:pPr>
          </w:p>
        </w:tc>
        <w:tc>
          <w:tcPr>
            <w:tcW w:w="272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Derivative financial instruments - current portion</w:t>
            </w: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907</w:t>
            </w:r>
          </w:p>
        </w:tc>
        <w:tc>
          <w:tcPr>
            <w:tcW w:w="0" w:type="dxa"/>
            <w:vAlign w:val="bottom"/>
          </w:tcPr>
          <w:p>
            <w:pPr>
              <w:spacing w:after="0"/>
              <w:rPr>
                <w:sz w:val="1"/>
                <w:szCs w:val="1"/>
                <w:color w:val="auto"/>
              </w:rPr>
            </w:pPr>
          </w:p>
        </w:tc>
      </w:tr>
      <w:tr>
        <w:trPr>
          <w:trHeight w:val="83"/>
        </w:trPr>
        <w:tc>
          <w:tcPr>
            <w:tcW w:w="2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720" w:type="dxa"/>
            <w:vAlign w:val="bottom"/>
          </w:tcPr>
          <w:p>
            <w:pPr>
              <w:jc w:val="right"/>
              <w:spacing w:after="0" w:line="83" w:lineRule="exact"/>
              <w:rPr>
                <w:sz w:val="20"/>
                <w:szCs w:val="20"/>
                <w:color w:val="auto"/>
              </w:rPr>
            </w:pPr>
            <w:r>
              <w:rPr>
                <w:rFonts w:ascii="Arial" w:cs="Arial" w:eastAsia="Arial" w:hAnsi="Arial"/>
                <w:sz w:val="8"/>
                <w:szCs w:val="8"/>
                <w:color w:val="auto"/>
              </w:rPr>
              <w:t>Derivative financial instruments - non-current portion</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gridSpan w:val="2"/>
          </w:tcPr>
          <w:p>
            <w:pPr>
              <w:jc w:val="right"/>
              <w:ind w:right="160"/>
              <w:spacing w:after="0" w:line="83" w:lineRule="exact"/>
              <w:rPr>
                <w:sz w:val="20"/>
                <w:szCs w:val="20"/>
                <w:color w:val="auto"/>
              </w:rPr>
            </w:pPr>
            <w:r>
              <w:rPr>
                <w:rFonts w:ascii="Arial" w:cs="Arial" w:eastAsia="Arial" w:hAnsi="Arial"/>
                <w:sz w:val="8"/>
                <w:szCs w:val="8"/>
                <w:color w:val="auto"/>
              </w:rPr>
              <w:t>—</w:t>
            </w:r>
          </w:p>
        </w:tc>
        <w:tc>
          <w:tcPr>
            <w:tcW w:w="2720" w:type="dxa"/>
            <w:vAlign w:val="bottom"/>
          </w:tcPr>
          <w:p>
            <w:pPr>
              <w:jc w:val="right"/>
              <w:spacing w:after="0" w:line="83" w:lineRule="exact"/>
              <w:rPr>
                <w:sz w:val="20"/>
                <w:szCs w:val="20"/>
                <w:color w:val="auto"/>
              </w:rPr>
            </w:pPr>
            <w:r>
              <w:rPr>
                <w:rFonts w:ascii="Arial" w:cs="Arial" w:eastAsia="Arial" w:hAnsi="Arial"/>
                <w:sz w:val="8"/>
                <w:szCs w:val="8"/>
                <w:color w:val="auto"/>
              </w:rPr>
              <w:t>Derivative financial instruments - non-current portion</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jc w:val="right"/>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860" w:type="dxa"/>
            <w:vAlign w:val="bottom"/>
            <w:tcBorders>
              <w:top w:val="single" w:sz="8" w:color="CCEEFF"/>
            </w:tcBorders>
            <w:gridSpan w:val="2"/>
            <w:shd w:val="clear" w:color="auto" w:fill="CCEEFF"/>
          </w:tcPr>
          <w:p>
            <w:pPr>
              <w:spacing w:after="0" w:line="70" w:lineRule="exact"/>
              <w:rPr>
                <w:sz w:val="20"/>
                <w:szCs w:val="20"/>
                <w:color w:val="auto"/>
              </w:rPr>
            </w:pPr>
            <w:r>
              <w:rPr>
                <w:rFonts w:ascii="Arial" w:cs="Arial" w:eastAsia="Arial" w:hAnsi="Arial"/>
                <w:sz w:val="8"/>
                <w:szCs w:val="8"/>
                <w:b w:val="1"/>
                <w:bCs w:val="1"/>
                <w:color w:val="auto"/>
              </w:rPr>
              <w:t>Total derivatives designated as hedging instruments</w:t>
            </w:r>
          </w:p>
        </w:tc>
        <w:tc>
          <w:tcPr>
            <w:tcW w:w="2720" w:type="dxa"/>
            <w:vAlign w:val="bottom"/>
            <w:tcBorders>
              <w:top w:val="single" w:sz="8" w:color="auto"/>
            </w:tcBorders>
            <w:shd w:val="clear" w:color="auto" w:fill="CCEEFF"/>
          </w:tcPr>
          <w:p>
            <w:pPr>
              <w:spacing w:after="0"/>
              <w:rPr>
                <w:sz w:val="7"/>
                <w:szCs w:val="7"/>
                <w:color w:val="auto"/>
              </w:rPr>
            </w:pPr>
          </w:p>
        </w:tc>
        <w:tc>
          <w:tcPr>
            <w:tcW w:w="820" w:type="dxa"/>
            <w:vAlign w:val="bottom"/>
            <w:tcBorders>
              <w:top w:val="single" w:sz="8" w:color="auto"/>
            </w:tcBorders>
            <w:gridSpan w:val="2"/>
            <w:shd w:val="clear" w:color="auto" w:fill="CCEEFF"/>
          </w:tcPr>
          <w:p>
            <w:pPr>
              <w:jc w:val="right"/>
              <w:ind w:right="589"/>
              <w:spacing w:after="0" w:line="70" w:lineRule="exact"/>
              <w:rPr>
                <w:sz w:val="20"/>
                <w:szCs w:val="20"/>
                <w:color w:val="auto"/>
              </w:rPr>
            </w:pPr>
            <w:r>
              <w:rPr>
                <w:rFonts w:ascii="Arial" w:cs="Arial" w:eastAsia="Arial" w:hAnsi="Arial"/>
                <w:sz w:val="8"/>
                <w:szCs w:val="8"/>
                <w:b w:val="1"/>
                <w:bCs w:val="1"/>
                <w:color w:val="auto"/>
              </w:rPr>
              <w:t>$</w:t>
            </w:r>
          </w:p>
        </w:tc>
        <w:tc>
          <w:tcPr>
            <w:tcW w:w="260" w:type="dxa"/>
            <w:vAlign w:val="bottom"/>
            <w:tcBorders>
              <w:top w:val="single" w:sz="8" w:color="auto"/>
            </w:tcBorders>
            <w:shd w:val="clear" w:color="auto" w:fill="CCEEFF"/>
          </w:tcPr>
          <w:p>
            <w:pPr>
              <w:jc w:val="right"/>
              <w:spacing w:after="0" w:line="70" w:lineRule="exact"/>
              <w:rPr>
                <w:sz w:val="20"/>
                <w:szCs w:val="20"/>
                <w:color w:val="auto"/>
              </w:rPr>
            </w:pPr>
            <w:r>
              <w:rPr>
                <w:rFonts w:ascii="Arial" w:cs="Arial" w:eastAsia="Arial" w:hAnsi="Arial"/>
                <w:sz w:val="8"/>
                <w:szCs w:val="8"/>
                <w:b w:val="1"/>
                <w:bCs w:val="1"/>
                <w:color w:val="auto"/>
              </w:rPr>
              <w:t>17</w:t>
            </w:r>
          </w:p>
        </w:tc>
        <w:tc>
          <w:tcPr>
            <w:tcW w:w="160" w:type="dxa"/>
            <w:vAlign w:val="bottom"/>
            <w:tcBorders>
              <w:top w:val="single" w:sz="8" w:color="CCEEFF"/>
            </w:tcBorders>
            <w:shd w:val="clear" w:color="auto" w:fill="CCEEFF"/>
          </w:tcPr>
          <w:p>
            <w:pPr>
              <w:spacing w:after="0"/>
              <w:rPr>
                <w:sz w:val="7"/>
                <w:szCs w:val="7"/>
                <w:color w:val="auto"/>
              </w:rPr>
            </w:pPr>
          </w:p>
        </w:tc>
        <w:tc>
          <w:tcPr>
            <w:tcW w:w="272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gridSpan w:val="2"/>
            <w:shd w:val="clear" w:color="auto" w:fill="CCEEFF"/>
          </w:tcPr>
          <w:p>
            <w:pPr>
              <w:jc w:val="right"/>
              <w:ind w:right="94"/>
              <w:spacing w:after="0" w:line="70" w:lineRule="exact"/>
              <w:rPr>
                <w:sz w:val="20"/>
                <w:szCs w:val="20"/>
                <w:color w:val="auto"/>
              </w:rPr>
            </w:pPr>
            <w:r>
              <w:rPr>
                <w:rFonts w:ascii="Arial" w:cs="Arial" w:eastAsia="Arial" w:hAnsi="Arial"/>
                <w:sz w:val="8"/>
                <w:szCs w:val="8"/>
                <w:b w:val="1"/>
                <w:bCs w:val="1"/>
                <w:color w:val="auto"/>
              </w:rPr>
              <w:t>$</w:t>
            </w:r>
          </w:p>
        </w:tc>
        <w:tc>
          <w:tcPr>
            <w:tcW w:w="760" w:type="dxa"/>
            <w:vAlign w:val="bottom"/>
            <w:tcBorders>
              <w:top w:val="single" w:sz="8" w:color="auto"/>
            </w:tcBorders>
            <w:shd w:val="clear" w:color="auto" w:fill="CCEEFF"/>
          </w:tcPr>
          <w:p>
            <w:pPr>
              <w:jc w:val="right"/>
              <w:spacing w:after="0" w:line="70" w:lineRule="exact"/>
              <w:rPr>
                <w:sz w:val="20"/>
                <w:szCs w:val="20"/>
                <w:color w:val="auto"/>
              </w:rPr>
            </w:pPr>
            <w:r>
              <w:rPr>
                <w:rFonts w:ascii="Arial" w:cs="Arial" w:eastAsia="Arial" w:hAnsi="Arial"/>
                <w:sz w:val="8"/>
                <w:szCs w:val="8"/>
                <w:b w:val="1"/>
                <w:bCs w:val="1"/>
                <w:color w:val="auto"/>
              </w:rPr>
              <w:t>907</w:t>
            </w:r>
          </w:p>
        </w:tc>
        <w:tc>
          <w:tcPr>
            <w:tcW w:w="0" w:type="dxa"/>
            <w:vAlign w:val="bottom"/>
          </w:tcPr>
          <w:p>
            <w:pPr>
              <w:spacing w:after="0"/>
              <w:rPr>
                <w:sz w:val="1"/>
                <w:szCs w:val="1"/>
                <w:color w:val="auto"/>
              </w:rPr>
            </w:pPr>
          </w:p>
        </w:tc>
      </w:tr>
      <w:tr>
        <w:trPr>
          <w:trHeight w:val="58"/>
        </w:trPr>
        <w:tc>
          <w:tcPr>
            <w:tcW w:w="2860" w:type="dxa"/>
            <w:vAlign w:val="bottom"/>
            <w:tcBorders>
              <w:top w:val="single" w:sz="8" w:color="CCEEFF"/>
            </w:tcBorders>
            <w:gridSpan w:val="2"/>
          </w:tcPr>
          <w:p>
            <w:pPr>
              <w:spacing w:after="0" w:line="58" w:lineRule="exact"/>
              <w:rPr>
                <w:sz w:val="20"/>
                <w:szCs w:val="20"/>
                <w:color w:val="auto"/>
              </w:rPr>
            </w:pPr>
            <w:r>
              <w:rPr>
                <w:rFonts w:ascii="Arial" w:cs="Arial" w:eastAsia="Arial" w:hAnsi="Arial"/>
                <w:sz w:val="6"/>
                <w:szCs w:val="6"/>
                <w:b w:val="1"/>
                <w:bCs w:val="1"/>
                <w:color w:val="auto"/>
              </w:rPr>
              <w:t>Total derivatives</w:t>
            </w:r>
          </w:p>
        </w:tc>
        <w:tc>
          <w:tcPr>
            <w:tcW w:w="272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66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5"/>
                <w:szCs w:val="5"/>
                <w:b w:val="1"/>
                <w:bCs w:val="1"/>
                <w:color w:val="auto"/>
                <w:w w:val="70"/>
              </w:rPr>
              <w:t>$</w:t>
            </w:r>
          </w:p>
        </w:tc>
        <w:tc>
          <w:tcPr>
            <w:tcW w:w="260" w:type="dxa"/>
            <w:vAlign w:val="bottom"/>
            <w:tcBorders>
              <w:top w:val="single" w:sz="8" w:color="auto"/>
              <w:bottom w:val="single" w:sz="8" w:color="auto"/>
            </w:tcBorders>
          </w:tcPr>
          <w:p>
            <w:pPr>
              <w:jc w:val="right"/>
              <w:spacing w:after="0" w:line="58" w:lineRule="exact"/>
              <w:rPr>
                <w:sz w:val="20"/>
                <w:szCs w:val="20"/>
                <w:color w:val="auto"/>
              </w:rPr>
            </w:pPr>
            <w:r>
              <w:rPr>
                <w:rFonts w:ascii="Arial" w:cs="Arial" w:eastAsia="Arial" w:hAnsi="Arial"/>
                <w:sz w:val="6"/>
                <w:szCs w:val="6"/>
                <w:b w:val="1"/>
                <w:bCs w:val="1"/>
                <w:color w:val="auto"/>
              </w:rPr>
              <w:t>17</w:t>
            </w:r>
          </w:p>
        </w:tc>
        <w:tc>
          <w:tcPr>
            <w:tcW w:w="160" w:type="dxa"/>
            <w:vAlign w:val="bottom"/>
            <w:tcBorders>
              <w:top w:val="single" w:sz="8" w:color="CCEEFF"/>
            </w:tcBorders>
          </w:tcPr>
          <w:p>
            <w:pPr>
              <w:spacing w:after="0"/>
              <w:rPr>
                <w:sz w:val="5"/>
                <w:szCs w:val="5"/>
                <w:color w:val="auto"/>
              </w:rPr>
            </w:pPr>
          </w:p>
        </w:tc>
        <w:tc>
          <w:tcPr>
            <w:tcW w:w="272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top w:val="single" w:sz="8" w:color="auto"/>
              <w:bottom w:val="single" w:sz="8" w:color="auto"/>
            </w:tcBorders>
          </w:tcPr>
          <w:p>
            <w:pPr>
              <w:jc w:val="right"/>
              <w:spacing w:after="0" w:line="58" w:lineRule="exact"/>
              <w:rPr>
                <w:sz w:val="20"/>
                <w:szCs w:val="20"/>
                <w:color w:val="auto"/>
              </w:rPr>
            </w:pPr>
            <w:r>
              <w:rPr>
                <w:rFonts w:ascii="Arial" w:cs="Arial" w:eastAsia="Arial" w:hAnsi="Arial"/>
                <w:sz w:val="6"/>
                <w:szCs w:val="6"/>
                <w:b w:val="1"/>
                <w:bCs w:val="1"/>
                <w:color w:val="auto"/>
              </w:rPr>
              <w:t>907</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9"/>
          <w:szCs w:val="9"/>
          <w:color w:val="auto"/>
        </w:rPr>
        <w:t>The changes in fair value are recorded in Other Comprehensive Income and released into interest expense in the same period(s) in which the hedged transactions affect earnings. In the quarter and nine months ended September 30, 2023 and</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color w:val="auto"/>
        </w:rPr>
        <w:t>September 30, 2022, respectively, the derivative instruments affected Comprehensive Income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00"/>
        </w:trPr>
        <w:tc>
          <w:tcPr>
            <w:tcW w:w="116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(Dollars in thousands)</w:t>
            </w:r>
          </w:p>
        </w:tc>
        <w:tc>
          <w:tcPr>
            <w:tcW w:w="3900" w:type="dxa"/>
            <w:vAlign w:val="bottom"/>
            <w:tcBorders>
              <w:bottom w:val="single" w:sz="8" w:color="auto"/>
            </w:tcBorders>
            <w:gridSpan w:val="3"/>
          </w:tcPr>
          <w:p>
            <w:pPr>
              <w:ind w:left="1480"/>
              <w:spacing w:after="0"/>
              <w:rPr>
                <w:sz w:val="20"/>
                <w:szCs w:val="20"/>
                <w:color w:val="auto"/>
              </w:rPr>
            </w:pPr>
            <w:r>
              <w:rPr>
                <w:rFonts w:ascii="Arial" w:cs="Arial" w:eastAsia="Arial" w:hAnsi="Arial"/>
                <w:sz w:val="8"/>
                <w:szCs w:val="8"/>
                <w:b w:val="1"/>
                <w:bCs w:val="1"/>
                <w:color w:val="auto"/>
              </w:rPr>
              <w:t>Location of Loss Recognized in Income on Derivatives</w:t>
            </w: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gridSpan w:val="8"/>
          </w:tcPr>
          <w:p>
            <w:pPr>
              <w:jc w:val="right"/>
              <w:ind w:right="119"/>
              <w:spacing w:after="0"/>
              <w:rPr>
                <w:sz w:val="20"/>
                <w:szCs w:val="20"/>
                <w:color w:val="auto"/>
              </w:rPr>
            </w:pPr>
            <w:r>
              <w:rPr>
                <w:rFonts w:ascii="Arial" w:cs="Arial" w:eastAsia="Arial" w:hAnsi="Arial"/>
                <w:sz w:val="8"/>
                <w:szCs w:val="8"/>
                <w:b w:val="1"/>
                <w:bCs w:val="1"/>
                <w:color w:val="auto"/>
              </w:rPr>
              <w:t>Amount of Loss (Gain) Recognized in Income on Derivatives</w:t>
            </w: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1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gridSpan w:val="5"/>
          </w:tcPr>
          <w:p>
            <w:pPr>
              <w:ind w:left="560"/>
              <w:spacing w:after="0" w:line="78" w:lineRule="exact"/>
              <w:rPr>
                <w:sz w:val="20"/>
                <w:szCs w:val="20"/>
                <w:color w:val="auto"/>
              </w:rPr>
            </w:pPr>
            <w:r>
              <w:rPr>
                <w:rFonts w:ascii="Arial" w:cs="Arial" w:eastAsia="Arial" w:hAnsi="Arial"/>
                <w:sz w:val="8"/>
                <w:szCs w:val="8"/>
                <w:b w:val="1"/>
                <w:bCs w:val="1"/>
                <w:color w:val="auto"/>
              </w:rPr>
              <w:t>Quarter Ended September 30</w:t>
            </w:r>
          </w:p>
        </w:tc>
        <w:tc>
          <w:tcPr>
            <w:tcW w:w="3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580" w:type="dxa"/>
            <w:vAlign w:val="bottom"/>
            <w:tcBorders>
              <w:bottom w:val="single" w:sz="8" w:color="auto"/>
            </w:tcBorders>
            <w:gridSpan w:val="6"/>
          </w:tcPr>
          <w:p>
            <w:pPr>
              <w:jc w:val="right"/>
              <w:ind w:right="579"/>
              <w:spacing w:after="0" w:line="78" w:lineRule="exact"/>
              <w:rPr>
                <w:sz w:val="20"/>
                <w:szCs w:val="20"/>
                <w:color w:val="auto"/>
              </w:rPr>
            </w:pPr>
            <w:r>
              <w:rPr>
                <w:rFonts w:ascii="Arial" w:cs="Arial" w:eastAsia="Arial" w:hAnsi="Arial"/>
                <w:sz w:val="8"/>
                <w:szCs w:val="8"/>
                <w:b w:val="1"/>
                <w:bCs w:val="1"/>
                <w:color w:val="auto"/>
              </w:rPr>
              <w:t>Nine Months Ended September 30</w:t>
            </w:r>
          </w:p>
        </w:tc>
        <w:tc>
          <w:tcPr>
            <w:tcW w:w="0" w:type="dxa"/>
            <w:vAlign w:val="bottom"/>
          </w:tcPr>
          <w:p>
            <w:pPr>
              <w:spacing w:after="0"/>
              <w:rPr>
                <w:sz w:val="1"/>
                <w:szCs w:val="1"/>
                <w:color w:val="auto"/>
              </w:rPr>
            </w:pPr>
          </w:p>
        </w:tc>
      </w:tr>
      <w:tr>
        <w:trPr>
          <w:trHeight w:val="78"/>
        </w:trPr>
        <w:tc>
          <w:tcPr>
            <w:tcW w:w="1160" w:type="dxa"/>
            <w:vAlign w:val="bottom"/>
            <w:tcBorders>
              <w:bottom w:val="single" w:sz="8" w:color="CCEEFF"/>
            </w:tcBorders>
          </w:tcPr>
          <w:p>
            <w:pPr>
              <w:spacing w:after="0"/>
              <w:rPr>
                <w:sz w:val="6"/>
                <w:szCs w:val="6"/>
                <w:color w:val="auto"/>
              </w:rPr>
            </w:pPr>
          </w:p>
        </w:tc>
        <w:tc>
          <w:tcPr>
            <w:tcW w:w="22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46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gridSpan w:val="2"/>
          </w:tcPr>
          <w:p>
            <w:pPr>
              <w:jc w:val="right"/>
              <w:ind w:right="68"/>
              <w:spacing w:after="0" w:line="78" w:lineRule="exact"/>
              <w:rPr>
                <w:sz w:val="20"/>
                <w:szCs w:val="20"/>
                <w:color w:val="auto"/>
              </w:rPr>
            </w:pPr>
            <w:r>
              <w:rPr>
                <w:rFonts w:ascii="Arial" w:cs="Arial" w:eastAsia="Arial" w:hAnsi="Arial"/>
                <w:sz w:val="8"/>
                <w:szCs w:val="8"/>
                <w:b w:val="1"/>
                <w:bCs w:val="1"/>
                <w:color w:val="auto"/>
              </w:rPr>
              <w:t>2023</w:t>
            </w: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99"/>
              <w:spacing w:after="0" w:line="78" w:lineRule="exact"/>
              <w:rPr>
                <w:sz w:val="20"/>
                <w:szCs w:val="20"/>
                <w:color w:val="auto"/>
              </w:rPr>
            </w:pPr>
            <w:r>
              <w:rPr>
                <w:rFonts w:ascii="Arial" w:cs="Arial" w:eastAsia="Arial" w:hAnsi="Arial"/>
                <w:sz w:val="8"/>
                <w:szCs w:val="8"/>
                <w:b w:val="1"/>
                <w:bCs w:val="1"/>
                <w:color w:val="auto"/>
              </w:rPr>
              <w:t>2022</w:t>
            </w:r>
          </w:p>
        </w:tc>
        <w:tc>
          <w:tcPr>
            <w:tcW w:w="32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jc w:val="right"/>
              <w:spacing w:after="0" w:line="78" w:lineRule="exact"/>
              <w:rPr>
                <w:sz w:val="20"/>
                <w:szCs w:val="20"/>
                <w:color w:val="auto"/>
              </w:rPr>
            </w:pPr>
            <w:r>
              <w:rPr>
                <w:rFonts w:ascii="Arial" w:cs="Arial" w:eastAsia="Arial" w:hAnsi="Arial"/>
                <w:sz w:val="8"/>
                <w:szCs w:val="8"/>
                <w:b w:val="1"/>
                <w:bCs w:val="1"/>
                <w:color w:val="auto"/>
              </w:rPr>
              <w:t>2023</w:t>
            </w:r>
          </w:p>
        </w:tc>
        <w:tc>
          <w:tcPr>
            <w:tcW w:w="1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jc w:val="right"/>
              <w:ind w:right="379"/>
              <w:spacing w:after="0" w:line="78" w:lineRule="exact"/>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78"/>
        </w:trPr>
        <w:tc>
          <w:tcPr>
            <w:tcW w:w="1160" w:type="dxa"/>
            <w:vAlign w:val="bottom"/>
            <w:shd w:val="clear" w:color="auto" w:fill="CCEEFF"/>
          </w:tcPr>
          <w:p>
            <w:pPr>
              <w:spacing w:after="0" w:line="78" w:lineRule="exact"/>
              <w:rPr>
                <w:sz w:val="20"/>
                <w:szCs w:val="20"/>
                <w:color w:val="auto"/>
              </w:rPr>
            </w:pPr>
            <w:r>
              <w:rPr>
                <w:rFonts w:ascii="Arial" w:cs="Arial" w:eastAsia="Arial" w:hAnsi="Arial"/>
                <w:sz w:val="8"/>
                <w:szCs w:val="8"/>
                <w:color w:val="auto"/>
              </w:rPr>
              <w:t>Interest rate contracts</w:t>
            </w:r>
          </w:p>
        </w:tc>
        <w:tc>
          <w:tcPr>
            <w:tcW w:w="3900" w:type="dxa"/>
            <w:vAlign w:val="bottom"/>
            <w:gridSpan w:val="3"/>
            <w:shd w:val="clear" w:color="auto" w:fill="CCEEFF"/>
          </w:tcPr>
          <w:p>
            <w:pPr>
              <w:ind w:left="1480"/>
              <w:spacing w:after="0" w:line="78" w:lineRule="exact"/>
              <w:rPr>
                <w:sz w:val="20"/>
                <w:szCs w:val="20"/>
                <w:color w:val="auto"/>
              </w:rPr>
            </w:pPr>
            <w:r>
              <w:rPr>
                <w:rFonts w:ascii="Arial" w:cs="Arial" w:eastAsia="Arial" w:hAnsi="Arial"/>
                <w:sz w:val="8"/>
                <w:szCs w:val="8"/>
                <w:color w:val="auto"/>
              </w:rPr>
              <w:t>Interest expense</w:t>
            </w:r>
          </w:p>
        </w:tc>
        <w:tc>
          <w:tcPr>
            <w:tcW w:w="16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jc w:val="right"/>
              <w:ind w:right="99"/>
              <w:spacing w:after="0" w:line="78" w:lineRule="exact"/>
              <w:rPr>
                <w:sz w:val="20"/>
                <w:szCs w:val="20"/>
                <w:color w:val="auto"/>
              </w:rPr>
            </w:pPr>
            <w:r>
              <w:rPr>
                <w:rFonts w:ascii="Arial" w:cs="Arial" w:eastAsia="Arial" w:hAnsi="Arial"/>
                <w:sz w:val="8"/>
                <w:szCs w:val="8"/>
                <w:color w:val="auto"/>
                <w:w w:val="88"/>
              </w:rPr>
              <w:t>$</w:t>
            </w:r>
          </w:p>
        </w:tc>
        <w:tc>
          <w:tcPr>
            <w:tcW w:w="70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(26)</w:t>
            </w:r>
          </w:p>
        </w:tc>
        <w:tc>
          <w:tcPr>
            <w:tcW w:w="16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5"/>
                <w:szCs w:val="5"/>
                <w:color w:val="auto"/>
                <w:w w:val="70"/>
              </w:rPr>
              <w:t>$</w:t>
            </w:r>
          </w:p>
        </w:tc>
        <w:tc>
          <w:tcPr>
            <w:tcW w:w="20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(252)</w:t>
            </w:r>
          </w:p>
        </w:tc>
        <w:tc>
          <w:tcPr>
            <w:tcW w:w="160" w:type="dxa"/>
            <w:vAlign w:val="bottom"/>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line="78" w:lineRule="exact"/>
              <w:rPr>
                <w:sz w:val="20"/>
                <w:szCs w:val="20"/>
                <w:color w:val="auto"/>
              </w:rPr>
            </w:pPr>
            <w:r>
              <w:rPr>
                <w:rFonts w:ascii="Arial" w:cs="Arial" w:eastAsia="Arial" w:hAnsi="Arial"/>
                <w:sz w:val="8"/>
                <w:szCs w:val="8"/>
                <w:color w:val="auto"/>
              </w:rPr>
              <w:t>$</w:t>
            </w:r>
          </w:p>
        </w:tc>
        <w:tc>
          <w:tcPr>
            <w:tcW w:w="1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(812)</w:t>
            </w:r>
          </w:p>
        </w:tc>
        <w:tc>
          <w:tcPr>
            <w:tcW w:w="16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jc w:val="right"/>
              <w:ind w:right="199"/>
              <w:spacing w:after="0" w:line="78" w:lineRule="exact"/>
              <w:rPr>
                <w:sz w:val="20"/>
                <w:szCs w:val="20"/>
                <w:color w:val="auto"/>
              </w:rPr>
            </w:pPr>
            <w:r>
              <w:rPr>
                <w:rFonts w:ascii="Arial" w:cs="Arial" w:eastAsia="Arial" w:hAnsi="Arial"/>
                <w:sz w:val="8"/>
                <w:szCs w:val="8"/>
                <w:color w:val="auto"/>
                <w:w w:val="88"/>
              </w:rPr>
              <w:t>$</w:t>
            </w:r>
          </w:p>
        </w:tc>
        <w:tc>
          <w:tcPr>
            <w:tcW w:w="900" w:type="dxa"/>
            <w:vAlign w:val="bottom"/>
            <w:tcBorders>
              <w:bottom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(204)</w:t>
            </w:r>
          </w:p>
        </w:tc>
        <w:tc>
          <w:tcPr>
            <w:tcW w:w="0" w:type="dxa"/>
            <w:vAlign w:val="bottom"/>
          </w:tcPr>
          <w:p>
            <w:pPr>
              <w:spacing w:after="0"/>
              <w:rPr>
                <w:sz w:val="1"/>
                <w:szCs w:val="1"/>
                <w:color w:val="auto"/>
              </w:rPr>
            </w:pPr>
          </w:p>
        </w:tc>
      </w:tr>
      <w:tr>
        <w:trPr>
          <w:trHeight w:val="70"/>
        </w:trPr>
        <w:tc>
          <w:tcPr>
            <w:tcW w:w="1160" w:type="dxa"/>
            <w:vAlign w:val="bottom"/>
          </w:tcPr>
          <w:p>
            <w:pPr>
              <w:spacing w:after="0" w:line="70" w:lineRule="exact"/>
              <w:rPr>
                <w:sz w:val="20"/>
                <w:szCs w:val="20"/>
                <w:color w:val="auto"/>
              </w:rPr>
            </w:pPr>
            <w:r>
              <w:rPr>
                <w:rFonts w:ascii="Arial" w:cs="Arial" w:eastAsia="Arial" w:hAnsi="Arial"/>
                <w:sz w:val="8"/>
                <w:szCs w:val="8"/>
                <w:b w:val="1"/>
                <w:bCs w:val="1"/>
                <w:color w:val="auto"/>
              </w:rPr>
              <w:t>Total</w:t>
            </w:r>
          </w:p>
        </w:tc>
        <w:tc>
          <w:tcPr>
            <w:tcW w:w="2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jc w:val="right"/>
              <w:ind w:right="99"/>
              <w:spacing w:after="0" w:line="70" w:lineRule="exact"/>
              <w:rPr>
                <w:sz w:val="20"/>
                <w:szCs w:val="20"/>
                <w:color w:val="auto"/>
              </w:rPr>
            </w:pPr>
            <w:r>
              <w:rPr>
                <w:rFonts w:ascii="Arial" w:cs="Arial" w:eastAsia="Arial" w:hAnsi="Arial"/>
                <w:sz w:val="8"/>
                <w:szCs w:val="8"/>
                <w:b w:val="1"/>
                <w:bCs w:val="1"/>
                <w:color w:val="auto"/>
                <w:w w:val="88"/>
              </w:rPr>
              <w:t>$</w:t>
            </w:r>
          </w:p>
        </w:tc>
        <w:tc>
          <w:tcPr>
            <w:tcW w:w="7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(26)</w:t>
            </w:r>
          </w:p>
        </w:tc>
        <w:tc>
          <w:tcPr>
            <w:tcW w:w="160" w:type="dxa"/>
            <w:vAlign w:val="bottom"/>
          </w:tcPr>
          <w:p>
            <w:pPr>
              <w:spacing w:after="0"/>
              <w:rPr>
                <w:sz w:val="6"/>
                <w:szCs w:val="6"/>
                <w:color w:val="auto"/>
              </w:rPr>
            </w:pPr>
          </w:p>
        </w:tc>
        <w:tc>
          <w:tcPr>
            <w:tcW w:w="380" w:type="dxa"/>
            <w:vAlign w:val="bottom"/>
            <w:tcBorders>
              <w:bottom w:val="single" w:sz="8" w:color="auto"/>
            </w:tcBorders>
          </w:tcPr>
          <w:p>
            <w:pPr>
              <w:jc w:val="right"/>
              <w:ind w:right="309"/>
              <w:spacing w:after="0"/>
              <w:rPr>
                <w:sz w:val="20"/>
                <w:szCs w:val="20"/>
                <w:color w:val="auto"/>
              </w:rPr>
            </w:pPr>
            <w:r>
              <w:rPr>
                <w:rFonts w:ascii="Arial" w:cs="Arial" w:eastAsia="Arial" w:hAnsi="Arial"/>
                <w:sz w:val="5"/>
                <w:szCs w:val="5"/>
                <w:b w:val="1"/>
                <w:bCs w:val="1"/>
                <w:color w:val="auto"/>
                <w:w w:val="70"/>
              </w:rPr>
              <w:t>$</w:t>
            </w:r>
          </w:p>
        </w:tc>
        <w:tc>
          <w:tcPr>
            <w:tcW w:w="2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(252)</w:t>
            </w:r>
          </w:p>
        </w:tc>
        <w:tc>
          <w:tcPr>
            <w:tcW w:w="160" w:type="dxa"/>
            <w:vAlign w:val="bottom"/>
          </w:tcPr>
          <w:p>
            <w:pPr>
              <w:spacing w:after="0"/>
              <w:rPr>
                <w:sz w:val="6"/>
                <w:szCs w:val="6"/>
                <w:color w:val="auto"/>
              </w:rPr>
            </w:pPr>
          </w:p>
        </w:tc>
        <w:tc>
          <w:tcPr>
            <w:tcW w:w="800" w:type="dxa"/>
            <w:vAlign w:val="bottom"/>
            <w:tcBorders>
              <w:bottom w:val="single" w:sz="8" w:color="auto"/>
            </w:tcBorders>
          </w:tcPr>
          <w:p>
            <w:pPr>
              <w:spacing w:after="0" w:line="70" w:lineRule="exact"/>
              <w:rPr>
                <w:sz w:val="20"/>
                <w:szCs w:val="20"/>
                <w:color w:val="auto"/>
              </w:rPr>
            </w:pPr>
            <w:r>
              <w:rPr>
                <w:rFonts w:ascii="Arial" w:cs="Arial" w:eastAsia="Arial" w:hAnsi="Arial"/>
                <w:sz w:val="8"/>
                <w:szCs w:val="8"/>
                <w:b w:val="1"/>
                <w:bCs w:val="1"/>
                <w:color w:val="auto"/>
              </w:rPr>
              <w:t>$</w:t>
            </w:r>
          </w:p>
        </w:tc>
        <w:tc>
          <w:tcPr>
            <w:tcW w:w="1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(812)</w:t>
            </w:r>
          </w:p>
        </w:tc>
        <w:tc>
          <w:tcPr>
            <w:tcW w:w="160" w:type="dxa"/>
            <w:vAlign w:val="bottom"/>
          </w:tcPr>
          <w:p>
            <w:pPr>
              <w:spacing w:after="0"/>
              <w:rPr>
                <w:sz w:val="6"/>
                <w:szCs w:val="6"/>
                <w:color w:val="auto"/>
              </w:rPr>
            </w:pPr>
          </w:p>
        </w:tc>
        <w:tc>
          <w:tcPr>
            <w:tcW w:w="300" w:type="dxa"/>
            <w:vAlign w:val="bottom"/>
            <w:tcBorders>
              <w:bottom w:val="single" w:sz="8" w:color="auto"/>
            </w:tcBorders>
          </w:tcPr>
          <w:p>
            <w:pPr>
              <w:jc w:val="right"/>
              <w:ind w:right="199"/>
              <w:spacing w:after="0" w:line="70" w:lineRule="exact"/>
              <w:rPr>
                <w:sz w:val="20"/>
                <w:szCs w:val="20"/>
                <w:color w:val="auto"/>
              </w:rPr>
            </w:pPr>
            <w:r>
              <w:rPr>
                <w:rFonts w:ascii="Arial" w:cs="Arial" w:eastAsia="Arial" w:hAnsi="Arial"/>
                <w:sz w:val="8"/>
                <w:szCs w:val="8"/>
                <w:b w:val="1"/>
                <w:bCs w:val="1"/>
                <w:color w:val="auto"/>
                <w:w w:val="88"/>
              </w:rPr>
              <w:t>$</w:t>
            </w:r>
          </w:p>
        </w:tc>
        <w:tc>
          <w:tcPr>
            <w:tcW w:w="900" w:type="dxa"/>
            <w:vAlign w:val="bottom"/>
            <w:tcBorders>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(204)</w:t>
            </w:r>
          </w:p>
        </w:tc>
        <w:tc>
          <w:tcPr>
            <w:tcW w:w="0" w:type="dxa"/>
            <w:vAlign w:val="bottom"/>
          </w:tcPr>
          <w:p>
            <w:pPr>
              <w:spacing w:after="0"/>
              <w:rPr>
                <w:sz w:val="1"/>
                <w:szCs w:val="1"/>
                <w:color w:val="auto"/>
              </w:rPr>
            </w:pPr>
          </w:p>
        </w:tc>
      </w:tr>
      <w:tr>
        <w:trPr>
          <w:trHeight w:val="273"/>
        </w:trPr>
        <w:tc>
          <w:tcPr>
            <w:tcW w:w="1160" w:type="dxa"/>
            <w:vAlign w:val="bottom"/>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2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gridSpan w:val="10"/>
          </w:tcPr>
          <w:p>
            <w:pPr>
              <w:jc w:val="center"/>
              <w:ind w:right="200"/>
              <w:spacing w:after="0"/>
              <w:rPr>
                <w:sz w:val="20"/>
                <w:szCs w:val="20"/>
                <w:color w:val="auto"/>
              </w:rPr>
            </w:pPr>
            <w:r>
              <w:rPr>
                <w:rFonts w:ascii="Arial" w:cs="Arial" w:eastAsia="Arial" w:hAnsi="Arial"/>
                <w:sz w:val="8"/>
                <w:szCs w:val="8"/>
                <w:b w:val="1"/>
                <w:bCs w:val="1"/>
                <w:color w:val="auto"/>
              </w:rPr>
              <w:t>Loss (Gain) Recognized in OCI on Derivatives (Effective Portion)</w:t>
            </w:r>
          </w:p>
        </w:tc>
        <w:tc>
          <w:tcPr>
            <w:tcW w:w="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8"/>
        </w:trPr>
        <w:tc>
          <w:tcPr>
            <w:tcW w:w="1160" w:type="dxa"/>
            <w:vAlign w:val="bottom"/>
            <w:tcBorders>
              <w:bottom w:val="single" w:sz="8" w:color="auto"/>
            </w:tcBorders>
            <w:vMerge w:val="continue"/>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gridSpan w:val="3"/>
          </w:tcPr>
          <w:p>
            <w:pPr>
              <w:jc w:val="center"/>
              <w:ind w:right="528"/>
              <w:spacing w:after="0" w:line="78" w:lineRule="exact"/>
              <w:rPr>
                <w:sz w:val="20"/>
                <w:szCs w:val="20"/>
                <w:color w:val="auto"/>
              </w:rPr>
            </w:pPr>
            <w:r>
              <w:rPr>
                <w:rFonts w:ascii="Arial" w:cs="Arial" w:eastAsia="Arial" w:hAnsi="Arial"/>
                <w:sz w:val="8"/>
                <w:szCs w:val="8"/>
                <w:b w:val="1"/>
                <w:bCs w:val="1"/>
                <w:color w:val="auto"/>
                <w:w w:val="99"/>
              </w:rPr>
              <w:t>Amount</w:t>
            </w: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gridSpan w:val="3"/>
          </w:tcPr>
          <w:p>
            <w:pPr>
              <w:jc w:val="center"/>
              <w:ind w:left="499"/>
              <w:spacing w:after="0" w:line="78" w:lineRule="exact"/>
              <w:rPr>
                <w:sz w:val="20"/>
                <w:szCs w:val="20"/>
                <w:color w:val="auto"/>
              </w:rPr>
            </w:pPr>
            <w:r>
              <w:rPr>
                <w:rFonts w:ascii="Arial" w:cs="Arial" w:eastAsia="Arial" w:hAnsi="Arial"/>
                <w:sz w:val="8"/>
                <w:szCs w:val="8"/>
                <w:b w:val="1"/>
                <w:bCs w:val="1"/>
                <w:color w:val="auto"/>
              </w:rPr>
              <w:t>Amount</w:t>
            </w:r>
          </w:p>
        </w:tc>
        <w:tc>
          <w:tcPr>
            <w:tcW w:w="1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1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520" w:type="dxa"/>
            <w:vAlign w:val="bottom"/>
            <w:tcBorders>
              <w:bottom w:val="single" w:sz="8" w:color="auto"/>
            </w:tcBorders>
            <w:gridSpan w:val="4"/>
          </w:tcPr>
          <w:p>
            <w:pPr>
              <w:jc w:val="center"/>
              <w:ind w:left="866"/>
              <w:spacing w:after="0" w:line="78" w:lineRule="exact"/>
              <w:rPr>
                <w:sz w:val="20"/>
                <w:szCs w:val="20"/>
                <w:color w:val="auto"/>
              </w:rPr>
            </w:pPr>
            <w:r>
              <w:rPr>
                <w:rFonts w:ascii="Arial" w:cs="Arial" w:eastAsia="Arial" w:hAnsi="Arial"/>
                <w:sz w:val="8"/>
                <w:szCs w:val="8"/>
                <w:b w:val="1"/>
                <w:bCs w:val="1"/>
                <w:color w:val="auto"/>
              </w:rPr>
              <w:t>Quarter Ended September 30</w:t>
            </w: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gridSpan w:val="5"/>
          </w:tcPr>
          <w:p>
            <w:pPr>
              <w:jc w:val="center"/>
              <w:ind w:left="59"/>
              <w:spacing w:after="0" w:line="78" w:lineRule="exact"/>
              <w:rPr>
                <w:sz w:val="20"/>
                <w:szCs w:val="20"/>
                <w:color w:val="auto"/>
              </w:rPr>
            </w:pPr>
            <w:r>
              <w:rPr>
                <w:rFonts w:ascii="Arial" w:cs="Arial" w:eastAsia="Arial" w:hAnsi="Arial"/>
                <w:sz w:val="8"/>
                <w:szCs w:val="8"/>
                <w:b w:val="1"/>
                <w:bCs w:val="1"/>
                <w:color w:val="auto"/>
              </w:rPr>
              <w:t>Nine Months Ended September 30</w:t>
            </w: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160" w:type="dxa"/>
            <w:vAlign w:val="bottom"/>
            <w:tcBorders>
              <w:bottom w:val="single" w:sz="8" w:color="CCEEFF"/>
            </w:tcBorders>
          </w:tcPr>
          <w:p>
            <w:pPr>
              <w:spacing w:after="0"/>
              <w:rPr>
                <w:sz w:val="6"/>
                <w:szCs w:val="6"/>
                <w:color w:val="auto"/>
              </w:rPr>
            </w:pPr>
          </w:p>
        </w:tc>
        <w:tc>
          <w:tcPr>
            <w:tcW w:w="2440" w:type="dxa"/>
            <w:vAlign w:val="bottom"/>
            <w:tcBorders>
              <w:bottom w:val="single" w:sz="8" w:color="CCEEFF"/>
            </w:tcBorders>
            <w:gridSpan w:val="2"/>
          </w:tcPr>
          <w:p>
            <w:pPr>
              <w:spacing w:after="0"/>
              <w:rPr>
                <w:sz w:val="6"/>
                <w:szCs w:val="6"/>
                <w:color w:val="auto"/>
              </w:rPr>
            </w:pPr>
          </w:p>
        </w:tc>
        <w:tc>
          <w:tcPr>
            <w:tcW w:w="1460" w:type="dxa"/>
            <w:vAlign w:val="bottom"/>
            <w:tcBorders>
              <w:bottom w:val="single" w:sz="8" w:color="auto"/>
            </w:tcBorders>
          </w:tcPr>
          <w:p>
            <w:pPr>
              <w:jc w:val="right"/>
              <w:ind w:right="426"/>
              <w:spacing w:after="0" w:line="78" w:lineRule="exact"/>
              <w:rPr>
                <w:sz w:val="20"/>
                <w:szCs w:val="20"/>
                <w:color w:val="auto"/>
              </w:rPr>
            </w:pPr>
            <w:r>
              <w:rPr>
                <w:rFonts w:ascii="Arial" w:cs="Arial" w:eastAsia="Arial" w:hAnsi="Arial"/>
                <w:sz w:val="8"/>
                <w:szCs w:val="8"/>
                <w:b w:val="1"/>
                <w:bCs w:val="1"/>
                <w:color w:val="auto"/>
              </w:rPr>
              <w:t>2023</w:t>
            </w:r>
          </w:p>
        </w:tc>
        <w:tc>
          <w:tcPr>
            <w:tcW w:w="16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jc w:val="right"/>
              <w:ind w:right="19"/>
              <w:spacing w:after="0" w:line="78" w:lineRule="exact"/>
              <w:rPr>
                <w:sz w:val="20"/>
                <w:szCs w:val="20"/>
                <w:color w:val="auto"/>
              </w:rPr>
            </w:pPr>
            <w:r>
              <w:rPr>
                <w:rFonts w:ascii="Arial" w:cs="Arial" w:eastAsia="Arial" w:hAnsi="Arial"/>
                <w:sz w:val="8"/>
                <w:szCs w:val="8"/>
                <w:b w:val="1"/>
                <w:bCs w:val="1"/>
                <w:color w:val="auto"/>
              </w:rPr>
              <w:t>2022</w:t>
            </w:r>
          </w:p>
        </w:tc>
        <w:tc>
          <w:tcPr>
            <w:tcW w:w="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ind w:left="160"/>
              <w:spacing w:after="0" w:line="78" w:lineRule="exact"/>
              <w:rPr>
                <w:sz w:val="20"/>
                <w:szCs w:val="20"/>
                <w:color w:val="auto"/>
              </w:rPr>
            </w:pPr>
            <w:r>
              <w:rPr>
                <w:rFonts w:ascii="Arial" w:cs="Arial" w:eastAsia="Arial" w:hAnsi="Arial"/>
                <w:sz w:val="8"/>
                <w:szCs w:val="8"/>
                <w:b w:val="1"/>
                <w:bCs w:val="1"/>
                <w:color w:val="auto"/>
              </w:rPr>
              <w:t>2023</w:t>
            </w:r>
          </w:p>
        </w:tc>
        <w:tc>
          <w:tcPr>
            <w:tcW w:w="1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jc w:val="right"/>
              <w:ind w:right="559"/>
              <w:spacing w:after="0" w:line="78" w:lineRule="exact"/>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78"/>
        </w:trPr>
        <w:tc>
          <w:tcPr>
            <w:tcW w:w="1160" w:type="dxa"/>
            <w:vAlign w:val="bottom"/>
            <w:shd w:val="clear" w:color="auto" w:fill="CCEEFF"/>
          </w:tcPr>
          <w:p>
            <w:pPr>
              <w:spacing w:after="0" w:line="78" w:lineRule="exact"/>
              <w:rPr>
                <w:sz w:val="20"/>
                <w:szCs w:val="20"/>
                <w:color w:val="auto"/>
              </w:rPr>
            </w:pPr>
            <w:r>
              <w:rPr>
                <w:rFonts w:ascii="Arial" w:cs="Arial" w:eastAsia="Arial" w:hAnsi="Arial"/>
                <w:sz w:val="8"/>
                <w:szCs w:val="8"/>
                <w:color w:val="auto"/>
              </w:rPr>
              <w:t>Interest rate contracts</w:t>
            </w:r>
          </w:p>
        </w:tc>
        <w:tc>
          <w:tcPr>
            <w:tcW w:w="2440" w:type="dxa"/>
            <w:vAlign w:val="bottom"/>
            <w:gridSpan w:val="2"/>
            <w:shd w:val="clear" w:color="auto" w:fill="CCEEFF"/>
          </w:tcPr>
          <w:p>
            <w:pPr>
              <w:spacing w:after="0"/>
              <w:rPr>
                <w:sz w:val="6"/>
                <w:szCs w:val="6"/>
                <w:color w:val="auto"/>
              </w:rPr>
            </w:pPr>
          </w:p>
        </w:tc>
        <w:tc>
          <w:tcPr>
            <w:tcW w:w="1460" w:type="dxa"/>
            <w:vAlign w:val="bottom"/>
            <w:tcBorders>
              <w:bottom w:val="single" w:sz="8" w:color="auto"/>
            </w:tcBorders>
            <w:shd w:val="clear" w:color="auto" w:fill="CCEEFF"/>
          </w:tcPr>
          <w:p>
            <w:pPr>
              <w:jc w:val="right"/>
              <w:ind w:right="1386"/>
              <w:spacing w:after="0"/>
              <w:rPr>
                <w:sz w:val="20"/>
                <w:szCs w:val="20"/>
                <w:color w:val="auto"/>
              </w:rPr>
            </w:pPr>
            <w:r>
              <w:rPr>
                <w:rFonts w:ascii="Arial" w:cs="Arial" w:eastAsia="Arial" w:hAnsi="Arial"/>
                <w:sz w:val="5"/>
                <w:szCs w:val="5"/>
                <w:color w:val="auto"/>
                <w:w w:val="70"/>
              </w:rPr>
              <w:t>$</w:t>
            </w:r>
          </w:p>
        </w:tc>
        <w:tc>
          <w:tcPr>
            <w:tcW w:w="160" w:type="dxa"/>
            <w:vAlign w:val="bottom"/>
            <w:tcBorders>
              <w:bottom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gridSpan w:val="2"/>
            <w:shd w:val="clear" w:color="auto" w:fill="CCEEFF"/>
          </w:tcPr>
          <w:p>
            <w:pPr>
              <w:jc w:val="right"/>
              <w:spacing w:after="0" w:line="78" w:lineRule="exact"/>
              <w:rPr>
                <w:sz w:val="20"/>
                <w:szCs w:val="20"/>
                <w:color w:val="auto"/>
              </w:rPr>
            </w:pPr>
            <w:r>
              <w:rPr>
                <w:rFonts w:ascii="Arial" w:cs="Arial" w:eastAsia="Arial" w:hAnsi="Arial"/>
                <w:sz w:val="8"/>
                <w:szCs w:val="8"/>
                <w:color w:val="auto"/>
              </w:rPr>
              <w:t>(312)</w:t>
            </w:r>
          </w:p>
        </w:tc>
        <w:tc>
          <w:tcPr>
            <w:tcW w:w="2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jc w:val="right"/>
              <w:ind w:right="239"/>
              <w:spacing w:after="0" w:line="78" w:lineRule="exact"/>
              <w:rPr>
                <w:sz w:val="20"/>
                <w:szCs w:val="20"/>
                <w:color w:val="auto"/>
              </w:rPr>
            </w:pPr>
            <w:r>
              <w:rPr>
                <w:rFonts w:ascii="Arial" w:cs="Arial" w:eastAsia="Arial" w:hAnsi="Arial"/>
                <w:sz w:val="8"/>
                <w:szCs w:val="8"/>
                <w:color w:val="auto"/>
                <w:w w:val="88"/>
              </w:rPr>
              <w:t>$</w:t>
            </w:r>
          </w:p>
        </w:tc>
        <w:tc>
          <w:tcPr>
            <w:tcW w:w="3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gridSpan w:val="2"/>
            <w:shd w:val="clear" w:color="auto" w:fill="CCEEFF"/>
          </w:tcPr>
          <w:p>
            <w:pPr>
              <w:jc w:val="right"/>
              <w:spacing w:after="0" w:line="78" w:lineRule="exact"/>
              <w:rPr>
                <w:sz w:val="20"/>
                <w:szCs w:val="20"/>
                <w:color w:val="auto"/>
              </w:rPr>
            </w:pPr>
            <w:r>
              <w:rPr>
                <w:rFonts w:ascii="Arial" w:cs="Arial" w:eastAsia="Arial" w:hAnsi="Arial"/>
                <w:sz w:val="8"/>
                <w:szCs w:val="8"/>
                <w:color w:val="auto"/>
              </w:rPr>
              <w:t>2</w:t>
            </w:r>
          </w:p>
        </w:tc>
        <w:tc>
          <w:tcPr>
            <w:tcW w:w="1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jc w:val="right"/>
              <w:ind w:right="139"/>
              <w:spacing w:after="0" w:line="78" w:lineRule="exact"/>
              <w:rPr>
                <w:sz w:val="20"/>
                <w:szCs w:val="20"/>
                <w:color w:val="auto"/>
              </w:rPr>
            </w:pPr>
            <w:r>
              <w:rPr>
                <w:rFonts w:ascii="Arial" w:cs="Arial" w:eastAsia="Arial" w:hAnsi="Arial"/>
                <w:sz w:val="8"/>
                <w:szCs w:val="8"/>
                <w:color w:val="auto"/>
                <w:w w:val="88"/>
              </w:rPr>
              <w:t>$</w:t>
            </w:r>
          </w:p>
        </w:tc>
        <w:tc>
          <w:tcPr>
            <w:tcW w:w="16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(1,457)</w:t>
            </w:r>
          </w:p>
        </w:tc>
        <w:tc>
          <w:tcPr>
            <w:tcW w:w="0" w:type="dxa"/>
            <w:vAlign w:val="bottom"/>
          </w:tcPr>
          <w:p>
            <w:pPr>
              <w:spacing w:after="0"/>
              <w:rPr>
                <w:sz w:val="1"/>
                <w:szCs w:val="1"/>
                <w:color w:val="auto"/>
              </w:rPr>
            </w:pPr>
          </w:p>
        </w:tc>
      </w:tr>
      <w:tr>
        <w:trPr>
          <w:trHeight w:val="70"/>
        </w:trPr>
        <w:tc>
          <w:tcPr>
            <w:tcW w:w="1160" w:type="dxa"/>
            <w:vAlign w:val="bottom"/>
          </w:tcPr>
          <w:p>
            <w:pPr>
              <w:spacing w:after="0" w:line="70" w:lineRule="exact"/>
              <w:rPr>
                <w:sz w:val="20"/>
                <w:szCs w:val="20"/>
                <w:color w:val="auto"/>
              </w:rPr>
            </w:pPr>
            <w:r>
              <w:rPr>
                <w:rFonts w:ascii="Arial" w:cs="Arial" w:eastAsia="Arial" w:hAnsi="Arial"/>
                <w:sz w:val="8"/>
                <w:szCs w:val="8"/>
                <w:b w:val="1"/>
                <w:bCs w:val="1"/>
                <w:color w:val="auto"/>
              </w:rPr>
              <w:t>Total</w:t>
            </w:r>
          </w:p>
        </w:tc>
        <w:tc>
          <w:tcPr>
            <w:tcW w:w="2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Borders>
              <w:bottom w:val="single" w:sz="8" w:color="auto"/>
            </w:tcBorders>
          </w:tcPr>
          <w:p>
            <w:pPr>
              <w:jc w:val="right"/>
              <w:ind w:right="1386"/>
              <w:spacing w:after="0"/>
              <w:rPr>
                <w:sz w:val="20"/>
                <w:szCs w:val="20"/>
                <w:color w:val="auto"/>
              </w:rPr>
            </w:pPr>
            <w:r>
              <w:rPr>
                <w:rFonts w:ascii="Arial" w:cs="Arial" w:eastAsia="Arial" w:hAnsi="Arial"/>
                <w:sz w:val="5"/>
                <w:szCs w:val="5"/>
                <w:b w:val="1"/>
                <w:bCs w:val="1"/>
                <w:color w:val="auto"/>
                <w:w w:val="70"/>
              </w:rPr>
              <w:t>$</w:t>
            </w:r>
          </w:p>
        </w:tc>
        <w:tc>
          <w:tcPr>
            <w:tcW w:w="160" w:type="dxa"/>
            <w:vAlign w:val="bottom"/>
            <w:tcBorders>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w:t>
            </w:r>
          </w:p>
        </w:tc>
        <w:tc>
          <w:tcPr>
            <w:tcW w:w="200" w:type="dxa"/>
            <w:vAlign w:val="bottom"/>
          </w:tcPr>
          <w:p>
            <w:pPr>
              <w:spacing w:after="0"/>
              <w:rPr>
                <w:sz w:val="6"/>
                <w:szCs w:val="6"/>
                <w:color w:val="auto"/>
              </w:rPr>
            </w:pPr>
          </w:p>
        </w:tc>
        <w:tc>
          <w:tcPr>
            <w:tcW w:w="700" w:type="dxa"/>
            <w:vAlign w:val="bottom"/>
            <w:tcBorders>
              <w:bottom w:val="single" w:sz="8" w:color="auto"/>
            </w:tcBorders>
          </w:tcPr>
          <w:p>
            <w:pPr>
              <w:jc w:val="right"/>
              <w:ind w:right="628"/>
              <w:spacing w:after="0"/>
              <w:rPr>
                <w:sz w:val="20"/>
                <w:szCs w:val="20"/>
                <w:color w:val="auto"/>
              </w:rPr>
            </w:pPr>
            <w:r>
              <w:rPr>
                <w:rFonts w:ascii="Arial" w:cs="Arial" w:eastAsia="Arial" w:hAnsi="Arial"/>
                <w:sz w:val="5"/>
                <w:szCs w:val="5"/>
                <w:b w:val="1"/>
                <w:bCs w:val="1"/>
                <w:color w:val="auto"/>
                <w:w w:val="70"/>
              </w:rPr>
              <w:t>$</w:t>
            </w:r>
          </w:p>
        </w:tc>
        <w:tc>
          <w:tcPr>
            <w:tcW w:w="3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jc w:val="right"/>
              <w:spacing w:after="0" w:line="70" w:lineRule="exact"/>
              <w:rPr>
                <w:sz w:val="20"/>
                <w:szCs w:val="20"/>
                <w:color w:val="auto"/>
              </w:rPr>
            </w:pPr>
            <w:r>
              <w:rPr>
                <w:rFonts w:ascii="Arial" w:cs="Arial" w:eastAsia="Arial" w:hAnsi="Arial"/>
                <w:sz w:val="8"/>
                <w:szCs w:val="8"/>
                <w:b w:val="1"/>
                <w:bCs w:val="1"/>
                <w:color w:val="auto"/>
              </w:rPr>
              <w:t>(312)</w:t>
            </w:r>
          </w:p>
        </w:tc>
        <w:tc>
          <w:tcPr>
            <w:tcW w:w="200" w:type="dxa"/>
            <w:vAlign w:val="bottom"/>
          </w:tcPr>
          <w:p>
            <w:pPr>
              <w:spacing w:after="0"/>
              <w:rPr>
                <w:sz w:val="6"/>
                <w:szCs w:val="6"/>
                <w:color w:val="auto"/>
              </w:rPr>
            </w:pPr>
          </w:p>
        </w:tc>
        <w:tc>
          <w:tcPr>
            <w:tcW w:w="340" w:type="dxa"/>
            <w:vAlign w:val="bottom"/>
            <w:tcBorders>
              <w:bottom w:val="single" w:sz="8" w:color="auto"/>
            </w:tcBorders>
          </w:tcPr>
          <w:p>
            <w:pPr>
              <w:jc w:val="right"/>
              <w:ind w:right="239"/>
              <w:spacing w:after="0" w:line="70" w:lineRule="exact"/>
              <w:rPr>
                <w:sz w:val="20"/>
                <w:szCs w:val="20"/>
                <w:color w:val="auto"/>
              </w:rPr>
            </w:pPr>
            <w:r>
              <w:rPr>
                <w:rFonts w:ascii="Arial" w:cs="Arial" w:eastAsia="Arial" w:hAnsi="Arial"/>
                <w:sz w:val="8"/>
                <w:szCs w:val="8"/>
                <w:b w:val="1"/>
                <w:bCs w:val="1"/>
                <w:color w:val="auto"/>
                <w:w w:val="88"/>
              </w:rPr>
              <w:t>$</w:t>
            </w:r>
          </w:p>
        </w:tc>
        <w:tc>
          <w:tcPr>
            <w:tcW w:w="3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jc w:val="right"/>
              <w:spacing w:after="0" w:line="70" w:lineRule="exact"/>
              <w:rPr>
                <w:sz w:val="20"/>
                <w:szCs w:val="20"/>
                <w:color w:val="auto"/>
              </w:rPr>
            </w:pPr>
            <w:r>
              <w:rPr>
                <w:rFonts w:ascii="Arial" w:cs="Arial" w:eastAsia="Arial" w:hAnsi="Arial"/>
                <w:sz w:val="8"/>
                <w:szCs w:val="8"/>
                <w:b w:val="1"/>
                <w:bCs w:val="1"/>
                <w:color w:val="auto"/>
              </w:rPr>
              <w:t>2</w:t>
            </w:r>
          </w:p>
        </w:tc>
        <w:tc>
          <w:tcPr>
            <w:tcW w:w="180" w:type="dxa"/>
            <w:vAlign w:val="bottom"/>
          </w:tcPr>
          <w:p>
            <w:pPr>
              <w:spacing w:after="0"/>
              <w:rPr>
                <w:sz w:val="6"/>
                <w:szCs w:val="6"/>
                <w:color w:val="auto"/>
              </w:rPr>
            </w:pPr>
          </w:p>
        </w:tc>
        <w:tc>
          <w:tcPr>
            <w:tcW w:w="240" w:type="dxa"/>
            <w:vAlign w:val="bottom"/>
            <w:tcBorders>
              <w:bottom w:val="single" w:sz="8" w:color="auto"/>
            </w:tcBorders>
          </w:tcPr>
          <w:p>
            <w:pPr>
              <w:jc w:val="right"/>
              <w:ind w:right="139"/>
              <w:spacing w:after="0" w:line="70" w:lineRule="exact"/>
              <w:rPr>
                <w:sz w:val="20"/>
                <w:szCs w:val="20"/>
                <w:color w:val="auto"/>
              </w:rPr>
            </w:pPr>
            <w:r>
              <w:rPr>
                <w:rFonts w:ascii="Arial" w:cs="Arial" w:eastAsia="Arial" w:hAnsi="Arial"/>
                <w:sz w:val="8"/>
                <w:szCs w:val="8"/>
                <w:b w:val="1"/>
                <w:bCs w:val="1"/>
                <w:color w:val="auto"/>
                <w:w w:val="88"/>
              </w:rPr>
              <w:t>$</w:t>
            </w:r>
          </w:p>
        </w:tc>
        <w:tc>
          <w:tcPr>
            <w:tcW w:w="1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(1,457)</w:t>
            </w:r>
          </w:p>
        </w:tc>
        <w:tc>
          <w:tcPr>
            <w:tcW w:w="0" w:type="dxa"/>
            <w:vAlign w:val="bottom"/>
          </w:tcPr>
          <w:p>
            <w:pPr>
              <w:spacing w:after="0"/>
              <w:rPr>
                <w:sz w:val="1"/>
                <w:szCs w:val="1"/>
                <w:color w:val="auto"/>
              </w:rPr>
            </w:pPr>
          </w:p>
        </w:tc>
      </w:tr>
      <w:tr>
        <w:trPr>
          <w:trHeight w:val="160"/>
        </w:trPr>
        <w:tc>
          <w:tcPr>
            <w:tcW w:w="11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gridSpan w:val="10"/>
          </w:tcPr>
          <w:p>
            <w:pPr>
              <w:jc w:val="center"/>
              <w:ind w:right="220"/>
              <w:spacing w:after="0"/>
              <w:rPr>
                <w:sz w:val="20"/>
                <w:szCs w:val="20"/>
                <w:color w:val="auto"/>
              </w:rPr>
            </w:pPr>
            <w:r>
              <w:rPr>
                <w:rFonts w:ascii="Arial" w:cs="Arial" w:eastAsia="Arial" w:hAnsi="Arial"/>
                <w:sz w:val="8"/>
                <w:szCs w:val="8"/>
                <w:b w:val="1"/>
                <w:bCs w:val="1"/>
                <w:color w:val="auto"/>
              </w:rPr>
              <w:t>Loss (Gain) Reclassified from OCI into Income (Effective Portion)</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116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ind w:left="360"/>
              <w:spacing w:after="0" w:line="78" w:lineRule="exact"/>
              <w:rPr>
                <w:sz w:val="20"/>
                <w:szCs w:val="20"/>
                <w:color w:val="auto"/>
              </w:rPr>
            </w:pPr>
            <w:r>
              <w:rPr>
                <w:rFonts w:ascii="Arial" w:cs="Arial" w:eastAsia="Arial" w:hAnsi="Arial"/>
                <w:sz w:val="8"/>
                <w:szCs w:val="8"/>
                <w:b w:val="1"/>
                <w:bCs w:val="1"/>
                <w:color w:val="auto"/>
              </w:rPr>
              <w:t>Line Item</w:t>
            </w:r>
          </w:p>
        </w:tc>
        <w:tc>
          <w:tcPr>
            <w:tcW w:w="20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gridSpan w:val="3"/>
          </w:tcPr>
          <w:p>
            <w:pPr>
              <w:jc w:val="center"/>
              <w:ind w:right="528"/>
              <w:spacing w:after="0" w:line="78" w:lineRule="exact"/>
              <w:rPr>
                <w:sz w:val="20"/>
                <w:szCs w:val="20"/>
                <w:color w:val="auto"/>
              </w:rPr>
            </w:pPr>
            <w:r>
              <w:rPr>
                <w:rFonts w:ascii="Arial" w:cs="Arial" w:eastAsia="Arial" w:hAnsi="Arial"/>
                <w:sz w:val="8"/>
                <w:szCs w:val="8"/>
                <w:b w:val="1"/>
                <w:bCs w:val="1"/>
                <w:color w:val="auto"/>
                <w:w w:val="99"/>
              </w:rPr>
              <w:t>Amount</w:t>
            </w: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gridSpan w:val="3"/>
          </w:tcPr>
          <w:p>
            <w:pPr>
              <w:jc w:val="center"/>
              <w:ind w:left="499"/>
              <w:spacing w:after="0" w:line="78" w:lineRule="exact"/>
              <w:rPr>
                <w:sz w:val="20"/>
                <w:szCs w:val="20"/>
                <w:color w:val="auto"/>
              </w:rPr>
            </w:pPr>
            <w:r>
              <w:rPr>
                <w:rFonts w:ascii="Arial" w:cs="Arial" w:eastAsia="Arial" w:hAnsi="Arial"/>
                <w:sz w:val="8"/>
                <w:szCs w:val="8"/>
                <w:b w:val="1"/>
                <w:bCs w:val="1"/>
                <w:color w:val="auto"/>
              </w:rPr>
              <w:t>Amount</w:t>
            </w:r>
          </w:p>
        </w:tc>
        <w:tc>
          <w:tcPr>
            <w:tcW w:w="1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1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520" w:type="dxa"/>
            <w:vAlign w:val="bottom"/>
            <w:tcBorders>
              <w:bottom w:val="single" w:sz="8" w:color="auto"/>
            </w:tcBorders>
            <w:gridSpan w:val="4"/>
          </w:tcPr>
          <w:p>
            <w:pPr>
              <w:jc w:val="center"/>
              <w:ind w:left="866"/>
              <w:spacing w:after="0" w:line="78" w:lineRule="exact"/>
              <w:rPr>
                <w:sz w:val="20"/>
                <w:szCs w:val="20"/>
                <w:color w:val="auto"/>
              </w:rPr>
            </w:pPr>
            <w:r>
              <w:rPr>
                <w:rFonts w:ascii="Arial" w:cs="Arial" w:eastAsia="Arial" w:hAnsi="Arial"/>
                <w:sz w:val="8"/>
                <w:szCs w:val="8"/>
                <w:b w:val="1"/>
                <w:bCs w:val="1"/>
                <w:color w:val="auto"/>
              </w:rPr>
              <w:t>Quarter Ended September 30</w:t>
            </w: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gridSpan w:val="5"/>
          </w:tcPr>
          <w:p>
            <w:pPr>
              <w:jc w:val="center"/>
              <w:ind w:left="59"/>
              <w:spacing w:after="0" w:line="78" w:lineRule="exact"/>
              <w:rPr>
                <w:sz w:val="20"/>
                <w:szCs w:val="20"/>
                <w:color w:val="auto"/>
              </w:rPr>
            </w:pPr>
            <w:r>
              <w:rPr>
                <w:rFonts w:ascii="Arial" w:cs="Arial" w:eastAsia="Arial" w:hAnsi="Arial"/>
                <w:sz w:val="8"/>
                <w:szCs w:val="8"/>
                <w:b w:val="1"/>
                <w:bCs w:val="1"/>
                <w:color w:val="auto"/>
              </w:rPr>
              <w:t>Nine Months Ended September 30</w:t>
            </w: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160" w:type="dxa"/>
            <w:vAlign w:val="bottom"/>
            <w:tcBorders>
              <w:bottom w:val="single" w:sz="8" w:color="CCEEFF"/>
            </w:tcBorders>
          </w:tcPr>
          <w:p>
            <w:pPr>
              <w:spacing w:after="0"/>
              <w:rPr>
                <w:sz w:val="6"/>
                <w:szCs w:val="6"/>
                <w:color w:val="auto"/>
              </w:rPr>
            </w:pPr>
          </w:p>
        </w:tc>
        <w:tc>
          <w:tcPr>
            <w:tcW w:w="2440" w:type="dxa"/>
            <w:vAlign w:val="bottom"/>
            <w:tcBorders>
              <w:bottom w:val="single" w:sz="8" w:color="CCEEFF"/>
            </w:tcBorders>
            <w:gridSpan w:val="2"/>
          </w:tcPr>
          <w:p>
            <w:pPr>
              <w:spacing w:after="0"/>
              <w:rPr>
                <w:sz w:val="6"/>
                <w:szCs w:val="6"/>
                <w:color w:val="auto"/>
              </w:rPr>
            </w:pPr>
          </w:p>
        </w:tc>
        <w:tc>
          <w:tcPr>
            <w:tcW w:w="1460" w:type="dxa"/>
            <w:vAlign w:val="bottom"/>
            <w:tcBorders>
              <w:bottom w:val="single" w:sz="8" w:color="auto"/>
            </w:tcBorders>
          </w:tcPr>
          <w:p>
            <w:pPr>
              <w:jc w:val="right"/>
              <w:ind w:right="426"/>
              <w:spacing w:after="0" w:line="78" w:lineRule="exact"/>
              <w:rPr>
                <w:sz w:val="20"/>
                <w:szCs w:val="20"/>
                <w:color w:val="auto"/>
              </w:rPr>
            </w:pPr>
            <w:r>
              <w:rPr>
                <w:rFonts w:ascii="Arial" w:cs="Arial" w:eastAsia="Arial" w:hAnsi="Arial"/>
                <w:sz w:val="8"/>
                <w:szCs w:val="8"/>
                <w:b w:val="1"/>
                <w:bCs w:val="1"/>
                <w:color w:val="auto"/>
              </w:rPr>
              <w:t>2023</w:t>
            </w:r>
          </w:p>
        </w:tc>
        <w:tc>
          <w:tcPr>
            <w:tcW w:w="16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jc w:val="right"/>
              <w:ind w:right="19"/>
              <w:spacing w:after="0" w:line="78" w:lineRule="exact"/>
              <w:rPr>
                <w:sz w:val="20"/>
                <w:szCs w:val="20"/>
                <w:color w:val="auto"/>
              </w:rPr>
            </w:pPr>
            <w:r>
              <w:rPr>
                <w:rFonts w:ascii="Arial" w:cs="Arial" w:eastAsia="Arial" w:hAnsi="Arial"/>
                <w:sz w:val="8"/>
                <w:szCs w:val="8"/>
                <w:b w:val="1"/>
                <w:bCs w:val="1"/>
                <w:color w:val="auto"/>
              </w:rPr>
              <w:t>2022</w:t>
            </w:r>
          </w:p>
        </w:tc>
        <w:tc>
          <w:tcPr>
            <w:tcW w:w="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ind w:left="160"/>
              <w:spacing w:after="0" w:line="78" w:lineRule="exact"/>
              <w:rPr>
                <w:sz w:val="20"/>
                <w:szCs w:val="20"/>
                <w:color w:val="auto"/>
              </w:rPr>
            </w:pPr>
            <w:r>
              <w:rPr>
                <w:rFonts w:ascii="Arial" w:cs="Arial" w:eastAsia="Arial" w:hAnsi="Arial"/>
                <w:sz w:val="8"/>
                <w:szCs w:val="8"/>
                <w:b w:val="1"/>
                <w:bCs w:val="1"/>
                <w:color w:val="auto"/>
              </w:rPr>
              <w:t>2023</w:t>
            </w:r>
          </w:p>
        </w:tc>
        <w:tc>
          <w:tcPr>
            <w:tcW w:w="1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jc w:val="right"/>
              <w:ind w:right="559"/>
              <w:spacing w:after="0" w:line="78" w:lineRule="exact"/>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78"/>
        </w:trPr>
        <w:tc>
          <w:tcPr>
            <w:tcW w:w="1160" w:type="dxa"/>
            <w:vAlign w:val="bottom"/>
            <w:shd w:val="clear" w:color="auto" w:fill="CCEEFF"/>
          </w:tcPr>
          <w:p>
            <w:pPr>
              <w:spacing w:after="0" w:line="78" w:lineRule="exact"/>
              <w:rPr>
                <w:sz w:val="20"/>
                <w:szCs w:val="20"/>
                <w:color w:val="auto"/>
              </w:rPr>
            </w:pPr>
            <w:r>
              <w:rPr>
                <w:rFonts w:ascii="Arial" w:cs="Arial" w:eastAsia="Arial" w:hAnsi="Arial"/>
                <w:sz w:val="8"/>
                <w:szCs w:val="8"/>
                <w:color w:val="auto"/>
              </w:rPr>
              <w:t>Interest expense</w:t>
            </w:r>
          </w:p>
        </w:tc>
        <w:tc>
          <w:tcPr>
            <w:tcW w:w="2440" w:type="dxa"/>
            <w:vAlign w:val="bottom"/>
            <w:gridSpan w:val="2"/>
            <w:shd w:val="clear" w:color="auto" w:fill="CCEEFF"/>
          </w:tcPr>
          <w:p>
            <w:pPr>
              <w:spacing w:after="0"/>
              <w:rPr>
                <w:sz w:val="6"/>
                <w:szCs w:val="6"/>
                <w:color w:val="auto"/>
              </w:rPr>
            </w:pPr>
          </w:p>
        </w:tc>
        <w:tc>
          <w:tcPr>
            <w:tcW w:w="1460" w:type="dxa"/>
            <w:vAlign w:val="bottom"/>
            <w:tcBorders>
              <w:bottom w:val="single" w:sz="8" w:color="auto"/>
            </w:tcBorders>
            <w:shd w:val="clear" w:color="auto" w:fill="CCEEFF"/>
          </w:tcPr>
          <w:p>
            <w:pPr>
              <w:jc w:val="right"/>
              <w:ind w:right="1386"/>
              <w:spacing w:after="0"/>
              <w:rPr>
                <w:sz w:val="20"/>
                <w:szCs w:val="20"/>
                <w:color w:val="auto"/>
              </w:rPr>
            </w:pPr>
            <w:r>
              <w:rPr>
                <w:rFonts w:ascii="Arial" w:cs="Arial" w:eastAsia="Arial" w:hAnsi="Arial"/>
                <w:sz w:val="5"/>
                <w:szCs w:val="5"/>
                <w:color w:val="auto"/>
                <w:w w:val="70"/>
              </w:rPr>
              <w:t>$</w:t>
            </w:r>
          </w:p>
        </w:tc>
        <w:tc>
          <w:tcPr>
            <w:tcW w:w="160" w:type="dxa"/>
            <w:vAlign w:val="bottom"/>
            <w:tcBorders>
              <w:bottom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w w:val="84"/>
              </w:rPr>
              <w:t>(26)</w:t>
            </w:r>
          </w:p>
        </w:tc>
        <w:tc>
          <w:tcPr>
            <w:tcW w:w="200" w:type="dxa"/>
            <w:vAlign w:val="bottom"/>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gridSpan w:val="2"/>
            <w:shd w:val="clear" w:color="auto" w:fill="CCEEFF"/>
          </w:tcPr>
          <w:p>
            <w:pPr>
              <w:jc w:val="right"/>
              <w:spacing w:after="0" w:line="78" w:lineRule="exact"/>
              <w:rPr>
                <w:sz w:val="20"/>
                <w:szCs w:val="20"/>
                <w:color w:val="auto"/>
              </w:rPr>
            </w:pPr>
            <w:r>
              <w:rPr>
                <w:rFonts w:ascii="Arial" w:cs="Arial" w:eastAsia="Arial" w:hAnsi="Arial"/>
                <w:sz w:val="8"/>
                <w:szCs w:val="8"/>
                <w:color w:val="auto"/>
              </w:rPr>
              <w:t>(252)</w:t>
            </w:r>
          </w:p>
        </w:tc>
        <w:tc>
          <w:tcPr>
            <w:tcW w:w="2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jc w:val="right"/>
              <w:ind w:right="239"/>
              <w:spacing w:after="0" w:line="78" w:lineRule="exact"/>
              <w:rPr>
                <w:sz w:val="20"/>
                <w:szCs w:val="20"/>
                <w:color w:val="auto"/>
              </w:rPr>
            </w:pPr>
            <w:r>
              <w:rPr>
                <w:rFonts w:ascii="Arial" w:cs="Arial" w:eastAsia="Arial" w:hAnsi="Arial"/>
                <w:sz w:val="8"/>
                <w:szCs w:val="8"/>
                <w:color w:val="auto"/>
                <w:w w:val="88"/>
              </w:rPr>
              <w:t>$</w:t>
            </w:r>
          </w:p>
        </w:tc>
        <w:tc>
          <w:tcPr>
            <w:tcW w:w="3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gridSpan w:val="2"/>
            <w:shd w:val="clear" w:color="auto" w:fill="CCEEFF"/>
          </w:tcPr>
          <w:p>
            <w:pPr>
              <w:jc w:val="right"/>
              <w:spacing w:after="0" w:line="78" w:lineRule="exact"/>
              <w:rPr>
                <w:sz w:val="20"/>
                <w:szCs w:val="20"/>
                <w:color w:val="auto"/>
              </w:rPr>
            </w:pPr>
            <w:r>
              <w:rPr>
                <w:rFonts w:ascii="Arial" w:cs="Arial" w:eastAsia="Arial" w:hAnsi="Arial"/>
                <w:sz w:val="8"/>
                <w:szCs w:val="8"/>
                <w:color w:val="auto"/>
              </w:rPr>
              <w:t>(812)</w:t>
            </w:r>
          </w:p>
        </w:tc>
        <w:tc>
          <w:tcPr>
            <w:tcW w:w="1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jc w:val="right"/>
              <w:ind w:right="139"/>
              <w:spacing w:after="0" w:line="78" w:lineRule="exact"/>
              <w:rPr>
                <w:sz w:val="20"/>
                <w:szCs w:val="20"/>
                <w:color w:val="auto"/>
              </w:rPr>
            </w:pPr>
            <w:r>
              <w:rPr>
                <w:rFonts w:ascii="Arial" w:cs="Arial" w:eastAsia="Arial" w:hAnsi="Arial"/>
                <w:sz w:val="8"/>
                <w:szCs w:val="8"/>
                <w:color w:val="auto"/>
                <w:w w:val="88"/>
              </w:rPr>
              <w:t>$</w:t>
            </w:r>
          </w:p>
        </w:tc>
        <w:tc>
          <w:tcPr>
            <w:tcW w:w="16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(204)</w:t>
            </w:r>
          </w:p>
        </w:tc>
        <w:tc>
          <w:tcPr>
            <w:tcW w:w="0" w:type="dxa"/>
            <w:vAlign w:val="bottom"/>
          </w:tcPr>
          <w:p>
            <w:pPr>
              <w:spacing w:after="0"/>
              <w:rPr>
                <w:sz w:val="1"/>
                <w:szCs w:val="1"/>
                <w:color w:val="auto"/>
              </w:rPr>
            </w:pPr>
          </w:p>
        </w:tc>
      </w:tr>
      <w:tr>
        <w:trPr>
          <w:trHeight w:val="70"/>
        </w:trPr>
        <w:tc>
          <w:tcPr>
            <w:tcW w:w="1160" w:type="dxa"/>
            <w:vAlign w:val="bottom"/>
          </w:tcPr>
          <w:p>
            <w:pPr>
              <w:spacing w:after="0" w:line="70" w:lineRule="exact"/>
              <w:rPr>
                <w:sz w:val="20"/>
                <w:szCs w:val="20"/>
                <w:color w:val="auto"/>
              </w:rPr>
            </w:pPr>
            <w:r>
              <w:rPr>
                <w:rFonts w:ascii="Arial" w:cs="Arial" w:eastAsia="Arial" w:hAnsi="Arial"/>
                <w:sz w:val="8"/>
                <w:szCs w:val="8"/>
                <w:b w:val="1"/>
                <w:bCs w:val="1"/>
                <w:color w:val="auto"/>
              </w:rPr>
              <w:t>Total</w:t>
            </w:r>
          </w:p>
        </w:tc>
        <w:tc>
          <w:tcPr>
            <w:tcW w:w="2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Borders>
              <w:bottom w:val="single" w:sz="8" w:color="auto"/>
            </w:tcBorders>
          </w:tcPr>
          <w:p>
            <w:pPr>
              <w:jc w:val="right"/>
              <w:ind w:right="1386"/>
              <w:spacing w:after="0"/>
              <w:rPr>
                <w:sz w:val="20"/>
                <w:szCs w:val="20"/>
                <w:color w:val="auto"/>
              </w:rPr>
            </w:pPr>
            <w:r>
              <w:rPr>
                <w:rFonts w:ascii="Arial" w:cs="Arial" w:eastAsia="Arial" w:hAnsi="Arial"/>
                <w:sz w:val="5"/>
                <w:szCs w:val="5"/>
                <w:b w:val="1"/>
                <w:bCs w:val="1"/>
                <w:color w:val="auto"/>
                <w:w w:val="70"/>
              </w:rPr>
              <w:t>$</w:t>
            </w:r>
          </w:p>
        </w:tc>
        <w:tc>
          <w:tcPr>
            <w:tcW w:w="160" w:type="dxa"/>
            <w:vAlign w:val="bottom"/>
            <w:tcBorders>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w w:val="84"/>
              </w:rPr>
              <w:t>(26)</w:t>
            </w:r>
          </w:p>
        </w:tc>
        <w:tc>
          <w:tcPr>
            <w:tcW w:w="200" w:type="dxa"/>
            <w:vAlign w:val="bottom"/>
          </w:tcPr>
          <w:p>
            <w:pPr>
              <w:spacing w:after="0"/>
              <w:rPr>
                <w:sz w:val="6"/>
                <w:szCs w:val="6"/>
                <w:color w:val="auto"/>
              </w:rPr>
            </w:pPr>
          </w:p>
        </w:tc>
        <w:tc>
          <w:tcPr>
            <w:tcW w:w="700" w:type="dxa"/>
            <w:vAlign w:val="bottom"/>
            <w:tcBorders>
              <w:bottom w:val="single" w:sz="8" w:color="auto"/>
            </w:tcBorders>
          </w:tcPr>
          <w:p>
            <w:pPr>
              <w:jc w:val="right"/>
              <w:ind w:right="628"/>
              <w:spacing w:after="0"/>
              <w:rPr>
                <w:sz w:val="20"/>
                <w:szCs w:val="20"/>
                <w:color w:val="auto"/>
              </w:rPr>
            </w:pPr>
            <w:r>
              <w:rPr>
                <w:rFonts w:ascii="Arial" w:cs="Arial" w:eastAsia="Arial" w:hAnsi="Arial"/>
                <w:sz w:val="5"/>
                <w:szCs w:val="5"/>
                <w:b w:val="1"/>
                <w:bCs w:val="1"/>
                <w:color w:val="auto"/>
                <w:w w:val="70"/>
              </w:rPr>
              <w:t>$</w:t>
            </w:r>
          </w:p>
        </w:tc>
        <w:tc>
          <w:tcPr>
            <w:tcW w:w="3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jc w:val="right"/>
              <w:spacing w:after="0" w:line="70" w:lineRule="exact"/>
              <w:rPr>
                <w:sz w:val="20"/>
                <w:szCs w:val="20"/>
                <w:color w:val="auto"/>
              </w:rPr>
            </w:pPr>
            <w:r>
              <w:rPr>
                <w:rFonts w:ascii="Arial" w:cs="Arial" w:eastAsia="Arial" w:hAnsi="Arial"/>
                <w:sz w:val="8"/>
                <w:szCs w:val="8"/>
                <w:b w:val="1"/>
                <w:bCs w:val="1"/>
                <w:color w:val="auto"/>
              </w:rPr>
              <w:t>(252)</w:t>
            </w:r>
          </w:p>
        </w:tc>
        <w:tc>
          <w:tcPr>
            <w:tcW w:w="200" w:type="dxa"/>
            <w:vAlign w:val="bottom"/>
          </w:tcPr>
          <w:p>
            <w:pPr>
              <w:spacing w:after="0"/>
              <w:rPr>
                <w:sz w:val="6"/>
                <w:szCs w:val="6"/>
                <w:color w:val="auto"/>
              </w:rPr>
            </w:pPr>
          </w:p>
        </w:tc>
        <w:tc>
          <w:tcPr>
            <w:tcW w:w="340" w:type="dxa"/>
            <w:vAlign w:val="bottom"/>
            <w:tcBorders>
              <w:bottom w:val="single" w:sz="8" w:color="auto"/>
            </w:tcBorders>
          </w:tcPr>
          <w:p>
            <w:pPr>
              <w:jc w:val="right"/>
              <w:ind w:right="239"/>
              <w:spacing w:after="0" w:line="70" w:lineRule="exact"/>
              <w:rPr>
                <w:sz w:val="20"/>
                <w:szCs w:val="20"/>
                <w:color w:val="auto"/>
              </w:rPr>
            </w:pPr>
            <w:r>
              <w:rPr>
                <w:rFonts w:ascii="Arial" w:cs="Arial" w:eastAsia="Arial" w:hAnsi="Arial"/>
                <w:sz w:val="8"/>
                <w:szCs w:val="8"/>
                <w:b w:val="1"/>
                <w:bCs w:val="1"/>
                <w:color w:val="auto"/>
                <w:w w:val="88"/>
              </w:rPr>
              <w:t>$</w:t>
            </w:r>
          </w:p>
        </w:tc>
        <w:tc>
          <w:tcPr>
            <w:tcW w:w="3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jc w:val="right"/>
              <w:spacing w:after="0" w:line="70" w:lineRule="exact"/>
              <w:rPr>
                <w:sz w:val="20"/>
                <w:szCs w:val="20"/>
                <w:color w:val="auto"/>
              </w:rPr>
            </w:pPr>
            <w:r>
              <w:rPr>
                <w:rFonts w:ascii="Arial" w:cs="Arial" w:eastAsia="Arial" w:hAnsi="Arial"/>
                <w:sz w:val="8"/>
                <w:szCs w:val="8"/>
                <w:b w:val="1"/>
                <w:bCs w:val="1"/>
                <w:color w:val="auto"/>
              </w:rPr>
              <w:t>(812)</w:t>
            </w:r>
          </w:p>
        </w:tc>
        <w:tc>
          <w:tcPr>
            <w:tcW w:w="180" w:type="dxa"/>
            <w:vAlign w:val="bottom"/>
          </w:tcPr>
          <w:p>
            <w:pPr>
              <w:spacing w:after="0"/>
              <w:rPr>
                <w:sz w:val="6"/>
                <w:szCs w:val="6"/>
                <w:color w:val="auto"/>
              </w:rPr>
            </w:pPr>
          </w:p>
        </w:tc>
        <w:tc>
          <w:tcPr>
            <w:tcW w:w="240" w:type="dxa"/>
            <w:vAlign w:val="bottom"/>
            <w:tcBorders>
              <w:bottom w:val="single" w:sz="8" w:color="auto"/>
            </w:tcBorders>
          </w:tcPr>
          <w:p>
            <w:pPr>
              <w:jc w:val="right"/>
              <w:ind w:right="139"/>
              <w:spacing w:after="0" w:line="70" w:lineRule="exact"/>
              <w:rPr>
                <w:sz w:val="20"/>
                <w:szCs w:val="20"/>
                <w:color w:val="auto"/>
              </w:rPr>
            </w:pPr>
            <w:r>
              <w:rPr>
                <w:rFonts w:ascii="Arial" w:cs="Arial" w:eastAsia="Arial" w:hAnsi="Arial"/>
                <w:sz w:val="8"/>
                <w:szCs w:val="8"/>
                <w:b w:val="1"/>
                <w:bCs w:val="1"/>
                <w:color w:val="auto"/>
                <w:w w:val="88"/>
              </w:rPr>
              <w:t>$</w:t>
            </w:r>
          </w:p>
        </w:tc>
        <w:tc>
          <w:tcPr>
            <w:tcW w:w="1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(204)</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0"/>
        <w:spacing w:after="0"/>
        <w:rPr>
          <w:sz w:val="20"/>
          <w:szCs w:val="20"/>
          <w:color w:val="auto"/>
        </w:rPr>
      </w:pPr>
      <w:r>
        <w:rPr>
          <w:rFonts w:ascii="Arial" w:cs="Arial" w:eastAsia="Arial" w:hAnsi="Arial"/>
          <w:sz w:val="10"/>
          <w:szCs w:val="10"/>
          <w:color w:val="auto"/>
        </w:rPr>
        <w:t>The derivatives have no ineffective portion, and consequently no losses have been recognized directly in income.</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19 – Fair Value Measurements</w:t>
      </w:r>
    </w:p>
    <w:p>
      <w:pPr>
        <w:spacing w:after="0" w:line="97" w:lineRule="exact"/>
        <w:rPr>
          <w:sz w:val="20"/>
          <w:szCs w:val="20"/>
          <w:color w:val="auto"/>
        </w:rPr>
      </w:pPr>
    </w:p>
    <w:p>
      <w:pPr>
        <w:ind w:right="80"/>
        <w:spacing w:after="0" w:line="242" w:lineRule="auto"/>
        <w:rPr>
          <w:sz w:val="20"/>
          <w:szCs w:val="20"/>
          <w:color w:val="auto"/>
        </w:rPr>
      </w:pPr>
      <w:r>
        <w:rPr>
          <w:rFonts w:ascii="Arial" w:cs="Arial" w:eastAsia="Arial" w:hAnsi="Arial"/>
          <w:sz w:val="10"/>
          <w:szCs w:val="10"/>
          <w:color w:val="auto"/>
        </w:rPr>
        <w:t xml:space="preserve">ASC 820, </w:t>
      </w:r>
      <w:r>
        <w:rPr>
          <w:rFonts w:ascii="Arial" w:cs="Arial" w:eastAsia="Arial" w:hAnsi="Arial"/>
          <w:sz w:val="10"/>
          <w:szCs w:val="10"/>
          <w:i w:val="1"/>
          <w:iCs w:val="1"/>
          <w:color w:val="auto"/>
        </w:rPr>
        <w:t>Fair Value Measurement</w:t>
      </w:r>
      <w:r>
        <w:rPr>
          <w:rFonts w:ascii="Arial" w:cs="Arial" w:eastAsia="Arial" w:hAnsi="Arial"/>
          <w:sz w:val="10"/>
          <w:szCs w:val="10"/>
          <w:color w:val="auto"/>
        </w:rPr>
        <w:t xml:space="preserve"> establishes a fair value hierarchy that prioritizes the inputs to valuation techniques used to measure fair value. The statement requires that assets and liabilities carried at fair value be classified and disclosed in one of the following three categories:</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0"/>
          <w:szCs w:val="10"/>
          <w:color w:val="auto"/>
        </w:rPr>
        <w:t>Level 1: Quoted market prices in active markets for identical assets or liabilities;</w:t>
      </w:r>
    </w:p>
    <w:p>
      <w:pPr>
        <w:spacing w:after="0" w:line="35" w:lineRule="exact"/>
        <w:rPr>
          <w:sz w:val="20"/>
          <w:szCs w:val="20"/>
          <w:color w:val="auto"/>
        </w:rPr>
      </w:pPr>
    </w:p>
    <w:p>
      <w:pPr>
        <w:ind w:left="360" w:right="200"/>
        <w:spacing w:after="0" w:line="237" w:lineRule="auto"/>
        <w:rPr>
          <w:sz w:val="20"/>
          <w:szCs w:val="20"/>
          <w:color w:val="auto"/>
        </w:rPr>
      </w:pPr>
      <w:r>
        <w:rPr>
          <w:rFonts w:ascii="Arial" w:cs="Arial" w:eastAsia="Arial" w:hAnsi="Arial"/>
          <w:sz w:val="10"/>
          <w:szCs w:val="10"/>
          <w:color w:val="auto"/>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4" w:right="640" w:bottom="1440" w:gutter="0" w:footer="0" w:header="0"/>
        </w:sectPr>
      </w:pPr>
    </w:p>
    <w:bookmarkStart w:id="23" w:name="page24"/>
    <w:bookmarkEnd w:id="23"/>
    <w:p>
      <w:pPr>
        <w:ind w:left="360"/>
        <w:spacing w:after="0"/>
        <w:rPr>
          <w:sz w:val="20"/>
          <w:szCs w:val="20"/>
          <w:color w:val="auto"/>
        </w:rPr>
      </w:pPr>
      <w:r>
        <w:rPr>
          <w:rFonts w:ascii="Arial" w:cs="Arial" w:eastAsia="Arial" w:hAnsi="Arial"/>
          <w:sz w:val="10"/>
          <w:szCs w:val="10"/>
          <w:color w:val="auto"/>
        </w:rPr>
        <w:t>Level 3: Valuations derived from valuation techniques in which one or more significant inputs or significant value drivers are unobservable.</w:t>
      </w:r>
    </w:p>
    <w:p>
      <w:pPr>
        <w:spacing w:after="0" w:line="88" w:lineRule="exact"/>
        <w:rPr>
          <w:sz w:val="20"/>
          <w:szCs w:val="20"/>
          <w:color w:val="auto"/>
        </w:rPr>
      </w:pPr>
    </w:p>
    <w:p>
      <w:pPr>
        <w:ind w:right="60"/>
        <w:spacing w:after="0" w:line="237" w:lineRule="auto"/>
        <w:rPr>
          <w:sz w:val="20"/>
          <w:szCs w:val="20"/>
          <w:color w:val="auto"/>
        </w:rPr>
      </w:pPr>
      <w:r>
        <w:rPr>
          <w:rFonts w:ascii="Arial" w:cs="Arial" w:eastAsia="Arial" w:hAnsi="Arial"/>
          <w:sz w:val="10"/>
          <w:szCs w:val="10"/>
          <w:color w:val="auto"/>
        </w:rPr>
        <w:t>As of September 30, 2023, and December 31, 2022, we had derivative financial assets carried and measured at fair value on a recurring basis of $17,000 and $907,000, respectfully. As of September 30, 2023, and December 31, 2022, we had no derivatives in a liability position.</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tables summarize our financial liabilities that are carried at cost and measured at fair value on a non-recurring basis as of September 30, 2023, and December 31, 2022, by level within the fair value hierarchy.</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00"/>
        </w:trPr>
        <w:tc>
          <w:tcPr>
            <w:tcW w:w="3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rPr>
              <w:t>Carrying</w:t>
            </w:r>
          </w:p>
        </w:tc>
        <w:tc>
          <w:tcPr>
            <w:tcW w:w="1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gridSpan w:val="3"/>
          </w:tcPr>
          <w:p>
            <w:pPr>
              <w:ind w:left="460"/>
              <w:spacing w:after="0"/>
              <w:rPr>
                <w:sz w:val="20"/>
                <w:szCs w:val="20"/>
                <w:color w:val="auto"/>
              </w:rPr>
            </w:pPr>
            <w:r>
              <w:rPr>
                <w:rFonts w:ascii="Arial" w:cs="Arial" w:eastAsia="Arial" w:hAnsi="Arial"/>
                <w:sz w:val="8"/>
                <w:szCs w:val="8"/>
                <w:b w:val="1"/>
                <w:bCs w:val="1"/>
                <w:color w:val="auto"/>
              </w:rPr>
              <w:t>Fair Value Measurement at September 30, 2023</w:t>
            </w:r>
          </w:p>
        </w:tc>
        <w:tc>
          <w:tcPr>
            <w:tcW w:w="1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334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(Dollars in thousands)</w:t>
            </w:r>
          </w:p>
        </w:tc>
        <w:tc>
          <w:tcPr>
            <w:tcW w:w="160" w:type="dxa"/>
            <w:vAlign w:val="bottom"/>
          </w:tcPr>
          <w:p>
            <w:pPr>
              <w:spacing w:after="0"/>
              <w:rPr>
                <w:sz w:val="9"/>
                <w:szCs w:val="9"/>
                <w:color w:val="auto"/>
              </w:rPr>
            </w:pPr>
          </w:p>
        </w:tc>
        <w:tc>
          <w:tcPr>
            <w:tcW w:w="13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8"/>
                <w:szCs w:val="8"/>
                <w:b w:val="1"/>
                <w:bCs w:val="1"/>
                <w:color w:val="auto"/>
                <w:w w:val="93"/>
              </w:rPr>
              <w:t>Value​</w:t>
            </w:r>
            <w:r>
              <w:rPr>
                <w:rFonts w:ascii="Arial" w:cs="Arial" w:eastAsia="Arial" w:hAnsi="Arial"/>
                <w:sz w:val="13"/>
                <w:szCs w:val="13"/>
                <w:b w:val="1"/>
                <w:bCs w:val="1"/>
                <w:color w:val="auto"/>
                <w:w w:val="93"/>
                <w:vertAlign w:val="superscript"/>
              </w:rPr>
              <w:t>(1)</w:t>
            </w:r>
          </w:p>
        </w:tc>
        <w:tc>
          <w:tcPr>
            <w:tcW w:w="160" w:type="dxa"/>
            <w:vAlign w:val="bottom"/>
          </w:tcPr>
          <w:p>
            <w:pPr>
              <w:spacing w:after="0"/>
              <w:rPr>
                <w:sz w:val="9"/>
                <w:szCs w:val="9"/>
                <w:color w:val="auto"/>
              </w:rPr>
            </w:pPr>
          </w:p>
        </w:tc>
        <w:tc>
          <w:tcPr>
            <w:tcW w:w="1300" w:type="dxa"/>
            <w:vAlign w:val="bottom"/>
            <w:tcBorders>
              <w:bottom w:val="single" w:sz="8" w:color="auto"/>
            </w:tcBorders>
          </w:tcPr>
          <w:p>
            <w:pPr>
              <w:ind w:left="500"/>
              <w:spacing w:after="0"/>
              <w:rPr>
                <w:sz w:val="20"/>
                <w:szCs w:val="20"/>
                <w:color w:val="auto"/>
              </w:rPr>
            </w:pPr>
            <w:r>
              <w:rPr>
                <w:rFonts w:ascii="Arial" w:cs="Arial" w:eastAsia="Arial" w:hAnsi="Arial"/>
                <w:sz w:val="8"/>
                <w:szCs w:val="8"/>
                <w:b w:val="1"/>
                <w:bCs w:val="1"/>
                <w:color w:val="auto"/>
              </w:rPr>
              <w:t>Level 1</w:t>
            </w:r>
          </w:p>
        </w:tc>
        <w:tc>
          <w:tcPr>
            <w:tcW w:w="160" w:type="dxa"/>
            <w:vAlign w:val="bottom"/>
          </w:tcPr>
          <w:p>
            <w:pPr>
              <w:spacing w:after="0"/>
              <w:rPr>
                <w:sz w:val="9"/>
                <w:szCs w:val="9"/>
                <w:color w:val="auto"/>
              </w:rPr>
            </w:pPr>
          </w:p>
        </w:tc>
        <w:tc>
          <w:tcPr>
            <w:tcW w:w="1280" w:type="dxa"/>
            <w:vAlign w:val="bottom"/>
            <w:tcBorders>
              <w:bottom w:val="single" w:sz="8" w:color="auto"/>
            </w:tcBorders>
          </w:tcPr>
          <w:p>
            <w:pPr>
              <w:ind w:left="500"/>
              <w:spacing w:after="0"/>
              <w:rPr>
                <w:sz w:val="20"/>
                <w:szCs w:val="20"/>
                <w:color w:val="auto"/>
              </w:rPr>
            </w:pPr>
            <w:r>
              <w:rPr>
                <w:rFonts w:ascii="Arial" w:cs="Arial" w:eastAsia="Arial" w:hAnsi="Arial"/>
                <w:sz w:val="8"/>
                <w:szCs w:val="8"/>
                <w:b w:val="1"/>
                <w:bCs w:val="1"/>
                <w:color w:val="auto"/>
              </w:rPr>
              <w:t>Level 2</w:t>
            </w:r>
          </w:p>
        </w:tc>
        <w:tc>
          <w:tcPr>
            <w:tcW w:w="160" w:type="dxa"/>
            <w:vAlign w:val="bottom"/>
          </w:tcPr>
          <w:p>
            <w:pPr>
              <w:spacing w:after="0"/>
              <w:rPr>
                <w:sz w:val="9"/>
                <w:szCs w:val="9"/>
                <w:color w:val="auto"/>
              </w:rPr>
            </w:pPr>
          </w:p>
        </w:tc>
        <w:tc>
          <w:tcPr>
            <w:tcW w:w="1300" w:type="dxa"/>
            <w:vAlign w:val="bottom"/>
            <w:tcBorders>
              <w:bottom w:val="single" w:sz="8" w:color="auto"/>
            </w:tcBorders>
          </w:tcPr>
          <w:p>
            <w:pPr>
              <w:ind w:left="520"/>
              <w:spacing w:after="0"/>
              <w:rPr>
                <w:sz w:val="20"/>
                <w:szCs w:val="20"/>
                <w:color w:val="auto"/>
              </w:rPr>
            </w:pPr>
            <w:r>
              <w:rPr>
                <w:rFonts w:ascii="Arial" w:cs="Arial" w:eastAsia="Arial" w:hAnsi="Arial"/>
                <w:sz w:val="8"/>
                <w:szCs w:val="8"/>
                <w:b w:val="1"/>
                <w:bCs w:val="1"/>
                <w:color w:val="auto"/>
              </w:rPr>
              <w:t>Level 3</w:t>
            </w:r>
          </w:p>
        </w:tc>
        <w:tc>
          <w:tcPr>
            <w:tcW w:w="160" w:type="dxa"/>
            <w:vAlign w:val="bottom"/>
          </w:tcPr>
          <w:p>
            <w:pPr>
              <w:spacing w:after="0"/>
              <w:rPr>
                <w:sz w:val="9"/>
                <w:szCs w:val="9"/>
                <w:color w:val="auto"/>
              </w:rPr>
            </w:pPr>
          </w:p>
        </w:tc>
        <w:tc>
          <w:tcPr>
            <w:tcW w:w="1300" w:type="dxa"/>
            <w:vAlign w:val="bottom"/>
            <w:tcBorders>
              <w:bottom w:val="single" w:sz="8" w:color="auto"/>
            </w:tcBorders>
          </w:tcPr>
          <w:p>
            <w:pPr>
              <w:ind w:left="560"/>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6753225" cy="71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53225" cy="717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1"/>
        </w:trPr>
        <w:tc>
          <w:tcPr>
            <w:tcW w:w="3500" w:type="dxa"/>
            <w:vAlign w:val="bottom"/>
            <w:gridSpan w:val="2"/>
          </w:tcPr>
          <w:p>
            <w:pPr>
              <w:ind w:left="40"/>
              <w:spacing w:after="0" w:line="101" w:lineRule="exact"/>
              <w:rPr>
                <w:sz w:val="20"/>
                <w:szCs w:val="20"/>
                <w:color w:val="auto"/>
              </w:rPr>
            </w:pPr>
            <w:r>
              <w:rPr>
                <w:rFonts w:ascii="Arial" w:cs="Arial" w:eastAsia="Arial" w:hAnsi="Arial"/>
                <w:sz w:val="10"/>
                <w:szCs w:val="10"/>
                <w:color w:val="auto"/>
              </w:rPr>
              <w:t>Notes payable</w:t>
            </w:r>
          </w:p>
        </w:tc>
        <w:tc>
          <w:tcPr>
            <w:tcW w:w="260" w:type="dxa"/>
            <w:vAlign w:val="bottom"/>
          </w:tcPr>
          <w:p>
            <w:pPr>
              <w:jc w:val="right"/>
              <w:ind w:right="151"/>
              <w:spacing w:after="0" w:line="101" w:lineRule="exact"/>
              <w:rPr>
                <w:sz w:val="20"/>
                <w:szCs w:val="20"/>
                <w:color w:val="auto"/>
              </w:rPr>
            </w:pPr>
            <w:r>
              <w:rPr>
                <w:rFonts w:ascii="Arial" w:cs="Arial" w:eastAsia="Arial" w:hAnsi="Arial"/>
                <w:sz w:val="10"/>
                <w:szCs w:val="10"/>
                <w:color w:val="auto"/>
                <w:w w:val="71"/>
              </w:rPr>
              <w:t>$</w:t>
            </w:r>
          </w:p>
        </w:tc>
        <w:tc>
          <w:tcPr>
            <w:tcW w:w="4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Arial" w:cs="Arial" w:eastAsia="Arial" w:hAnsi="Arial"/>
                <w:sz w:val="10"/>
                <w:szCs w:val="10"/>
                <w:color w:val="auto"/>
              </w:rPr>
              <w:t>179,900</w:t>
            </w:r>
          </w:p>
        </w:tc>
        <w:tc>
          <w:tcPr>
            <w:tcW w:w="440" w:type="dxa"/>
            <w:vAlign w:val="bottom"/>
            <w:gridSpan w:val="3"/>
          </w:tcPr>
          <w:p>
            <w:pPr>
              <w:jc w:val="right"/>
              <w:ind w:right="216"/>
              <w:spacing w:after="0" w:line="101" w:lineRule="exact"/>
              <w:rPr>
                <w:sz w:val="20"/>
                <w:szCs w:val="20"/>
                <w:color w:val="auto"/>
              </w:rPr>
            </w:pPr>
            <w:r>
              <w:rPr>
                <w:rFonts w:ascii="Arial" w:cs="Arial" w:eastAsia="Arial" w:hAnsi="Arial"/>
                <w:sz w:val="10"/>
                <w:szCs w:val="10"/>
                <w:color w:val="auto"/>
              </w:rPr>
              <w:t>$</w:t>
            </w:r>
          </w:p>
        </w:tc>
        <w:tc>
          <w:tcPr>
            <w:tcW w:w="1020" w:type="dxa"/>
            <w:vAlign w:val="bottom"/>
            <w:gridSpan w:val="2"/>
          </w:tcPr>
          <w:p>
            <w:pPr>
              <w:ind w:left="880"/>
              <w:spacing w:after="0" w:line="101" w:lineRule="exact"/>
              <w:rPr>
                <w:sz w:val="20"/>
                <w:szCs w:val="20"/>
                <w:color w:val="auto"/>
              </w:rPr>
            </w:pPr>
            <w:r>
              <w:rPr>
                <w:rFonts w:ascii="Arial" w:cs="Arial" w:eastAsia="Arial" w:hAnsi="Arial"/>
                <w:sz w:val="10"/>
                <w:szCs w:val="10"/>
                <w:color w:val="auto"/>
              </w:rPr>
              <w:t>—</w:t>
            </w:r>
          </w:p>
        </w:tc>
        <w:tc>
          <w:tcPr>
            <w:tcW w:w="420" w:type="dxa"/>
            <w:vAlign w:val="bottom"/>
            <w:gridSpan w:val="3"/>
          </w:tcPr>
          <w:p>
            <w:pPr>
              <w:jc w:val="right"/>
              <w:ind w:right="196"/>
              <w:spacing w:after="0" w:line="101" w:lineRule="exact"/>
              <w:rPr>
                <w:sz w:val="20"/>
                <w:szCs w:val="20"/>
                <w:color w:val="auto"/>
              </w:rPr>
            </w:pPr>
            <w:r>
              <w:rPr>
                <w:rFonts w:ascii="Arial" w:cs="Arial" w:eastAsia="Arial" w:hAnsi="Arial"/>
                <w:sz w:val="10"/>
                <w:szCs w:val="10"/>
                <w:color w:val="auto"/>
              </w:rPr>
              <w:t>$</w:t>
            </w:r>
          </w:p>
        </w:tc>
        <w:tc>
          <w:tcPr>
            <w:tcW w:w="1040" w:type="dxa"/>
            <w:vAlign w:val="bottom"/>
            <w:gridSpan w:val="2"/>
          </w:tcPr>
          <w:p>
            <w:pPr>
              <w:ind w:left="900"/>
              <w:spacing w:after="0" w:line="101" w:lineRule="exact"/>
              <w:rPr>
                <w:sz w:val="20"/>
                <w:szCs w:val="20"/>
                <w:color w:val="auto"/>
              </w:rPr>
            </w:pPr>
            <w:r>
              <w:rPr>
                <w:rFonts w:ascii="Arial" w:cs="Arial" w:eastAsia="Arial" w:hAnsi="Arial"/>
                <w:sz w:val="10"/>
                <w:szCs w:val="10"/>
                <w:color w:val="auto"/>
              </w:rPr>
              <w:t>—</w:t>
            </w:r>
          </w:p>
        </w:tc>
        <w:tc>
          <w:tcPr>
            <w:tcW w:w="420" w:type="dxa"/>
            <w:vAlign w:val="bottom"/>
            <w:gridSpan w:val="3"/>
          </w:tcPr>
          <w:p>
            <w:pPr>
              <w:ind w:left="140"/>
              <w:spacing w:after="0" w:line="101"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1" w:lineRule="exact"/>
              <w:rPr>
                <w:sz w:val="20"/>
                <w:szCs w:val="20"/>
                <w:color w:val="auto"/>
              </w:rPr>
            </w:pPr>
            <w:r>
              <w:rPr>
                <w:rFonts w:ascii="Arial" w:cs="Arial" w:eastAsia="Arial" w:hAnsi="Arial"/>
                <w:sz w:val="10"/>
                <w:szCs w:val="10"/>
                <w:color w:val="auto"/>
              </w:rPr>
              <w:t>177,329</w:t>
            </w:r>
          </w:p>
        </w:tc>
        <w:tc>
          <w:tcPr>
            <w:tcW w:w="20" w:type="dxa"/>
            <w:vAlign w:val="bottom"/>
          </w:tcPr>
          <w:p>
            <w:pPr>
              <w:spacing w:after="0"/>
              <w:rPr>
                <w:sz w:val="8"/>
                <w:szCs w:val="8"/>
                <w:color w:val="auto"/>
              </w:rPr>
            </w:pPr>
          </w:p>
        </w:tc>
        <w:tc>
          <w:tcPr>
            <w:tcW w:w="440" w:type="dxa"/>
            <w:vAlign w:val="bottom"/>
            <w:gridSpan w:val="3"/>
          </w:tcPr>
          <w:p>
            <w:pPr>
              <w:ind w:left="140"/>
              <w:spacing w:after="0" w:line="101" w:lineRule="exact"/>
              <w:rPr>
                <w:sz w:val="20"/>
                <w:szCs w:val="20"/>
                <w:color w:val="auto"/>
              </w:rPr>
            </w:pPr>
            <w:r>
              <w:rPr>
                <w:rFonts w:ascii="Arial" w:cs="Arial" w:eastAsia="Arial" w:hAnsi="Arial"/>
                <w:sz w:val="10"/>
                <w:szCs w:val="10"/>
                <w:color w:val="auto"/>
              </w:rPr>
              <w:t>$</w:t>
            </w:r>
          </w:p>
        </w:tc>
        <w:tc>
          <w:tcPr>
            <w:tcW w:w="1000" w:type="dxa"/>
            <w:vAlign w:val="bottom"/>
          </w:tcPr>
          <w:p>
            <w:pPr>
              <w:jc w:val="right"/>
              <w:spacing w:after="0" w:line="101" w:lineRule="exact"/>
              <w:rPr>
                <w:sz w:val="20"/>
                <w:szCs w:val="20"/>
                <w:color w:val="auto"/>
              </w:rPr>
            </w:pPr>
            <w:r>
              <w:rPr>
                <w:rFonts w:ascii="Arial" w:cs="Arial" w:eastAsia="Arial" w:hAnsi="Arial"/>
                <w:sz w:val="10"/>
                <w:szCs w:val="10"/>
                <w:color w:val="auto"/>
              </w:rPr>
              <w:t>177,329</w:t>
            </w:r>
          </w:p>
        </w:tc>
        <w:tc>
          <w:tcPr>
            <w:tcW w:w="0" w:type="dxa"/>
            <w:vAlign w:val="bottom"/>
          </w:tcPr>
          <w:p>
            <w:pPr>
              <w:spacing w:after="0"/>
              <w:rPr>
                <w:sz w:val="1"/>
                <w:szCs w:val="1"/>
                <w:color w:val="auto"/>
              </w:rPr>
            </w:pPr>
          </w:p>
        </w:tc>
      </w:tr>
      <w:tr>
        <w:trPr>
          <w:trHeight w:val="109"/>
        </w:trPr>
        <w:tc>
          <w:tcPr>
            <w:tcW w:w="3500" w:type="dxa"/>
            <w:vAlign w:val="bottom"/>
            <w:tcBorders>
              <w:bottom w:val="single" w:sz="8" w:color="CCEEFF"/>
            </w:tcBorders>
            <w:gridSpan w:val="2"/>
          </w:tcPr>
          <w:p>
            <w:pPr>
              <w:ind w:left="40"/>
              <w:spacing w:after="0" w:line="109" w:lineRule="exact"/>
              <w:rPr>
                <w:sz w:val="20"/>
                <w:szCs w:val="20"/>
                <w:color w:val="auto"/>
              </w:rPr>
            </w:pPr>
            <w:r>
              <w:rPr>
                <w:rFonts w:ascii="Arial" w:cs="Arial" w:eastAsia="Arial" w:hAnsi="Arial"/>
                <w:sz w:val="10"/>
                <w:szCs w:val="10"/>
                <w:color w:val="auto"/>
              </w:rPr>
              <w:t>Subordinated debt</w:t>
            </w: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28,689</w:t>
            </w:r>
          </w:p>
        </w:tc>
        <w:tc>
          <w:tcPr>
            <w:tcW w:w="1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2"/>
          </w:tcPr>
          <w:p>
            <w:pPr>
              <w:ind w:left="880"/>
              <w:spacing w:after="0" w:line="109"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ind w:left="900"/>
              <w:spacing w:after="0" w:line="109"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26,035</w:t>
            </w: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26,035</w:t>
            </w:r>
          </w:p>
        </w:tc>
        <w:tc>
          <w:tcPr>
            <w:tcW w:w="0" w:type="dxa"/>
            <w:vAlign w:val="bottom"/>
          </w:tcPr>
          <w:p>
            <w:pPr>
              <w:spacing w:after="0"/>
              <w:rPr>
                <w:sz w:val="1"/>
                <w:szCs w:val="1"/>
                <w:color w:val="auto"/>
              </w:rPr>
            </w:pPr>
          </w:p>
        </w:tc>
      </w:tr>
      <w:tr>
        <w:trPr>
          <w:trHeight w:val="93"/>
        </w:trPr>
        <w:tc>
          <w:tcPr>
            <w:tcW w:w="33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jc w:val="right"/>
              <w:ind w:right="151"/>
              <w:spacing w:after="0" w:line="93" w:lineRule="exact"/>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208,589</w:t>
            </w:r>
          </w:p>
        </w:tc>
        <w:tc>
          <w:tcPr>
            <w:tcW w:w="1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5"/>
                <w:szCs w:val="5"/>
                <w:b w:val="1"/>
                <w:bCs w:val="1"/>
                <w:color w:val="auto"/>
                <w:w w:val="70"/>
              </w:rPr>
              <w:t>$</w:t>
            </w:r>
          </w:p>
        </w:tc>
        <w:tc>
          <w:tcPr>
            <w:tcW w:w="1020" w:type="dxa"/>
            <w:vAlign w:val="bottom"/>
            <w:tcBorders>
              <w:bottom w:val="single" w:sz="8" w:color="auto"/>
            </w:tcBorders>
            <w:gridSpan w:val="2"/>
            <w:shd w:val="clear" w:color="auto" w:fill="CCEEFF"/>
          </w:tcPr>
          <w:p>
            <w:pPr>
              <w:ind w:left="880"/>
              <w:spacing w:after="0" w:line="93" w:lineRule="exact"/>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5"/>
                <w:szCs w:val="5"/>
                <w:b w:val="1"/>
                <w:bCs w:val="1"/>
                <w:color w:val="auto"/>
                <w:w w:val="70"/>
              </w:rPr>
              <w:t>$</w:t>
            </w:r>
          </w:p>
        </w:tc>
        <w:tc>
          <w:tcPr>
            <w:tcW w:w="1040" w:type="dxa"/>
            <w:vAlign w:val="bottom"/>
            <w:tcBorders>
              <w:bottom w:val="single" w:sz="8" w:color="auto"/>
            </w:tcBorders>
            <w:gridSpan w:val="2"/>
            <w:shd w:val="clear" w:color="auto" w:fill="CCEEFF"/>
          </w:tcPr>
          <w:p>
            <w:pPr>
              <w:ind w:left="900"/>
              <w:spacing w:after="0" w:line="93" w:lineRule="exact"/>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203,364</w:t>
            </w:r>
          </w:p>
        </w:tc>
        <w:tc>
          <w:tcPr>
            <w:tcW w:w="2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203,364</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jc w:val="right"/>
              <w:ind w:right="434"/>
              <w:spacing w:after="0"/>
              <w:rPr>
                <w:sz w:val="20"/>
                <w:szCs w:val="20"/>
                <w:color w:val="auto"/>
              </w:rPr>
            </w:pPr>
            <w:r>
              <w:rPr>
                <w:rFonts w:ascii="Arial" w:cs="Arial" w:eastAsia="Arial" w:hAnsi="Arial"/>
                <w:sz w:val="8"/>
                <w:szCs w:val="8"/>
                <w:b w:val="1"/>
                <w:bCs w:val="1"/>
                <w:color w:val="auto"/>
              </w:rPr>
              <w:t>Carrying</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ind w:left="200"/>
              <w:spacing w:after="0"/>
              <w:rPr>
                <w:sz w:val="20"/>
                <w:szCs w:val="20"/>
                <w:color w:val="auto"/>
              </w:rPr>
            </w:pPr>
            <w:r>
              <w:rPr>
                <w:rFonts w:ascii="Arial" w:cs="Arial" w:eastAsia="Arial" w:hAnsi="Arial"/>
                <w:sz w:val="8"/>
                <w:szCs w:val="8"/>
                <w:b w:val="1"/>
                <w:bCs w:val="1"/>
                <w:color w:val="auto"/>
              </w:rPr>
              <w:t>Fair Value Measurement at December 31, 2022</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3500" w:type="dxa"/>
            <w:vAlign w:val="bottom"/>
            <w:gridSpan w:val="2"/>
          </w:tcPr>
          <w:p>
            <w:pPr>
              <w:spacing w:after="0"/>
              <w:rPr>
                <w:sz w:val="20"/>
                <w:szCs w:val="20"/>
                <w:color w:val="auto"/>
              </w:rPr>
            </w:pPr>
            <w:r>
              <w:rPr>
                <w:rFonts w:ascii="Arial" w:cs="Arial" w:eastAsia="Arial" w:hAnsi="Arial"/>
                <w:sz w:val="8"/>
                <w:szCs w:val="8"/>
                <w:i w:val="1"/>
                <w:iCs w:val="1"/>
                <w:color w:val="auto"/>
              </w:rPr>
              <w:t>(Dollars in thousands)</w:t>
            </w:r>
          </w:p>
        </w:tc>
        <w:tc>
          <w:tcPr>
            <w:tcW w:w="260" w:type="dxa"/>
            <w:vAlign w:val="bottom"/>
          </w:tcPr>
          <w:p>
            <w:pPr>
              <w:spacing w:after="0"/>
              <w:rPr>
                <w:sz w:val="9"/>
                <w:szCs w:val="9"/>
                <w:color w:val="auto"/>
              </w:rPr>
            </w:pPr>
          </w:p>
        </w:tc>
        <w:tc>
          <w:tcPr>
            <w:tcW w:w="460" w:type="dxa"/>
            <w:vAlign w:val="bottom"/>
          </w:tcPr>
          <w:p>
            <w:pPr>
              <w:ind w:left="240"/>
              <w:spacing w:after="0"/>
              <w:rPr>
                <w:sz w:val="20"/>
                <w:szCs w:val="20"/>
                <w:color w:val="auto"/>
              </w:rPr>
            </w:pPr>
            <w:r>
              <w:rPr>
                <w:rFonts w:ascii="Arial" w:cs="Arial" w:eastAsia="Arial" w:hAnsi="Arial"/>
                <w:sz w:val="8"/>
                <w:szCs w:val="8"/>
                <w:b w:val="1"/>
                <w:bCs w:val="1"/>
                <w:color w:val="auto"/>
                <w:w w:val="93"/>
              </w:rPr>
              <w:t>Value​</w:t>
            </w:r>
          </w:p>
        </w:tc>
        <w:tc>
          <w:tcPr>
            <w:tcW w:w="580" w:type="dxa"/>
            <w:vAlign w:val="bottom"/>
          </w:tcPr>
          <w:p>
            <w:pPr>
              <w:jc w:val="right"/>
              <w:ind w:right="454"/>
              <w:spacing w:after="0"/>
              <w:rPr>
                <w:sz w:val="20"/>
                <w:szCs w:val="20"/>
                <w:color w:val="auto"/>
              </w:rPr>
            </w:pPr>
            <w:r>
              <w:rPr>
                <w:rFonts w:ascii="Arial" w:cs="Arial" w:eastAsia="Arial" w:hAnsi="Arial"/>
                <w:sz w:val="6"/>
                <w:szCs w:val="6"/>
                <w:b w:val="1"/>
                <w:bCs w:val="1"/>
                <w:color w:val="auto"/>
                <w:w w:val="81"/>
              </w:rPr>
              <w:t>(1)</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tcPr>
          <w:p>
            <w:pPr>
              <w:ind w:left="220"/>
              <w:spacing w:after="0"/>
              <w:rPr>
                <w:sz w:val="20"/>
                <w:szCs w:val="20"/>
                <w:color w:val="auto"/>
              </w:rPr>
            </w:pPr>
            <w:r>
              <w:rPr>
                <w:rFonts w:ascii="Arial" w:cs="Arial" w:eastAsia="Arial" w:hAnsi="Arial"/>
                <w:sz w:val="8"/>
                <w:szCs w:val="8"/>
                <w:b w:val="1"/>
                <w:bCs w:val="1"/>
                <w:color w:val="auto"/>
              </w:rPr>
              <w:t>Level 1</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2"/>
          </w:tcPr>
          <w:p>
            <w:pPr>
              <w:ind w:left="240"/>
              <w:spacing w:after="0"/>
              <w:rPr>
                <w:sz w:val="20"/>
                <w:szCs w:val="20"/>
                <w:color w:val="auto"/>
              </w:rPr>
            </w:pPr>
            <w:r>
              <w:rPr>
                <w:rFonts w:ascii="Arial" w:cs="Arial" w:eastAsia="Arial" w:hAnsi="Arial"/>
                <w:sz w:val="8"/>
                <w:szCs w:val="8"/>
                <w:b w:val="1"/>
                <w:bCs w:val="1"/>
                <w:color w:val="auto"/>
              </w:rPr>
              <w:t>Level 2</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2"/>
          </w:tcPr>
          <w:p>
            <w:pPr>
              <w:ind w:left="220"/>
              <w:spacing w:after="0"/>
              <w:rPr>
                <w:sz w:val="20"/>
                <w:szCs w:val="20"/>
                <w:color w:val="auto"/>
              </w:rPr>
            </w:pPr>
            <w:r>
              <w:rPr>
                <w:rFonts w:ascii="Arial" w:cs="Arial" w:eastAsia="Arial" w:hAnsi="Arial"/>
                <w:sz w:val="8"/>
                <w:szCs w:val="8"/>
                <w:b w:val="1"/>
                <w:bCs w:val="1"/>
                <w:color w:val="auto"/>
              </w:rPr>
              <w:t>Level 3</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jc w:val="right"/>
              <w:ind w:right="51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00"/>
        </w:trPr>
        <w:tc>
          <w:tcPr>
            <w:tcW w:w="3340" w:type="dxa"/>
            <w:vAlign w:val="bottom"/>
            <w:tcBorders>
              <w:top w:val="single" w:sz="8" w:color="auto"/>
            </w:tcBorders>
            <w:shd w:val="clear" w:color="auto" w:fill="CCEEFF"/>
          </w:tcPr>
          <w:p>
            <w:pPr>
              <w:ind w:left="40"/>
              <w:spacing w:after="0" w:line="100" w:lineRule="exact"/>
              <w:rPr>
                <w:sz w:val="20"/>
                <w:szCs w:val="20"/>
                <w:color w:val="auto"/>
              </w:rPr>
            </w:pPr>
            <w:r>
              <w:rPr>
                <w:rFonts w:ascii="Arial" w:cs="Arial" w:eastAsia="Arial" w:hAnsi="Arial"/>
                <w:sz w:val="10"/>
                <w:szCs w:val="10"/>
                <w:color w:val="auto"/>
              </w:rPr>
              <w:t>Notes payable</w:t>
            </w:r>
          </w:p>
        </w:tc>
        <w:tc>
          <w:tcPr>
            <w:tcW w:w="16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jc w:val="right"/>
              <w:ind w:right="151"/>
              <w:spacing w:after="0" w:line="100" w:lineRule="exact"/>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186,387</w:t>
            </w:r>
          </w:p>
        </w:tc>
        <w:tc>
          <w:tcPr>
            <w:tcW w:w="1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gridSpan w:val="2"/>
            <w:shd w:val="clear" w:color="auto" w:fill="CCEEFF"/>
          </w:tcPr>
          <w:p>
            <w:pPr>
              <w:jc w:val="right"/>
              <w:ind w:right="216"/>
              <w:spacing w:after="0" w:line="100" w:lineRule="exact"/>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ind w:left="880"/>
              <w:spacing w:after="0" w:line="100" w:lineRule="exact"/>
              <w:rPr>
                <w:sz w:val="20"/>
                <w:szCs w:val="20"/>
                <w:color w:val="auto"/>
              </w:rPr>
            </w:pPr>
            <w:r>
              <w:rPr>
                <w:rFonts w:ascii="Arial" w:cs="Arial" w:eastAsia="Arial" w:hAnsi="Arial"/>
                <w:sz w:val="10"/>
                <w:szCs w:val="10"/>
                <w:color w:val="auto"/>
                <w:w w:val="99"/>
              </w:rPr>
              <w:t>—</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gridSpan w:val="2"/>
            <w:shd w:val="clear" w:color="auto" w:fill="CCEEFF"/>
          </w:tcPr>
          <w:p>
            <w:pPr>
              <w:jc w:val="right"/>
              <w:ind w:right="196"/>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ind w:left="880"/>
              <w:spacing w:after="0" w:line="100" w:lineRule="exact"/>
              <w:rPr>
                <w:sz w:val="20"/>
                <w:szCs w:val="20"/>
                <w:color w:val="auto"/>
              </w:rPr>
            </w:pPr>
            <w:r>
              <w:rPr>
                <w:rFonts w:ascii="Arial" w:cs="Arial" w:eastAsia="Arial" w:hAnsi="Arial"/>
                <w:sz w:val="10"/>
                <w:szCs w:val="10"/>
                <w:color w:val="auto"/>
              </w:rPr>
              <w:t>—</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gridSpan w:val="2"/>
            <w:shd w:val="clear" w:color="auto" w:fill="CCEEFF"/>
          </w:tcPr>
          <w:p>
            <w:pPr>
              <w:spacing w:after="0" w:line="100" w:lineRule="exact"/>
              <w:rPr>
                <w:sz w:val="20"/>
                <w:szCs w:val="20"/>
                <w:color w:val="auto"/>
              </w:rPr>
            </w:pPr>
            <w:r>
              <w:rPr>
                <w:rFonts w:ascii="Arial" w:cs="Arial" w:eastAsia="Arial" w:hAnsi="Arial"/>
                <w:sz w:val="10"/>
                <w:szCs w:val="10"/>
                <w:color w:val="auto"/>
              </w:rPr>
              <w:t>$</w:t>
            </w:r>
          </w:p>
        </w:tc>
        <w:tc>
          <w:tcPr>
            <w:tcW w:w="102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172,230</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gridSpan w:val="2"/>
            <w:shd w:val="clear" w:color="auto" w:fill="CCEEFF"/>
          </w:tcPr>
          <w:p>
            <w:pPr>
              <w:spacing w:after="0" w:line="100" w:lineRule="exact"/>
              <w:rPr>
                <w:sz w:val="20"/>
                <w:szCs w:val="20"/>
                <w:color w:val="auto"/>
              </w:rPr>
            </w:pPr>
            <w:r>
              <w:rPr>
                <w:rFonts w:ascii="Arial" w:cs="Arial" w:eastAsia="Arial" w:hAnsi="Arial"/>
                <w:sz w:val="10"/>
                <w:szCs w:val="10"/>
                <w:color w:val="auto"/>
              </w:rPr>
              <w:t>$</w:t>
            </w:r>
          </w:p>
        </w:tc>
        <w:tc>
          <w:tcPr>
            <w:tcW w:w="100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172,230</w:t>
            </w:r>
          </w:p>
        </w:tc>
        <w:tc>
          <w:tcPr>
            <w:tcW w:w="0" w:type="dxa"/>
            <w:vAlign w:val="bottom"/>
          </w:tcPr>
          <w:p>
            <w:pPr>
              <w:spacing w:after="0"/>
              <w:rPr>
                <w:sz w:val="1"/>
                <w:szCs w:val="1"/>
                <w:color w:val="auto"/>
              </w:rPr>
            </w:pPr>
          </w:p>
        </w:tc>
      </w:tr>
      <w:tr>
        <w:trPr>
          <w:trHeight w:val="105"/>
        </w:trPr>
        <w:tc>
          <w:tcPr>
            <w:tcW w:w="350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Subordinated debt</w:t>
            </w: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0"/>
                <w:szCs w:val="10"/>
                <w:color w:val="auto"/>
              </w:rPr>
              <w:t>29,246</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tcPr>
          <w:p>
            <w:pPr>
              <w:ind w:left="880"/>
              <w:spacing w:after="0" w:line="10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2"/>
          </w:tcPr>
          <w:p>
            <w:pPr>
              <w:ind w:left="880"/>
              <w:spacing w:after="0" w:line="10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jc w:val="right"/>
              <w:spacing w:after="0" w:line="105" w:lineRule="exact"/>
              <w:rPr>
                <w:sz w:val="20"/>
                <w:szCs w:val="20"/>
                <w:color w:val="auto"/>
              </w:rPr>
            </w:pPr>
            <w:r>
              <w:rPr>
                <w:rFonts w:ascii="Arial" w:cs="Arial" w:eastAsia="Arial" w:hAnsi="Arial"/>
                <w:sz w:val="10"/>
                <w:szCs w:val="10"/>
                <w:color w:val="auto"/>
              </w:rPr>
              <w:t>25,025</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jc w:val="right"/>
              <w:spacing w:after="0" w:line="105" w:lineRule="exact"/>
              <w:rPr>
                <w:sz w:val="20"/>
                <w:szCs w:val="20"/>
                <w:color w:val="auto"/>
              </w:rPr>
            </w:pPr>
            <w:r>
              <w:rPr>
                <w:rFonts w:ascii="Arial" w:cs="Arial" w:eastAsia="Arial" w:hAnsi="Arial"/>
                <w:sz w:val="10"/>
                <w:szCs w:val="10"/>
                <w:color w:val="auto"/>
              </w:rPr>
              <w:t>25,025</w:t>
            </w:r>
          </w:p>
        </w:tc>
        <w:tc>
          <w:tcPr>
            <w:tcW w:w="0" w:type="dxa"/>
            <w:vAlign w:val="bottom"/>
          </w:tcPr>
          <w:p>
            <w:pPr>
              <w:spacing w:after="0"/>
              <w:rPr>
                <w:sz w:val="1"/>
                <w:szCs w:val="1"/>
                <w:color w:val="auto"/>
              </w:rPr>
            </w:pPr>
          </w:p>
        </w:tc>
      </w:tr>
      <w:tr>
        <w:trPr>
          <w:trHeight w:val="93"/>
        </w:trPr>
        <w:tc>
          <w:tcPr>
            <w:tcW w:w="334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260" w:type="dxa"/>
            <w:vAlign w:val="bottom"/>
            <w:tcBorders>
              <w:top w:val="single" w:sz="8" w:color="auto"/>
              <w:bottom w:val="single" w:sz="8" w:color="auto"/>
            </w:tcBorders>
            <w:shd w:val="clear" w:color="auto" w:fill="CCEEFF"/>
          </w:tcPr>
          <w:p>
            <w:pPr>
              <w:jc w:val="right"/>
              <w:ind w:right="151"/>
              <w:spacing w:after="0" w:line="93" w:lineRule="exact"/>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shd w:val="clear" w:color="auto" w:fill="CCEEFF"/>
          </w:tcPr>
          <w:p>
            <w:pPr>
              <w:spacing w:after="0"/>
              <w:rPr>
                <w:sz w:val="8"/>
                <w:szCs w:val="8"/>
                <w:color w:val="auto"/>
              </w:rPr>
            </w:pPr>
          </w:p>
        </w:tc>
        <w:tc>
          <w:tcPr>
            <w:tcW w:w="58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215,633</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300" w:type="dxa"/>
            <w:vAlign w:val="bottom"/>
            <w:tcBorders>
              <w:top w:val="single" w:sz="8" w:color="auto"/>
              <w:bottom w:val="single" w:sz="8" w:color="auto"/>
            </w:tcBorders>
            <w:gridSpan w:val="2"/>
            <w:shd w:val="clear" w:color="auto" w:fill="CCEEFF"/>
          </w:tcPr>
          <w:p>
            <w:pPr>
              <w:jc w:val="right"/>
              <w:ind w:right="216"/>
              <w:spacing w:after="0" w:line="93" w:lineRule="exact"/>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shd w:val="clear" w:color="auto" w:fill="CCEEFF"/>
          </w:tcPr>
          <w:p>
            <w:pPr>
              <w:ind w:left="880"/>
              <w:spacing w:after="0" w:line="93" w:lineRule="exact"/>
              <w:rPr>
                <w:sz w:val="20"/>
                <w:szCs w:val="20"/>
                <w:color w:val="auto"/>
              </w:rPr>
            </w:pPr>
            <w:r>
              <w:rPr>
                <w:rFonts w:ascii="Arial" w:cs="Arial" w:eastAsia="Arial" w:hAnsi="Arial"/>
                <w:sz w:val="10"/>
                <w:szCs w:val="10"/>
                <w:b w:val="1"/>
                <w:bCs w:val="1"/>
                <w:color w:val="auto"/>
                <w:w w:val="99"/>
              </w:rPr>
              <w:t>—</w:t>
            </w: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280" w:type="dxa"/>
            <w:vAlign w:val="bottom"/>
            <w:tcBorders>
              <w:top w:val="single" w:sz="8" w:color="auto"/>
              <w:bottom w:val="single" w:sz="8" w:color="auto"/>
            </w:tcBorders>
            <w:gridSpan w:val="2"/>
            <w:shd w:val="clear" w:color="auto" w:fill="CCEEFF"/>
          </w:tcPr>
          <w:p>
            <w:pPr>
              <w:jc w:val="right"/>
              <w:ind w:right="196"/>
              <w:spacing w:after="0" w:line="93" w:lineRule="exact"/>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shd w:val="clear" w:color="auto" w:fill="CCEEFF"/>
          </w:tcPr>
          <w:p>
            <w:pPr>
              <w:ind w:left="900"/>
              <w:spacing w:after="0" w:line="93" w:lineRule="exact"/>
              <w:rPr>
                <w:sz w:val="20"/>
                <w:szCs w:val="20"/>
                <w:color w:val="auto"/>
              </w:rPr>
            </w:pPr>
            <w:r>
              <w:rPr>
                <w:rFonts w:ascii="Arial" w:cs="Arial" w:eastAsia="Arial" w:hAnsi="Arial"/>
                <w:sz w:val="10"/>
                <w:szCs w:val="10"/>
                <w:b w:val="1"/>
                <w:bCs w:val="1"/>
                <w:color w:val="auto"/>
                <w:w w:val="99"/>
              </w:rPr>
              <w:t>—</w:t>
            </w: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280" w:type="dxa"/>
            <w:vAlign w:val="bottom"/>
            <w:tcBorders>
              <w:top w:val="single" w:sz="8" w:color="auto"/>
              <w:bottom w:val="single" w:sz="8" w:color="auto"/>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197,255</w:t>
            </w: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300" w:type="dxa"/>
            <w:vAlign w:val="bottom"/>
            <w:tcBorders>
              <w:top w:val="single" w:sz="8" w:color="auto"/>
              <w:bottom w:val="single" w:sz="8" w:color="auto"/>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197,255</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80"/>
        <w:spacing w:after="0"/>
        <w:tabs>
          <w:tab w:leader="none" w:pos="340" w:val="left"/>
        </w:tabs>
        <w:rPr>
          <w:sz w:val="20"/>
          <w:szCs w:val="20"/>
          <w:color w:val="auto"/>
        </w:rPr>
      </w:pPr>
      <w:r>
        <w:rPr>
          <w:rFonts w:ascii="Arial" w:cs="Arial" w:eastAsia="Arial" w:hAnsi="Arial"/>
          <w:sz w:val="8"/>
          <w:szCs w:val="8"/>
          <w:color w:val="auto"/>
        </w:rPr>
        <w:t>(1)</w:t>
        <w:tab/>
        <w:t>These balances are presented before any deduction for deferred financing costs.</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The following is a description of the valuation methodologies used to estimate the fair value of our financial assets and liabilities. There have been no changes in the methodologies used as of September 30, 2023, and December 31, 2022.</w:t>
      </w:r>
    </w:p>
    <w:p>
      <w:pPr>
        <w:spacing w:after="0" w:line="29" w:lineRule="exact"/>
        <w:rPr>
          <w:sz w:val="20"/>
          <w:szCs w:val="20"/>
          <w:color w:val="auto"/>
        </w:rPr>
      </w:pPr>
    </w:p>
    <w:p>
      <w:pPr>
        <w:ind w:left="360" w:right="60"/>
        <w:spacing w:after="0" w:line="246" w:lineRule="auto"/>
        <w:rPr>
          <w:sz w:val="20"/>
          <w:szCs w:val="20"/>
          <w:color w:val="auto"/>
        </w:rPr>
      </w:pPr>
      <w:r>
        <w:rPr>
          <w:rFonts w:ascii="Arial" w:cs="Arial" w:eastAsia="Arial" w:hAnsi="Arial"/>
          <w:sz w:val="10"/>
          <w:szCs w:val="10"/>
          <w:b w:val="1"/>
          <w:bCs w:val="1"/>
          <w:color w:val="auto"/>
        </w:rPr>
        <w:t xml:space="preserve">Level 1 </w:t>
      </w:r>
      <w:r>
        <w:rPr>
          <w:rFonts w:ascii="Arial" w:cs="Arial" w:eastAsia="Arial" w:hAnsi="Arial"/>
          <w:sz w:val="10"/>
          <w:szCs w:val="10"/>
          <w:color w:val="auto"/>
        </w:rPr>
        <w:t>investments in marketable securities primarily consist of investments associated with the ownership of marketable securities in U.S. and New Zealand. These investments are valued based on observable market quotes on the last</w:t>
      </w:r>
      <w:r>
        <w:rPr>
          <w:rFonts w:ascii="Arial" w:cs="Arial" w:eastAsia="Arial" w:hAnsi="Arial"/>
          <w:sz w:val="10"/>
          <w:szCs w:val="10"/>
          <w:b w:val="1"/>
          <w:bCs w:val="1"/>
          <w:color w:val="auto"/>
        </w:rPr>
        <w:t xml:space="preserve"> </w:t>
      </w:r>
      <w:r>
        <w:rPr>
          <w:rFonts w:ascii="Arial" w:cs="Arial" w:eastAsia="Arial" w:hAnsi="Arial"/>
          <w:sz w:val="10"/>
          <w:szCs w:val="10"/>
          <w:color w:val="auto"/>
        </w:rPr>
        <w:t>trading date of the reporting period.</w:t>
      </w:r>
    </w:p>
    <w:p>
      <w:pPr>
        <w:spacing w:after="0" w:line="19" w:lineRule="exact"/>
        <w:rPr>
          <w:sz w:val="20"/>
          <w:szCs w:val="20"/>
          <w:color w:val="auto"/>
        </w:rPr>
      </w:pPr>
    </w:p>
    <w:p>
      <w:pPr>
        <w:ind w:left="360" w:right="100"/>
        <w:spacing w:after="0" w:line="235" w:lineRule="auto"/>
        <w:rPr>
          <w:sz w:val="20"/>
          <w:szCs w:val="20"/>
          <w:color w:val="auto"/>
        </w:rPr>
      </w:pPr>
      <w:r>
        <w:rPr>
          <w:rFonts w:ascii="Arial" w:cs="Arial" w:eastAsia="Arial" w:hAnsi="Arial"/>
          <w:sz w:val="10"/>
          <w:szCs w:val="10"/>
          <w:b w:val="1"/>
          <w:bCs w:val="1"/>
          <w:color w:val="auto"/>
        </w:rPr>
        <w:t xml:space="preserve">Level 2 </w:t>
      </w:r>
      <w:r>
        <w:rPr>
          <w:rFonts w:ascii="Arial" w:cs="Arial" w:eastAsia="Arial" w:hAnsi="Arial"/>
          <w:sz w:val="10"/>
          <w:szCs w:val="10"/>
          <w:color w:val="auto"/>
        </w:rPr>
        <w:t>derivative financial instruments are valued based on discounted cash flow models that incorporate observable inputs such as interest rates and yield curves from the derivative counterparties. The credit valuation adjustments</w:t>
      </w:r>
      <w:r>
        <w:rPr>
          <w:rFonts w:ascii="Arial" w:cs="Arial" w:eastAsia="Arial" w:hAnsi="Arial"/>
          <w:sz w:val="10"/>
          <w:szCs w:val="10"/>
          <w:b w:val="1"/>
          <w:bCs w:val="1"/>
          <w:color w:val="auto"/>
        </w:rPr>
        <w:t xml:space="preserve"> </w:t>
      </w:r>
      <w:r>
        <w:rPr>
          <w:rFonts w:ascii="Arial" w:cs="Arial" w:eastAsia="Arial" w:hAnsi="Arial"/>
          <w:sz w:val="10"/>
          <w:szCs w:val="10"/>
          <w:color w:val="auto"/>
        </w:rPr>
        <w:t>associated with our non-performance risk and counterparty credit risk are incorporated in the fair value estimates of our derivatives. As of September 30, 2023, and December 31, 2022, we concluded that the credit valuation adjustments were not significant to the overall valuation of our derivatives.</w:t>
      </w:r>
    </w:p>
    <w:p>
      <w:pPr>
        <w:spacing w:after="0" w:line="22" w:lineRule="exact"/>
        <w:rPr>
          <w:sz w:val="20"/>
          <w:szCs w:val="20"/>
          <w:color w:val="auto"/>
        </w:rPr>
      </w:pPr>
    </w:p>
    <w:p>
      <w:pPr>
        <w:jc w:val="both"/>
        <w:ind w:left="360" w:right="80"/>
        <w:spacing w:after="0" w:line="235" w:lineRule="auto"/>
        <w:rPr>
          <w:sz w:val="20"/>
          <w:szCs w:val="20"/>
          <w:color w:val="auto"/>
        </w:rPr>
      </w:pPr>
      <w:r>
        <w:rPr>
          <w:rFonts w:ascii="Arial" w:cs="Arial" w:eastAsia="Arial" w:hAnsi="Arial"/>
          <w:sz w:val="10"/>
          <w:szCs w:val="10"/>
          <w:b w:val="1"/>
          <w:bCs w:val="1"/>
          <w:color w:val="auto"/>
        </w:rPr>
        <w:t xml:space="preserve">Level 3 </w:t>
      </w:r>
      <w:r>
        <w:rPr>
          <w:rFonts w:ascii="Arial" w:cs="Arial" w:eastAsia="Arial" w:hAnsi="Arial"/>
          <w:sz w:val="10"/>
          <w:szCs w:val="10"/>
          <w:color w:val="auto"/>
        </w:rPr>
        <w:t>borrowings include our secured and unsecured notes payable, trust preferred securities and other debt instruments. The borrowings are valued based on discounted cash flow models that incorporate appropriate market discount</w:t>
      </w:r>
      <w:r>
        <w:rPr>
          <w:rFonts w:ascii="Arial" w:cs="Arial" w:eastAsia="Arial" w:hAnsi="Arial"/>
          <w:sz w:val="10"/>
          <w:szCs w:val="10"/>
          <w:b w:val="1"/>
          <w:bCs w:val="1"/>
          <w:color w:val="auto"/>
        </w:rPr>
        <w:t xml:space="preserve"> </w:t>
      </w:r>
      <w:r>
        <w:rPr>
          <w:rFonts w:ascii="Arial" w:cs="Arial" w:eastAsia="Arial" w:hAnsi="Arial"/>
          <w:sz w:val="10"/>
          <w:szCs w:val="10"/>
          <w:color w:val="auto"/>
        </w:rPr>
        <w:t>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spacing w:after="0" w:line="88" w:lineRule="exact"/>
        <w:rPr>
          <w:sz w:val="20"/>
          <w:szCs w:val="20"/>
          <w:color w:val="auto"/>
        </w:rPr>
      </w:pPr>
    </w:p>
    <w:p>
      <w:pPr>
        <w:ind w:right="140"/>
        <w:spacing w:after="0" w:line="237" w:lineRule="auto"/>
        <w:rPr>
          <w:sz w:val="20"/>
          <w:szCs w:val="20"/>
          <w:color w:val="auto"/>
        </w:rPr>
      </w:pPr>
      <w:r>
        <w:rPr>
          <w:rFonts w:ascii="Arial" w:cs="Arial" w:eastAsia="Arial" w:hAnsi="Arial"/>
          <w:sz w:val="10"/>
          <w:szCs w:val="10"/>
          <w:color w:val="auto"/>
        </w:rPr>
        <w:t>Our Company’s financial instruments also include cash, cash equivalents, receivables and accounts payable. The carrying values of these financial instruments approximate the fair values due to their short maturities. Additionally, there were no transfers of assets and liabilities between levels 1, 2, or 3 during the quarter and nine months ended September 30, 2023, and September 30, 2022.</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Note 20 – Subsequent Events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On October 25, 2023, we closed on the sale of our property in Maitland, NSW in Australia for AU$2.8 million. We simultaneously entered into a lease back to Reading Cinemas for a 2-year period.</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On November 1, 2023, we closed our Reading Cinema in Rohnert Park, California.</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715" w:right="640" w:bottom="1440" w:gutter="0" w:footer="0" w:header="0"/>
        </w:sectPr>
      </w:pPr>
    </w:p>
    <w:bookmarkStart w:id="24" w:name="page25"/>
    <w:bookmarkEnd w:id="24"/>
    <w:p>
      <w:pPr>
        <w:ind w:right="260"/>
        <w:spacing w:after="0" w:line="253" w:lineRule="auto"/>
        <w:rPr>
          <w:sz w:val="20"/>
          <w:szCs w:val="20"/>
          <w:color w:val="auto"/>
        </w:rPr>
      </w:pPr>
      <w:r>
        <w:rPr>
          <w:rFonts w:ascii="Arial" w:cs="Arial" w:eastAsia="Arial" w:hAnsi="Arial"/>
          <w:sz w:val="8"/>
          <w:szCs w:val="8"/>
          <w:i w:val="1"/>
          <w:iCs w:val="1"/>
          <w:color w:val="auto"/>
        </w:rPr>
        <w:t>This MD&amp;A should be read in conjunction with the accompanying unaudited consolidated financial statements included in Part I, Item 1 (Financial Statements). The foregoing discussions and analyses contain certain forward-looking statements. Please refer to the “Cautionary Statement Regarding Forward -Looking Statements” included at the conclusion of this section and our “Risk Factors” set forth in our 2022 Form 10 -K, Part 1 – Financial Information, Item 1A and the Risk Factors set out below.</w:t>
      </w:r>
    </w:p>
    <w:p>
      <w:pPr>
        <w:spacing w:after="0" w:line="81"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Item 2 – Management’s Discussion and Analysis (“MD&amp;A”) of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The MD&amp;A should be read in conjunction with our consolidated financial statements and related notes in this Report.</w:t>
      </w:r>
    </w:p>
    <w:p>
      <w:pPr>
        <w:spacing w:after="0" w:line="8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Business Overview &amp; Updates</w:t>
      </w:r>
    </w:p>
    <w:p>
      <w:pPr>
        <w:spacing w:after="0" w:line="101" w:lineRule="exact"/>
        <w:rPr>
          <w:sz w:val="20"/>
          <w:szCs w:val="20"/>
          <w:color w:val="auto"/>
        </w:rPr>
      </w:pPr>
    </w:p>
    <w:p>
      <w:pPr>
        <w:ind w:right="240"/>
        <w:spacing w:after="0" w:line="237" w:lineRule="auto"/>
        <w:rPr>
          <w:sz w:val="20"/>
          <w:szCs w:val="20"/>
          <w:color w:val="auto"/>
        </w:rPr>
      </w:pPr>
      <w:r>
        <w:rPr>
          <w:rFonts w:ascii="Arial" w:cs="Arial" w:eastAsia="Arial" w:hAnsi="Arial"/>
          <w:sz w:val="10"/>
          <w:szCs w:val="10"/>
          <w:color w:val="auto"/>
        </w:rPr>
        <w:t>We continue to be optimistic about the current trajectory of our business and the cinema industry as a whole. Although we remain positive, we are currently, and have in recent years, been impacted by multiple factors. These factors are largely beyond our control, and continue to impact the profitability of our global cinema segment when compared to pre-pandemic levels: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0"/>
          <w:szCs w:val="10"/>
          <w:color w:val="auto"/>
        </w:rPr>
        <w:t>Cinema patronage levels that have not yet returned to the higher pre-pandemic levels;</w:t>
      </w:r>
    </w:p>
    <w:p>
      <w:pPr>
        <w:ind w:left="540"/>
        <w:spacing w:after="0" w:line="219" w:lineRule="auto"/>
        <w:rPr>
          <w:sz w:val="20"/>
          <w:szCs w:val="20"/>
          <w:color w:val="auto"/>
        </w:rPr>
      </w:pPr>
      <w:r>
        <w:rPr>
          <w:rFonts w:ascii="Arial" w:cs="Arial" w:eastAsia="Arial" w:hAnsi="Arial"/>
          <w:sz w:val="10"/>
          <w:szCs w:val="10"/>
          <w:color w:val="auto"/>
        </w:rPr>
        <w:t>The number of movies released by the major Hollywood studios and other distributors, while increasing from pandemic levels, have not yet returned to their higher pre-pandemic levels;</w:t>
      </w:r>
    </w:p>
    <w:p>
      <w:pPr>
        <w:ind w:left="540"/>
        <w:spacing w:after="0" w:line="219" w:lineRule="auto"/>
        <w:rPr>
          <w:sz w:val="20"/>
          <w:szCs w:val="20"/>
          <w:color w:val="auto"/>
        </w:rPr>
      </w:pPr>
      <w:r>
        <w:rPr>
          <w:rFonts w:ascii="Arial" w:cs="Arial" w:eastAsia="Arial" w:hAnsi="Arial"/>
          <w:sz w:val="10"/>
          <w:szCs w:val="10"/>
          <w:color w:val="auto"/>
        </w:rPr>
        <w:t>The duration of the exclusive theatrical release window is under continuing pressure from cable and streaming;</w:t>
      </w:r>
    </w:p>
    <w:p>
      <w:pPr>
        <w:ind w:left="540"/>
        <w:spacing w:after="0" w:line="219" w:lineRule="auto"/>
        <w:rPr>
          <w:sz w:val="20"/>
          <w:szCs w:val="20"/>
          <w:color w:val="auto"/>
        </w:rPr>
      </w:pPr>
      <w:r>
        <w:rPr>
          <w:rFonts w:ascii="Arial" w:cs="Arial" w:eastAsia="Arial" w:hAnsi="Arial"/>
          <w:sz w:val="10"/>
          <w:szCs w:val="10"/>
          <w:color w:val="auto"/>
        </w:rPr>
        <w:t>Increased film rent expense, as distributors demand more and more rent for high profile movies;</w:t>
      </w:r>
    </w:p>
    <w:p>
      <w:pPr>
        <w:ind w:left="540" w:right="980"/>
        <w:spacing w:after="0" w:line="219" w:lineRule="auto"/>
        <w:rPr>
          <w:sz w:val="20"/>
          <w:szCs w:val="20"/>
          <w:color w:val="auto"/>
        </w:rPr>
      </w:pPr>
      <w:r>
        <w:rPr>
          <w:rFonts w:ascii="Arial" w:cs="Arial" w:eastAsia="Arial" w:hAnsi="Arial"/>
          <w:sz w:val="10"/>
          <w:szCs w:val="10"/>
          <w:color w:val="auto"/>
        </w:rPr>
        <w:t>Inflationary pressures, ongoing supply chain issues and increased operating expenses arising post-pandemic continue to push up our variable costs while we encounter consumer resistance to higher ticket prices; Labor costs continue to increase (resulting from a combination of inflation and labor shortages);</w:t>
      </w:r>
    </w:p>
    <w:p>
      <w:pPr>
        <w:ind w:left="540" w:right="40"/>
        <w:spacing w:after="0" w:line="219" w:lineRule="auto"/>
        <w:rPr>
          <w:sz w:val="20"/>
          <w:szCs w:val="20"/>
          <w:color w:val="auto"/>
        </w:rPr>
      </w:pPr>
      <w:r>
        <w:rPr>
          <w:rFonts w:ascii="Arial" w:cs="Arial" w:eastAsia="Arial" w:hAnsi="Arial"/>
          <w:sz w:val="10"/>
          <w:szCs w:val="10"/>
          <w:color w:val="auto"/>
        </w:rPr>
        <w:t>Increased fixed costs for third party cinema rents, some of which are increasing due to fixed rent escalations, which are exacerbated by having to also pay our COVID-19 related rent deferrals for the periods of time when our operations were closed or restricted and</w:t>
      </w:r>
    </w:p>
    <w:p>
      <w:pPr>
        <w:ind w:left="540"/>
        <w:spacing w:after="0"/>
        <w:rPr>
          <w:sz w:val="20"/>
          <w:szCs w:val="20"/>
          <w:color w:val="auto"/>
        </w:rPr>
      </w:pPr>
      <w:r>
        <w:rPr>
          <w:rFonts w:ascii="Arial" w:cs="Arial" w:eastAsia="Arial" w:hAnsi="Arial"/>
          <w:sz w:val="10"/>
          <w:szCs w:val="10"/>
          <w:color w:val="auto"/>
        </w:rPr>
        <w:t>Reserve banks in the U.S., Australia and New Zealand have increased interest rates causing our cost of borrowing to increase materially.</w:t>
      </w:r>
    </w:p>
    <w:p>
      <w:pPr>
        <w:spacing w:after="0" w:line="89" w:lineRule="exact"/>
        <w:rPr>
          <w:sz w:val="20"/>
          <w:szCs w:val="20"/>
          <w:color w:val="auto"/>
        </w:rPr>
      </w:pPr>
    </w:p>
    <w:p>
      <w:pPr>
        <w:ind w:right="100"/>
        <w:spacing w:after="0" w:line="231" w:lineRule="auto"/>
        <w:rPr>
          <w:sz w:val="20"/>
          <w:szCs w:val="20"/>
          <w:color w:val="auto"/>
        </w:rPr>
      </w:pPr>
      <w:r>
        <w:rPr>
          <w:rFonts w:ascii="Arial" w:cs="Arial" w:eastAsia="Arial" w:hAnsi="Arial"/>
          <w:sz w:val="10"/>
          <w:szCs w:val="10"/>
          <w:color w:val="auto"/>
        </w:rPr>
        <w:t>In addition to the above factors impacting the income levels of our global cinema business, we are also monitoring the future potential impact of the Hollywood strikes on our global cinema business. On September 28, 2023, the Hollywood writers’ strike officially ended followed by the actors’ strike on November 8, 2023. While we are thrilled about the recent end of the Hollywood Strikes, we know that the duration of the strikes will likely impact our global cinema business in 2024 due to production delays and shifting theatrical release date. Nonetheless, the recent settlement gives us more confidence that 2023 will end on a positive note delivering a marked improvement over 2022.</w:t>
      </w:r>
    </w:p>
    <w:p>
      <w:pPr>
        <w:spacing w:after="0" w:line="88" w:lineRule="exact"/>
        <w:rPr>
          <w:sz w:val="20"/>
          <w:szCs w:val="20"/>
          <w:color w:val="auto"/>
        </w:rPr>
      </w:pPr>
    </w:p>
    <w:p>
      <w:pPr>
        <w:ind w:right="20"/>
        <w:spacing w:after="0" w:line="226" w:lineRule="auto"/>
        <w:rPr>
          <w:sz w:val="20"/>
          <w:szCs w:val="20"/>
          <w:color w:val="auto"/>
        </w:rPr>
      </w:pPr>
      <w:r>
        <w:rPr>
          <w:rFonts w:ascii="Arial" w:cs="Arial" w:eastAsia="Arial" w:hAnsi="Arial"/>
          <w:sz w:val="10"/>
          <w:szCs w:val="10"/>
          <w:color w:val="auto"/>
        </w:rPr>
        <w:t>Despite the above factors, we believe that with (i) the re-recognition by the major studios, and other distributors, including streamers such as Amazon and Apple, of the economic importance of the theatrical release of movies, (ii) the increasing quantity and quality of films being released to the cinemas compared to pandemic levels and (iii) the expansion of certain movie audiences (such as audiences for concert films and faith based films), that the long term prospects for our industry are positive. Still, it is generally recognized that there are currently too many cinemas in the U.S., and we are reviewing and culling our poor performers where possible. Fortunately, most of our cinemas are in good markets which are not, in our view, over-screened and we believe that oversupply is less of an issue in post -pandemic Australia and New Zealand. We have confidence that in the next few years, we will return to being able to again use our cinema cash flow to support our real estate development activities. We continue to receive and review proposals for new or available existing cinemas.</w:t>
      </w:r>
    </w:p>
    <w:p>
      <w:pPr>
        <w:spacing w:after="0" w:line="89" w:lineRule="exact"/>
        <w:rPr>
          <w:sz w:val="20"/>
          <w:szCs w:val="20"/>
          <w:color w:val="auto"/>
        </w:rPr>
      </w:pPr>
    </w:p>
    <w:p>
      <w:pPr>
        <w:ind w:right="60"/>
        <w:spacing w:after="0" w:line="231" w:lineRule="auto"/>
        <w:rPr>
          <w:sz w:val="20"/>
          <w:szCs w:val="20"/>
          <w:color w:val="auto"/>
        </w:rPr>
      </w:pPr>
      <w:r>
        <w:rPr>
          <w:rFonts w:ascii="Arial" w:cs="Arial" w:eastAsia="Arial" w:hAnsi="Arial"/>
          <w:sz w:val="10"/>
          <w:szCs w:val="10"/>
          <w:color w:val="auto"/>
        </w:rPr>
        <w:t xml:space="preserve">We are continuing to address the challenges of the post-COVID world. For instance, we are (i) increasing and improving our automated and self-service options at the cinema level to reduce labor costs, (ii) continuing to focus on our food and beverage offerings and now have liquor licenses in every U.S. cinema, and (iii) continuing to expand our alternative content program with the intention of attracting a broader and more diversified range of patrons. Despite COVID-19 legacy issues, the global cinema industry experienced a robust performance during the third quarter of 2023 which was ignited by the double feature of record-breaking films, </w:t>
      </w:r>
      <w:r>
        <w:rPr>
          <w:rFonts w:ascii="Arial" w:cs="Arial" w:eastAsia="Arial" w:hAnsi="Arial"/>
          <w:sz w:val="10"/>
          <w:szCs w:val="10"/>
          <w:i w:val="1"/>
          <w:iCs w:val="1"/>
          <w:color w:val="auto"/>
        </w:rPr>
        <w:t>Barbie</w:t>
      </w:r>
      <w:r>
        <w:rPr>
          <w:rFonts w:ascii="Arial" w:cs="Arial" w:eastAsia="Arial" w:hAnsi="Arial"/>
          <w:sz w:val="10"/>
          <w:szCs w:val="10"/>
          <w:color w:val="auto"/>
        </w:rPr>
        <w:t xml:space="preserve"> and </w:t>
      </w:r>
      <w:r>
        <w:rPr>
          <w:rFonts w:ascii="Arial" w:cs="Arial" w:eastAsia="Arial" w:hAnsi="Arial"/>
          <w:sz w:val="10"/>
          <w:szCs w:val="10"/>
          <w:i w:val="1"/>
          <w:iCs w:val="1"/>
          <w:color w:val="auto"/>
        </w:rPr>
        <w:t>Oppenheimer</w:t>
      </w:r>
      <w:r>
        <w:rPr>
          <w:rFonts w:ascii="Arial" w:cs="Arial" w:eastAsia="Arial" w:hAnsi="Arial"/>
          <w:sz w:val="10"/>
          <w:szCs w:val="10"/>
          <w:color w:val="auto"/>
        </w:rPr>
        <w:t>.</w:t>
      </w:r>
    </w:p>
    <w:p>
      <w:pPr>
        <w:spacing w:after="0" w:line="88" w:lineRule="exact"/>
        <w:rPr>
          <w:sz w:val="20"/>
          <w:szCs w:val="20"/>
          <w:color w:val="auto"/>
        </w:rPr>
      </w:pPr>
    </w:p>
    <w:p>
      <w:pPr>
        <w:ind w:right="20"/>
        <w:spacing w:after="0" w:line="237" w:lineRule="auto"/>
        <w:rPr>
          <w:sz w:val="20"/>
          <w:szCs w:val="20"/>
          <w:color w:val="auto"/>
        </w:rPr>
      </w:pPr>
      <w:r>
        <w:rPr>
          <w:rFonts w:ascii="Arial" w:cs="Arial" w:eastAsia="Arial" w:hAnsi="Arial"/>
          <w:sz w:val="10"/>
          <w:szCs w:val="10"/>
          <w:color w:val="auto"/>
        </w:rPr>
        <w:t>We are also continuing to reduce our fixed costs of operation by closing non-performing cinemas upon the expiration of their current lease terms. In addition, in light of potential impacts to the movie release schedule in the next few years due to the Hollywood Strikes, we are in the process of seeking occupancy relief from existing cinema landlords. Over the first ten months of 2023, we have elected not to extend three underperforming US cinema leases.</w:t>
      </w:r>
    </w:p>
    <w:p>
      <w:pPr>
        <w:spacing w:after="0" w:line="88"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While we are closing down non-performing theatres in the over- screened U.S., we are continuing to build and expand our circuit in Australia in New Zealand. In 2023, we have opened two new cinemas, representing 13 screens in Australia. We also have two more cinemas, representing an additional 11 screens that are in the pipeline: one in Queensland Australia and one in New Zealand.</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562" w:right="620" w:bottom="1440" w:gutter="0" w:footer="0" w:header="0"/>
        </w:sectPr>
      </w:pPr>
    </w:p>
    <w:bookmarkStart w:id="25" w:name="page26"/>
    <w:bookmarkEnd w:id="25"/>
    <w:p>
      <w:pPr>
        <w:ind w:right="20"/>
        <w:spacing w:after="0" w:line="237" w:lineRule="auto"/>
        <w:rPr>
          <w:sz w:val="20"/>
          <w:szCs w:val="20"/>
          <w:color w:val="auto"/>
        </w:rPr>
      </w:pPr>
      <w:r>
        <w:rPr>
          <w:rFonts w:ascii="Arial" w:cs="Arial" w:eastAsia="Arial" w:hAnsi="Arial"/>
          <w:sz w:val="10"/>
          <w:szCs w:val="10"/>
          <w:color w:val="auto"/>
        </w:rPr>
        <w:t>We also believe that, as our guests return to the cinema, we will see enhanced operating results from the expansion of our F&amp;B menus and our continued improvement on the quality and diversity of our F&amp;B offer. In the U.S., 100% of our cinemas are licensed for the sale of liquor, beer and wine.</w:t>
      </w:r>
    </w:p>
    <w:p>
      <w:pPr>
        <w:spacing w:after="0" w:line="84"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Moreover, the remainder of the year features a unique and compelling film slate that is expected to continue driving audiences to the big screens. After a wildly successful record-breaking concert tour, the </w:t>
      </w:r>
      <w:r>
        <w:rPr>
          <w:rFonts w:ascii="Arial" w:cs="Arial" w:eastAsia="Arial" w:hAnsi="Arial"/>
          <w:sz w:val="9"/>
          <w:szCs w:val="9"/>
          <w:i w:val="1"/>
          <w:iCs w:val="1"/>
          <w:color w:val="auto"/>
        </w:rPr>
        <w:t>Taylor Swift: The Eras Tour</w:t>
      </w:r>
      <w:r>
        <w:rPr>
          <w:rFonts w:ascii="Arial" w:cs="Arial" w:eastAsia="Arial" w:hAnsi="Arial"/>
          <w:sz w:val="9"/>
          <w:szCs w:val="9"/>
          <w:color w:val="auto"/>
        </w:rPr>
        <w:t xml:space="preserve"> movie was</w:t>
      </w:r>
    </w:p>
    <w:p>
      <w:pPr>
        <w:spacing w:after="0" w:line="10" w:lineRule="exact"/>
        <w:rPr>
          <w:sz w:val="20"/>
          <w:szCs w:val="20"/>
          <w:color w:val="auto"/>
        </w:rPr>
      </w:pPr>
    </w:p>
    <w:p>
      <w:pPr>
        <w:ind w:right="240"/>
        <w:spacing w:after="0" w:line="196" w:lineRule="auto"/>
        <w:rPr>
          <w:sz w:val="20"/>
          <w:szCs w:val="20"/>
          <w:color w:val="auto"/>
        </w:rPr>
      </w:pPr>
      <w:r>
        <w:rPr>
          <w:rFonts w:ascii="Arial" w:cs="Arial" w:eastAsia="Arial" w:hAnsi="Arial"/>
          <w:sz w:val="10"/>
          <w:szCs w:val="10"/>
          <w:color w:val="auto"/>
        </w:rPr>
        <w:t>released on October 13</w:t>
      </w:r>
      <w:r>
        <w:rPr>
          <w:rFonts w:ascii="Arial" w:cs="Arial" w:eastAsia="Arial" w:hAnsi="Arial"/>
          <w:sz w:val="16"/>
          <w:szCs w:val="16"/>
          <w:color w:val="auto"/>
          <w:vertAlign w:val="superscript"/>
        </w:rPr>
        <w:t>th</w:t>
      </w:r>
      <w:r>
        <w:rPr>
          <w:rFonts w:ascii="Arial" w:cs="Arial" w:eastAsia="Arial" w:hAnsi="Arial"/>
          <w:sz w:val="10"/>
          <w:szCs w:val="10"/>
          <w:color w:val="auto"/>
        </w:rPr>
        <w:t>, 2023 to excited movie-goers and continued to break records for the theaters. The “Swifties” came out in full force for opening weekend, making the movie the highest grossing concert film of all time in North America, grossing almost $93 million domestically in its opening weekend, and thus far has already earned over $241 million globally.</w:t>
      </w:r>
    </w:p>
    <w:p>
      <w:pPr>
        <w:spacing w:after="0" w:line="8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Recent Box Office Improvements</w:t>
      </w:r>
    </w:p>
    <w:p>
      <w:pPr>
        <w:spacing w:after="0" w:line="97" w:lineRule="exact"/>
        <w:rPr>
          <w:sz w:val="20"/>
          <w:szCs w:val="20"/>
          <w:color w:val="auto"/>
        </w:rPr>
      </w:pPr>
    </w:p>
    <w:p>
      <w:pPr>
        <w:ind w:right="60"/>
        <w:spacing w:after="0" w:line="230" w:lineRule="auto"/>
        <w:rPr>
          <w:sz w:val="20"/>
          <w:szCs w:val="20"/>
          <w:color w:val="auto"/>
        </w:rPr>
      </w:pPr>
      <w:r>
        <w:rPr>
          <w:rFonts w:ascii="Arial" w:cs="Arial" w:eastAsia="Arial" w:hAnsi="Arial"/>
          <w:sz w:val="10"/>
          <w:szCs w:val="10"/>
          <w:color w:val="auto"/>
        </w:rPr>
        <w:t xml:space="preserve">The third quarter of 2023 witnessed a significant boost in box office performance due to the highly anticipated release of </w:t>
      </w:r>
      <w:r>
        <w:rPr>
          <w:rFonts w:ascii="Arial" w:cs="Arial" w:eastAsia="Arial" w:hAnsi="Arial"/>
          <w:sz w:val="10"/>
          <w:szCs w:val="10"/>
          <w:i w:val="1"/>
          <w:iCs w:val="1"/>
          <w:color w:val="auto"/>
        </w:rPr>
        <w:t>Barbie</w:t>
      </w:r>
      <w:r>
        <w:rPr>
          <w:rFonts w:ascii="Arial" w:cs="Arial" w:eastAsia="Arial" w:hAnsi="Arial"/>
          <w:sz w:val="10"/>
          <w:szCs w:val="10"/>
          <w:color w:val="auto"/>
        </w:rPr>
        <w:t xml:space="preserve"> and </w:t>
      </w:r>
      <w:r>
        <w:rPr>
          <w:rFonts w:ascii="Arial" w:cs="Arial" w:eastAsia="Arial" w:hAnsi="Arial"/>
          <w:sz w:val="10"/>
          <w:szCs w:val="10"/>
          <w:i w:val="1"/>
          <w:iCs w:val="1"/>
          <w:color w:val="auto"/>
        </w:rPr>
        <w:t>Oppenheimer</w:t>
      </w:r>
      <w:r>
        <w:rPr>
          <w:rFonts w:ascii="Arial" w:cs="Arial" w:eastAsia="Arial" w:hAnsi="Arial"/>
          <w:sz w:val="10"/>
          <w:szCs w:val="10"/>
          <w:color w:val="auto"/>
        </w:rPr>
        <w:t xml:space="preserve"> on July 21, 2023. This double feature drove audiences across the globe to the big screens to experience the cultural phenomenon referred to as “Barbenheimer”, resulting in a strong quarterly box office that outperformed that of Q3 2022. As of date of this report, Barbie has generated over $1.4 billion in worldwide grosses, making it 2023’s highest grossing global movie and the highest grossing opening weekend for a non-franchise film ever. Similarly, </w:t>
      </w:r>
      <w:r>
        <w:rPr>
          <w:rFonts w:ascii="Arial" w:cs="Arial" w:eastAsia="Arial" w:hAnsi="Arial"/>
          <w:sz w:val="10"/>
          <w:szCs w:val="10"/>
          <w:i w:val="1"/>
          <w:iCs w:val="1"/>
          <w:color w:val="auto"/>
        </w:rPr>
        <w:t>Oppenheimer</w:t>
      </w:r>
      <w:r>
        <w:rPr>
          <w:rFonts w:ascii="Arial" w:cs="Arial" w:eastAsia="Arial" w:hAnsi="Arial"/>
          <w:sz w:val="10"/>
          <w:szCs w:val="10"/>
          <w:color w:val="auto"/>
        </w:rPr>
        <w:t xml:space="preserve"> has generated over $948 million in worldwide grosses and as of the date of this report, it is the third highest grossing film of 2023.</w:t>
      </w:r>
    </w:p>
    <w:p>
      <w:pPr>
        <w:spacing w:after="0" w:line="84" w:lineRule="exact"/>
        <w:rPr>
          <w:sz w:val="20"/>
          <w:szCs w:val="20"/>
          <w:color w:val="auto"/>
        </w:rPr>
      </w:pPr>
    </w:p>
    <w:p>
      <w:pPr>
        <w:spacing w:after="0" w:line="230" w:lineRule="auto"/>
        <w:rPr>
          <w:sz w:val="20"/>
          <w:szCs w:val="20"/>
          <w:color w:val="auto"/>
        </w:rPr>
      </w:pPr>
      <w:r>
        <w:rPr>
          <w:rFonts w:ascii="Arial" w:cs="Arial" w:eastAsia="Arial" w:hAnsi="Arial"/>
          <w:sz w:val="10"/>
          <w:szCs w:val="10"/>
          <w:color w:val="auto"/>
        </w:rPr>
        <w:t xml:space="preserve">The simultaneous release of these two highly acclaimed films generated a surge of excitement among moviegoers that benefited the cinema industry and the summer film line up immensely. </w:t>
      </w:r>
      <w:r>
        <w:rPr>
          <w:rFonts w:ascii="Arial" w:cs="Arial" w:eastAsia="Arial" w:hAnsi="Arial"/>
          <w:sz w:val="10"/>
          <w:szCs w:val="10"/>
          <w:i w:val="1"/>
          <w:iCs w:val="1"/>
          <w:color w:val="auto"/>
        </w:rPr>
        <w:t>Sound of Freedom</w:t>
      </w:r>
      <w:r>
        <w:rPr>
          <w:rFonts w:ascii="Arial" w:cs="Arial" w:eastAsia="Arial" w:hAnsi="Arial"/>
          <w:sz w:val="10"/>
          <w:szCs w:val="10"/>
          <w:color w:val="auto"/>
        </w:rPr>
        <w:t xml:space="preserve">, which was considered this summer’s unlikely box office hit, has generated over $244 million in worldwide grosses, as of today, making it one of the most successful independent films of all time. After a 5-year franchise hiatus, </w:t>
      </w:r>
      <w:r>
        <w:rPr>
          <w:rFonts w:ascii="Arial" w:cs="Arial" w:eastAsia="Arial" w:hAnsi="Arial"/>
          <w:sz w:val="10"/>
          <w:szCs w:val="10"/>
          <w:i w:val="1"/>
          <w:iCs w:val="1"/>
          <w:color w:val="auto"/>
        </w:rPr>
        <w:t>Mission: Impossible – Dead Reckoning</w:t>
      </w:r>
      <w:r>
        <w:rPr>
          <w:rFonts w:ascii="Arial" w:cs="Arial" w:eastAsia="Arial" w:hAnsi="Arial"/>
          <w:sz w:val="10"/>
          <w:szCs w:val="10"/>
          <w:color w:val="auto"/>
        </w:rPr>
        <w:t xml:space="preserve"> has grossed over $567 million worldwide. Finishing off the summer season, </w:t>
      </w:r>
      <w:r>
        <w:rPr>
          <w:rFonts w:ascii="Arial" w:cs="Arial" w:eastAsia="Arial" w:hAnsi="Arial"/>
          <w:sz w:val="10"/>
          <w:szCs w:val="10"/>
          <w:i w:val="1"/>
          <w:iCs w:val="1"/>
          <w:color w:val="auto"/>
        </w:rPr>
        <w:t>Teenage Mutant Ninja Turtles: Mutant Mayhem</w:t>
      </w:r>
      <w:r>
        <w:rPr>
          <w:rFonts w:ascii="Arial" w:cs="Arial" w:eastAsia="Arial" w:hAnsi="Arial"/>
          <w:sz w:val="10"/>
          <w:szCs w:val="10"/>
          <w:color w:val="auto"/>
        </w:rPr>
        <w:t xml:space="preserve"> has become the first non-Disney, non-Universal, and non-Marvel superhero animated movie to make over $118 million domestically. As of the date of this report, it has grossed over $180 million worldwide.</w:t>
      </w:r>
    </w:p>
    <w:p>
      <w:pPr>
        <w:spacing w:after="0" w:line="88" w:lineRule="exact"/>
        <w:rPr>
          <w:sz w:val="20"/>
          <w:szCs w:val="20"/>
          <w:color w:val="auto"/>
        </w:rPr>
      </w:pPr>
    </w:p>
    <w:p>
      <w:pPr>
        <w:ind w:right="60"/>
        <w:spacing w:after="0" w:line="228" w:lineRule="auto"/>
        <w:rPr>
          <w:sz w:val="20"/>
          <w:szCs w:val="20"/>
          <w:color w:val="auto"/>
        </w:rPr>
      </w:pPr>
      <w:r>
        <w:rPr>
          <w:rFonts w:ascii="Arial" w:cs="Arial" w:eastAsia="Arial" w:hAnsi="Arial"/>
          <w:sz w:val="10"/>
          <w:szCs w:val="10"/>
          <w:color w:val="auto"/>
        </w:rPr>
        <w:t xml:space="preserve">The success of these films continues to support our confidence in the long-term viability of the global cinema business and reinforces the industry's resilience in the face of ongoing challenges such as labor shortages, supply chain constraints, and rising costs. The continued enthusiasm of patrons for the movie-going experience, along with the increased availability of compelling and unique film content, has been the driving force behind this success. We are confident that we will continue to build on this box office momentum as we head into the final quarter of the year with another exciting film line-up. Audiences can look forward to the release of </w:t>
      </w:r>
      <w:r>
        <w:rPr>
          <w:rFonts w:ascii="Arial" w:cs="Arial" w:eastAsia="Arial" w:hAnsi="Arial"/>
          <w:sz w:val="10"/>
          <w:szCs w:val="10"/>
          <w:i w:val="1"/>
          <w:iCs w:val="1"/>
          <w:color w:val="auto"/>
        </w:rPr>
        <w:t>Hunger Games: The Ballad of Songbirds and Snakes, Napoleon, Wish, Migration,</w:t>
      </w:r>
      <w:r>
        <w:rPr>
          <w:rFonts w:ascii="Arial" w:cs="Arial" w:eastAsia="Arial" w:hAnsi="Arial"/>
          <w:sz w:val="10"/>
          <w:szCs w:val="10"/>
          <w:color w:val="auto"/>
        </w:rPr>
        <w:t xml:space="preserve"> </w:t>
      </w:r>
      <w:r>
        <w:rPr>
          <w:rFonts w:ascii="Arial" w:cs="Arial" w:eastAsia="Arial" w:hAnsi="Arial"/>
          <w:sz w:val="10"/>
          <w:szCs w:val="10"/>
          <w:i w:val="1"/>
          <w:iCs w:val="1"/>
          <w:color w:val="auto"/>
        </w:rPr>
        <w:t>Wonka, The Color Purple</w:t>
      </w:r>
      <w:r>
        <w:rPr>
          <w:rFonts w:ascii="Arial" w:cs="Arial" w:eastAsia="Arial" w:hAnsi="Arial"/>
          <w:sz w:val="10"/>
          <w:szCs w:val="10"/>
          <w:color w:val="auto"/>
        </w:rPr>
        <w:t>, and</w:t>
      </w:r>
      <w:r>
        <w:rPr>
          <w:rFonts w:ascii="Arial" w:cs="Arial" w:eastAsia="Arial" w:hAnsi="Arial"/>
          <w:sz w:val="10"/>
          <w:szCs w:val="10"/>
          <w:i w:val="1"/>
          <w:iCs w:val="1"/>
          <w:color w:val="auto"/>
        </w:rPr>
        <w:t xml:space="preserve"> Aquaman and the Lost Kingdom.</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Real Estate Developments</w:t>
      </w:r>
    </w:p>
    <w:p>
      <w:pPr>
        <w:spacing w:after="0" w:line="101" w:lineRule="exact"/>
        <w:rPr>
          <w:sz w:val="20"/>
          <w:szCs w:val="20"/>
          <w:color w:val="auto"/>
        </w:rPr>
      </w:pPr>
    </w:p>
    <w:p>
      <w:pPr>
        <w:ind w:right="80"/>
        <w:spacing w:after="0" w:line="237" w:lineRule="auto"/>
        <w:rPr>
          <w:sz w:val="20"/>
          <w:szCs w:val="20"/>
          <w:color w:val="auto"/>
        </w:rPr>
      </w:pPr>
      <w:r>
        <w:rPr>
          <w:rFonts w:ascii="Arial" w:cs="Arial" w:eastAsia="Arial" w:hAnsi="Arial"/>
          <w:sz w:val="10"/>
          <w:szCs w:val="10"/>
          <w:color w:val="242424"/>
        </w:rPr>
        <w:t>In the United States, during the first quarter of 2022, we leased to Petco Animal Supplies Stores, Inc. (“Petco”), the cellar, ground floor, and second floor of our 44 Union Square property, representing approximately 42 percent of the leasable area of that building. Petco is in possession of the space and began paying cash rent in December 2022. Petco’s 44 Union Square flagship store opened on June 1, 2023.</w:t>
      </w:r>
    </w:p>
    <w:p>
      <w:pPr>
        <w:spacing w:after="0" w:line="88" w:lineRule="exact"/>
        <w:rPr>
          <w:sz w:val="20"/>
          <w:szCs w:val="20"/>
          <w:color w:val="auto"/>
        </w:rPr>
      </w:pPr>
    </w:p>
    <w:p>
      <w:pPr>
        <w:jc w:val="both"/>
        <w:ind w:right="220"/>
        <w:spacing w:after="0" w:line="231" w:lineRule="auto"/>
        <w:rPr>
          <w:sz w:val="20"/>
          <w:szCs w:val="20"/>
          <w:color w:val="auto"/>
        </w:rPr>
      </w:pPr>
      <w:r>
        <w:rPr>
          <w:rFonts w:ascii="Arial" w:cs="Arial" w:eastAsia="Arial" w:hAnsi="Arial"/>
          <w:sz w:val="10"/>
          <w:szCs w:val="10"/>
          <w:color w:val="242424"/>
        </w:rPr>
        <w:t>Our real estate team continues to work to secure one or more tenants for the remaining space at 44 Union Square. We believe that the pandemic’s impact on the office leasing market in New York City and the slow pace of the “return to office” effort in New York City have adversely impacted leasing opportunities and will continue to adversely impact our efforts to locate an office tenant for the space at 44 Union Square. As a result, we are currently exploring non-office and alternative uses for the remainder of the building. Should we obtain a tenant, we already have mortgage financing in place for this project to cover leasing and tenant improvement costs.</w:t>
      </w:r>
    </w:p>
    <w:p>
      <w:pPr>
        <w:spacing w:after="0" w:line="110" w:lineRule="exact"/>
        <w:rPr>
          <w:sz w:val="20"/>
          <w:szCs w:val="20"/>
          <w:color w:val="auto"/>
        </w:rPr>
      </w:pPr>
    </w:p>
    <w:p>
      <w:pPr>
        <w:ind w:right="60"/>
        <w:spacing w:after="0" w:line="231" w:lineRule="auto"/>
        <w:rPr>
          <w:sz w:val="20"/>
          <w:szCs w:val="20"/>
          <w:color w:val="auto"/>
        </w:rPr>
      </w:pPr>
      <w:r>
        <w:rPr>
          <w:rFonts w:ascii="Arial" w:cs="Arial" w:eastAsia="Arial" w:hAnsi="Arial"/>
          <w:sz w:val="10"/>
          <w:szCs w:val="10"/>
          <w:color w:val="242424"/>
        </w:rPr>
        <w:t>As of September 30, 2023, all of our tenants were currently open for business at our Australian and New Zealand properties (with the exception of two new tenants in Australia completing new fit outs). Most of the rentable retail portions of our Courtenay Central location in New Zealand continue to be closed due to seismic concerns, however one tenant remains open and trading. Furthermore, there is also one tenant trading on our Wakefield property. Our open land areas in Wellington are generating parking revenues.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BUSINESS OVERVIEW</w:t>
      </w:r>
    </w:p>
    <w:p>
      <w:pPr>
        <w:spacing w:after="0" w:line="101" w:lineRule="exact"/>
        <w:rPr>
          <w:sz w:val="20"/>
          <w:szCs w:val="20"/>
          <w:color w:val="auto"/>
        </w:rPr>
      </w:pPr>
    </w:p>
    <w:p>
      <w:pPr>
        <w:ind w:right="260"/>
        <w:spacing w:after="0" w:line="237" w:lineRule="auto"/>
        <w:rPr>
          <w:sz w:val="20"/>
          <w:szCs w:val="20"/>
          <w:color w:val="auto"/>
        </w:rPr>
      </w:pPr>
      <w:r>
        <w:rPr>
          <w:rFonts w:ascii="Arial" w:cs="Arial" w:eastAsia="Arial" w:hAnsi="Arial"/>
          <w:sz w:val="10"/>
          <w:szCs w:val="10"/>
          <w:color w:val="auto"/>
        </w:rPr>
        <w:t>We are an internationally diversified company principally focused on the development, ownership, and operation of entertainment and real estate assets in the United States, Australia, and New Zealand. Currently, we operate in two business segments: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0"/>
          <w:szCs w:val="10"/>
          <w:color w:val="auto"/>
        </w:rPr>
        <w:t>Cinema exhibition, through our 62 cinemas as of September 30, 2023.</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0"/>
          <w:szCs w:val="10"/>
          <w:color w:val="auto"/>
        </w:rPr>
        <w:t>Real estate, including real estate development and the rental of retail, commercial, and live theatre assets.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70" w:right="640" w:bottom="1440" w:gutter="0" w:footer="0" w:header="0"/>
        </w:sectPr>
      </w:pPr>
    </w:p>
    <w:bookmarkStart w:id="26" w:name="page27"/>
    <w:bookmarkEnd w:id="26"/>
    <w:p>
      <w:pPr>
        <w:jc w:val="both"/>
        <w:ind w:right="40"/>
        <w:spacing w:after="0" w:line="231" w:lineRule="auto"/>
        <w:rPr>
          <w:sz w:val="20"/>
          <w:szCs w:val="20"/>
          <w:color w:val="auto"/>
        </w:rPr>
      </w:pPr>
      <w:r>
        <w:rPr>
          <w:rFonts w:ascii="Arial" w:cs="Arial" w:eastAsia="Arial" w:hAnsi="Arial"/>
          <w:sz w:val="10"/>
          <w:szCs w:val="10"/>
          <w:color w:val="auto"/>
        </w:rPr>
        <w:t>We believe these two business segments complement and support one another. Prior to COVID-19, we used cash flows generated by our cinema operations to fund the front-end cash demands of our real estate development business. As a result of COVID-19, we relied more upon income from our real estate assets, and tapped into the imbedded value in those assets, to support our Company through the COVID-19 crisis. As COVID-19 impacts decrease, quality film product improves, and patrons return to our cinemas, we believe we will once again be able to rely on the cash flows generated by our cinema portfolio.</w:t>
      </w:r>
    </w:p>
    <w:p>
      <w:pPr>
        <w:spacing w:after="0" w:line="88" w:lineRule="exact"/>
        <w:rPr>
          <w:sz w:val="20"/>
          <w:szCs w:val="20"/>
          <w:color w:val="auto"/>
        </w:rPr>
      </w:pPr>
    </w:p>
    <w:p>
      <w:pPr>
        <w:ind w:right="20"/>
        <w:spacing w:after="0" w:line="231" w:lineRule="auto"/>
        <w:rPr>
          <w:sz w:val="20"/>
          <w:szCs w:val="20"/>
          <w:color w:val="auto"/>
        </w:rPr>
      </w:pPr>
      <w:r>
        <w:rPr>
          <w:rFonts w:ascii="Arial" w:cs="Arial" w:eastAsia="Arial" w:hAnsi="Arial"/>
          <w:sz w:val="10"/>
          <w:szCs w:val="10"/>
          <w:color w:val="auto"/>
        </w:rPr>
        <w:t>Despite the fact that our global cinema segment is improving at an income level, in light of our upcoming liquidity needs due to debt maturities, we have identified certain real estate assets to monetize to support our liquidity needs and will be exploring the monetization of other properties to the extent our liquidity needs require. We are steadfast in our belief that our two-pronged, diversified international business strategy will keep carrying our Company through these difficult times as we continue to navigate the uncertainty and challenges posed by the recent macroeconomic obstacles.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Key Performance Indicators</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Food and Beverage Spend Per Patron</w:t>
      </w:r>
    </w:p>
    <w:p>
      <w:pPr>
        <w:spacing w:after="0" w:line="101" w:lineRule="exact"/>
        <w:rPr>
          <w:sz w:val="20"/>
          <w:szCs w:val="20"/>
          <w:color w:val="auto"/>
        </w:rPr>
      </w:pPr>
    </w:p>
    <w:p>
      <w:pPr>
        <w:ind w:right="480"/>
        <w:spacing w:after="0" w:line="237" w:lineRule="auto"/>
        <w:rPr>
          <w:sz w:val="20"/>
          <w:szCs w:val="20"/>
          <w:color w:val="auto"/>
        </w:rPr>
      </w:pPr>
      <w:r>
        <w:rPr>
          <w:rFonts w:ascii="Arial" w:cs="Arial" w:eastAsia="Arial" w:hAnsi="Arial"/>
          <w:sz w:val="10"/>
          <w:szCs w:val="10"/>
          <w:color w:val="auto"/>
        </w:rPr>
        <w:t>A key performance indicator utilized by management in our cinema segment is Food and Beverage (“F&amp;B”) Spend Per Patron (“SPP”), which is calculated based on our total Food &amp; Beverage Revenues on a post-tax basis divided by our attendance during a specific period.</w:t>
      </w:r>
    </w:p>
    <w:p>
      <w:pPr>
        <w:spacing w:after="0" w:line="88" w:lineRule="exact"/>
        <w:rPr>
          <w:sz w:val="20"/>
          <w:szCs w:val="20"/>
          <w:color w:val="auto"/>
        </w:rPr>
      </w:pPr>
    </w:p>
    <w:p>
      <w:pPr>
        <w:ind w:right="80"/>
        <w:spacing w:after="0" w:line="254" w:lineRule="auto"/>
        <w:rPr>
          <w:sz w:val="20"/>
          <w:szCs w:val="20"/>
          <w:color w:val="auto"/>
        </w:rPr>
      </w:pPr>
      <w:r>
        <w:rPr>
          <w:rFonts w:ascii="Arial" w:cs="Arial" w:eastAsia="Arial" w:hAnsi="Arial"/>
          <w:sz w:val="9"/>
          <w:szCs w:val="9"/>
          <w:color w:val="auto"/>
        </w:rPr>
        <w:t>One of our strategic priorities has been to continue upgrading the food and beverage menu at several of our global cinemas. As of September 30, 2023, we have a total of 39 theater locations with elevated food and beverage menus (i.e. menus that are beyond traditional popcorn, soda, and candy). We use F&amp;B SPP as a measure of our food and beverage operational performance as compared to that of our competitors. Although the profitability of our food and beverage operations is influenced by numerous factors, including labor and cost of goods, F&amp;B SPP serves as an indicator of our ability to achieve consistent strong top-line performance. In addition, F&amp;B SPP highlights our ability to optimize revenue by effectively promoting and selling supplementary products to our customers during each visit. Moreover, this metric assists in evaluating how well we can differentiate our F&amp;B offerings from our competitors. Management in turn uses F&amp;B SPP to adjust food and beverage pricing strategies at our individual theaters, measure the effectiveness of promotional marketing initiatives, optimize menu offerings, and to ensure price barriers are not created for our attendance.</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Average Ticket Price Per Patron</w:t>
      </w:r>
    </w:p>
    <w:p>
      <w:pPr>
        <w:spacing w:after="0" w:line="101" w:lineRule="exact"/>
        <w:rPr>
          <w:sz w:val="20"/>
          <w:szCs w:val="20"/>
          <w:color w:val="auto"/>
        </w:rPr>
      </w:pPr>
    </w:p>
    <w:p>
      <w:pPr>
        <w:spacing w:after="0" w:line="228" w:lineRule="auto"/>
        <w:rPr>
          <w:sz w:val="20"/>
          <w:szCs w:val="20"/>
          <w:color w:val="auto"/>
        </w:rPr>
      </w:pPr>
      <w:r>
        <w:rPr>
          <w:rFonts w:ascii="Arial" w:cs="Arial" w:eastAsia="Arial" w:hAnsi="Arial"/>
          <w:sz w:val="10"/>
          <w:szCs w:val="10"/>
          <w:color w:val="auto"/>
        </w:rPr>
        <w:t>An additional key performance indicator utilized by management in our cinema segment is Average Ticket Price (“ATP”) Per Patron, which is calculated based on our total Box Office Revenues on a post-tax basis divided by our attendance during a specific period. ATP serves to measure our operational cinema performance when compared to that of our competitors. ATP is a useful metric for evaluating our ability to achieve a strong top line performance as we recover from the COVID-19 pandemic. In addition, ATP gauges the effectiveness of our cinemas’ pricing strategies and our ability to draw back audiences to our theaters. Management uses ATP to adjust and inform ticket pricing schemes for our individual theaters, measure the effectiveness of our content programming, and ensure that price barriers are not created for core guests.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Cinema Exhibition Overview</w:t>
      </w:r>
    </w:p>
    <w:p>
      <w:pPr>
        <w:spacing w:after="0" w:line="101" w:lineRule="exact"/>
        <w:rPr>
          <w:sz w:val="20"/>
          <w:szCs w:val="20"/>
          <w:color w:val="auto"/>
        </w:rPr>
      </w:pPr>
    </w:p>
    <w:p>
      <w:pPr>
        <w:jc w:val="right"/>
        <w:ind w:right="6000"/>
        <w:spacing w:after="0"/>
        <w:rPr>
          <w:sz w:val="20"/>
          <w:szCs w:val="20"/>
          <w:color w:val="auto"/>
        </w:rPr>
      </w:pPr>
      <w:r>
        <w:rPr>
          <w:rFonts w:ascii="Arial" w:cs="Arial" w:eastAsia="Arial" w:hAnsi="Arial"/>
          <w:sz w:val="9"/>
          <w:szCs w:val="9"/>
          <w:color w:val="auto"/>
        </w:rPr>
        <w:t>We operate our worldwide cinema exhibition businesses through various subsidiaries under various brands:</w:t>
      </w:r>
    </w:p>
    <w:p>
      <w:pPr>
        <w:spacing w:after="0" w:line="47" w:lineRule="exact"/>
        <w:rPr>
          <w:sz w:val="20"/>
          <w:szCs w:val="20"/>
          <w:color w:val="auto"/>
        </w:rPr>
      </w:pPr>
    </w:p>
    <w:p>
      <w:pPr>
        <w:jc w:val="right"/>
        <w:ind w:right="5960"/>
        <w:spacing w:after="0"/>
        <w:rPr>
          <w:sz w:val="20"/>
          <w:szCs w:val="20"/>
          <w:color w:val="auto"/>
        </w:rPr>
      </w:pPr>
      <w:r>
        <w:rPr>
          <w:rFonts w:ascii="Arial" w:cs="Arial" w:eastAsia="Arial" w:hAnsi="Arial"/>
          <w:sz w:val="10"/>
          <w:szCs w:val="10"/>
          <w:color w:val="auto"/>
        </w:rPr>
        <w:t>in the U.S., under the Reading Cinemas, Angelika Film Centers, and Consolidated Theatres brands.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0"/>
          <w:szCs w:val="10"/>
          <w:color w:val="auto"/>
        </w:rPr>
        <w:t>in Australia, under the Reading Cinemas, the State Cinema by Angelika, and for our one unconsolidated joint venture theatre, Event Cinemas brands.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0"/>
          <w:szCs w:val="10"/>
          <w:color w:val="auto"/>
        </w:rPr>
        <w:t>in New Zealand, under the Reading Cinemas and our two unconsolidated joint venture theatres, Rialto Cinemas brands.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565" w:right="640" w:bottom="1440" w:gutter="0" w:footer="0" w:header="0"/>
        </w:sectPr>
      </w:pPr>
    </w:p>
    <w:bookmarkStart w:id="27" w:name="page28"/>
    <w:bookmarkEnd w:id="27"/>
    <w:p>
      <w:pPr>
        <w:spacing w:after="0"/>
        <w:rPr>
          <w:sz w:val="20"/>
          <w:szCs w:val="20"/>
          <w:color w:val="auto"/>
        </w:rPr>
      </w:pPr>
      <w:r>
        <w:rPr>
          <w:rFonts w:ascii="Arial" w:cs="Arial" w:eastAsia="Arial" w:hAnsi="Arial"/>
          <w:sz w:val="10"/>
          <w:szCs w:val="10"/>
          <w:color w:val="auto"/>
        </w:rPr>
        <w:t>Shown in the following table are the number of locations and screens in our cinema circuit in each country, by state/territory/region, our cinema brands, and our interest in the underlying assets as of September 30,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40" w:type="dxa"/>
            <w:vAlign w:val="bottom"/>
            <w:vMerge w:val="restart"/>
          </w:tcPr>
          <w:p>
            <w:pPr>
              <w:ind w:left="540"/>
              <w:spacing w:after="0"/>
              <w:rPr>
                <w:sz w:val="20"/>
                <w:szCs w:val="20"/>
                <w:color w:val="auto"/>
              </w:rPr>
            </w:pPr>
            <w:r>
              <w:rPr>
                <w:rFonts w:ascii="Arial" w:cs="Arial" w:eastAsia="Arial" w:hAnsi="Arial"/>
                <w:sz w:val="8"/>
                <w:szCs w:val="8"/>
                <w:b w:val="1"/>
                <w:bCs w:val="1"/>
                <w:color w:val="auto"/>
              </w:rPr>
              <w:t>State / Territory /</w:t>
            </w:r>
          </w:p>
        </w:tc>
        <w:tc>
          <w:tcPr>
            <w:tcW w:w="160" w:type="dxa"/>
            <w:vAlign w:val="bottom"/>
          </w:tcPr>
          <w:p>
            <w:pPr>
              <w:spacing w:after="0"/>
              <w:rPr>
                <w:sz w:val="7"/>
                <w:szCs w:val="7"/>
                <w:color w:val="auto"/>
              </w:rPr>
            </w:pPr>
          </w:p>
        </w:tc>
        <w:tc>
          <w:tcPr>
            <w:tcW w:w="760" w:type="dxa"/>
            <w:vAlign w:val="bottom"/>
            <w:vMerge w:val="restart"/>
          </w:tcPr>
          <w:p>
            <w:pPr>
              <w:ind w:left="200"/>
              <w:spacing w:after="0"/>
              <w:rPr>
                <w:sz w:val="20"/>
                <w:szCs w:val="20"/>
                <w:color w:val="auto"/>
              </w:rPr>
            </w:pPr>
            <w:r>
              <w:rPr>
                <w:rFonts w:ascii="Arial" w:cs="Arial" w:eastAsia="Arial" w:hAnsi="Arial"/>
                <w:sz w:val="8"/>
                <w:szCs w:val="8"/>
                <w:b w:val="1"/>
                <w:bCs w:val="1"/>
                <w:color w:val="auto"/>
              </w:rPr>
              <w:t>Location</w:t>
            </w:r>
          </w:p>
        </w:tc>
        <w:tc>
          <w:tcPr>
            <w:tcW w:w="160" w:type="dxa"/>
            <w:vAlign w:val="bottom"/>
          </w:tcPr>
          <w:p>
            <w:pPr>
              <w:spacing w:after="0"/>
              <w:rPr>
                <w:sz w:val="7"/>
                <w:szCs w:val="7"/>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rPr>
              <w:t>Screen</w:t>
            </w:r>
          </w:p>
        </w:tc>
        <w:tc>
          <w:tcPr>
            <w:tcW w:w="1980" w:type="dxa"/>
            <w:vAlign w:val="bottom"/>
            <w:gridSpan w:val="4"/>
          </w:tcPr>
          <w:p>
            <w:pPr>
              <w:ind w:left="660"/>
              <w:spacing w:after="0"/>
              <w:rPr>
                <w:sz w:val="20"/>
                <w:szCs w:val="20"/>
                <w:color w:val="auto"/>
              </w:rPr>
            </w:pPr>
            <w:r>
              <w:rPr>
                <w:rFonts w:ascii="Arial" w:cs="Arial" w:eastAsia="Arial" w:hAnsi="Arial"/>
                <w:sz w:val="8"/>
                <w:szCs w:val="8"/>
                <w:b w:val="1"/>
                <w:bCs w:val="1"/>
                <w:color w:val="auto"/>
              </w:rPr>
              <w:t>Interest in Asset</w:t>
            </w:r>
          </w:p>
        </w:tc>
        <w:tc>
          <w:tcPr>
            <w:tcW w:w="16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80" w:type="dxa"/>
            <w:vAlign w:val="bottom"/>
            <w:tcBorders>
              <w:bottom w:val="single" w:sz="8" w:color="auto"/>
            </w:tcBorders>
            <w:gridSpan w:val="2"/>
          </w:tcPr>
          <w:p>
            <w:pPr>
              <w:ind w:left="540"/>
              <w:spacing w:after="0"/>
              <w:rPr>
                <w:sz w:val="20"/>
                <w:szCs w:val="20"/>
                <w:color w:val="auto"/>
              </w:rPr>
            </w:pPr>
            <w:r>
              <w:rPr>
                <w:rFonts w:ascii="Arial" w:cs="Arial" w:eastAsia="Arial" w:hAnsi="Arial"/>
                <w:sz w:val="8"/>
                <w:szCs w:val="8"/>
                <w:b w:val="1"/>
                <w:bCs w:val="1"/>
                <w:color w:val="auto"/>
              </w:rPr>
              <w:t>Underlying​</w:t>
            </w: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8"/>
                <w:szCs w:val="8"/>
                <w:b w:val="1"/>
                <w:bCs w:val="1"/>
                <w:color w:val="auto"/>
              </w:rPr>
              <w:t>the Cinema</w:t>
            </w:r>
          </w:p>
        </w:tc>
        <w:tc>
          <w:tcPr>
            <w:tcW w:w="1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480" w:type="dxa"/>
            <w:vAlign w:val="bottom"/>
          </w:tcPr>
          <w:p>
            <w:pPr>
              <w:ind w:left="580"/>
              <w:spacing w:after="0"/>
              <w:rPr>
                <w:sz w:val="20"/>
                <w:szCs w:val="20"/>
                <w:color w:val="auto"/>
              </w:rPr>
            </w:pPr>
            <w:r>
              <w:rPr>
                <w:rFonts w:ascii="Arial" w:cs="Arial" w:eastAsia="Arial" w:hAnsi="Arial"/>
                <w:sz w:val="8"/>
                <w:szCs w:val="8"/>
                <w:b w:val="1"/>
                <w:bCs w:val="1"/>
                <w:color w:val="auto"/>
              </w:rPr>
              <w:t>Country</w:t>
            </w:r>
          </w:p>
        </w:tc>
        <w:tc>
          <w:tcPr>
            <w:tcW w:w="160" w:type="dxa"/>
            <w:vAlign w:val="bottom"/>
          </w:tcPr>
          <w:p>
            <w:pPr>
              <w:spacing w:after="0"/>
              <w:rPr>
                <w:sz w:val="8"/>
                <w:szCs w:val="8"/>
                <w:color w:val="auto"/>
              </w:rPr>
            </w:pPr>
          </w:p>
        </w:tc>
        <w:tc>
          <w:tcPr>
            <w:tcW w:w="1740" w:type="dxa"/>
            <w:vAlign w:val="bottom"/>
          </w:tcPr>
          <w:p>
            <w:pPr>
              <w:ind w:left="720"/>
              <w:spacing w:after="0"/>
              <w:rPr>
                <w:sz w:val="20"/>
                <w:szCs w:val="20"/>
                <w:color w:val="auto"/>
              </w:rPr>
            </w:pPr>
            <w:r>
              <w:rPr>
                <w:rFonts w:ascii="Arial" w:cs="Arial" w:eastAsia="Arial" w:hAnsi="Arial"/>
                <w:sz w:val="8"/>
                <w:szCs w:val="8"/>
                <w:b w:val="1"/>
                <w:bCs w:val="1"/>
                <w:color w:val="auto"/>
              </w:rPr>
              <w:t>Region</w:t>
            </w:r>
          </w:p>
        </w:tc>
        <w:tc>
          <w:tcPr>
            <w:tcW w:w="160" w:type="dxa"/>
            <w:vAlign w:val="bottom"/>
          </w:tcPr>
          <w:p>
            <w:pPr>
              <w:spacing w:after="0"/>
              <w:rPr>
                <w:sz w:val="8"/>
                <w:szCs w:val="8"/>
                <w:color w:val="auto"/>
              </w:rPr>
            </w:pPr>
          </w:p>
        </w:tc>
        <w:tc>
          <w:tcPr>
            <w:tcW w:w="760" w:type="dxa"/>
            <w:vAlign w:val="bottom"/>
          </w:tcPr>
          <w:p>
            <w:pPr>
              <w:ind w:left="220"/>
              <w:spacing w:after="0" w:line="93" w:lineRule="exact"/>
              <w:rPr>
                <w:sz w:val="20"/>
                <w:szCs w:val="20"/>
                <w:color w:val="auto"/>
              </w:rPr>
            </w:pPr>
            <w:r>
              <w:rPr>
                <w:rFonts w:ascii="Arial" w:cs="Arial" w:eastAsia="Arial" w:hAnsi="Arial"/>
                <w:sz w:val="7"/>
                <w:szCs w:val="7"/>
                <w:b w:val="1"/>
                <w:bCs w:val="1"/>
                <w:color w:val="auto"/>
              </w:rPr>
              <w:t>Count</w:t>
            </w:r>
            <w:r>
              <w:rPr>
                <w:rFonts w:ascii="Arial" w:cs="Arial" w:eastAsia="Arial" w:hAnsi="Arial"/>
                <w:sz w:val="10"/>
                <w:szCs w:val="10"/>
                <w:b w:val="1"/>
                <w:bCs w:val="1"/>
                <w:color w:val="auto"/>
                <w:vertAlign w:val="superscript"/>
              </w:rPr>
              <w:t>(3)</w:t>
            </w:r>
          </w:p>
        </w:tc>
        <w:tc>
          <w:tcPr>
            <w:tcW w:w="160" w:type="dxa"/>
            <w:vAlign w:val="bottom"/>
          </w:tcPr>
          <w:p>
            <w:pPr>
              <w:spacing w:after="0"/>
              <w:rPr>
                <w:sz w:val="8"/>
                <w:szCs w:val="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Count</w:t>
            </w:r>
          </w:p>
        </w:tc>
        <w:tc>
          <w:tcPr>
            <w:tcW w:w="980" w:type="dxa"/>
            <w:vAlign w:val="bottom"/>
            <w:gridSpan w:val="2"/>
          </w:tcPr>
          <w:p>
            <w:pPr>
              <w:ind w:left="300"/>
              <w:spacing w:after="0"/>
              <w:rPr>
                <w:sz w:val="20"/>
                <w:szCs w:val="20"/>
                <w:color w:val="auto"/>
              </w:rPr>
            </w:pPr>
            <w:r>
              <w:rPr>
                <w:rFonts w:ascii="Arial" w:cs="Arial" w:eastAsia="Arial" w:hAnsi="Arial"/>
                <w:sz w:val="8"/>
                <w:szCs w:val="8"/>
                <w:b w:val="1"/>
                <w:bCs w:val="1"/>
                <w:color w:val="auto"/>
              </w:rPr>
              <w:t>Leased</w:t>
            </w:r>
          </w:p>
        </w:tc>
        <w:tc>
          <w:tcPr>
            <w:tcW w:w="80" w:type="dxa"/>
            <w:vAlign w:val="bottom"/>
          </w:tcPr>
          <w:p>
            <w:pPr>
              <w:spacing w:after="0"/>
              <w:rPr>
                <w:sz w:val="8"/>
                <w:szCs w:val="8"/>
                <w:color w:val="auto"/>
              </w:rPr>
            </w:pPr>
          </w:p>
        </w:tc>
        <w:tc>
          <w:tcPr>
            <w:tcW w:w="920" w:type="dxa"/>
            <w:vAlign w:val="bottom"/>
          </w:tcPr>
          <w:p>
            <w:pPr>
              <w:ind w:left="320"/>
              <w:spacing w:after="0"/>
              <w:rPr>
                <w:sz w:val="20"/>
                <w:szCs w:val="20"/>
                <w:color w:val="auto"/>
              </w:rPr>
            </w:pPr>
            <w:r>
              <w:rPr>
                <w:rFonts w:ascii="Arial" w:cs="Arial" w:eastAsia="Arial" w:hAnsi="Arial"/>
                <w:sz w:val="8"/>
                <w:szCs w:val="8"/>
                <w:b w:val="1"/>
                <w:bCs w:val="1"/>
                <w:color w:val="auto"/>
              </w:rPr>
              <w:t>Owned</w:t>
            </w:r>
          </w:p>
        </w:tc>
        <w:tc>
          <w:tcPr>
            <w:tcW w:w="160" w:type="dxa"/>
            <w:vAlign w:val="bottom"/>
          </w:tcPr>
          <w:p>
            <w:pPr>
              <w:spacing w:after="0"/>
              <w:rPr>
                <w:sz w:val="8"/>
                <w:szCs w:val="8"/>
                <w:color w:val="auto"/>
              </w:rPr>
            </w:pPr>
          </w:p>
        </w:tc>
        <w:tc>
          <w:tcPr>
            <w:tcW w:w="3080" w:type="dxa"/>
            <w:vAlign w:val="bottom"/>
          </w:tcPr>
          <w:p>
            <w:pPr>
              <w:ind w:left="1200"/>
              <w:spacing w:after="0"/>
              <w:rPr>
                <w:sz w:val="20"/>
                <w:szCs w:val="20"/>
                <w:color w:val="auto"/>
              </w:rPr>
            </w:pPr>
            <w:r>
              <w:rPr>
                <w:rFonts w:ascii="Arial" w:cs="Arial" w:eastAsia="Arial" w:hAnsi="Arial"/>
                <w:sz w:val="8"/>
                <w:szCs w:val="8"/>
                <w:b w:val="1"/>
                <w:bCs w:val="1"/>
                <w:color w:val="auto"/>
              </w:rPr>
              <w:t>Operating Brands</w:t>
            </w:r>
          </w:p>
        </w:tc>
        <w:tc>
          <w:tcPr>
            <w:tcW w:w="0" w:type="dxa"/>
            <w:vAlign w:val="bottom"/>
          </w:tcPr>
          <w:p>
            <w:pPr>
              <w:spacing w:after="0"/>
              <w:rPr>
                <w:sz w:val="1"/>
                <w:szCs w:val="1"/>
                <w:color w:val="auto"/>
              </w:rPr>
            </w:pPr>
          </w:p>
        </w:tc>
      </w:tr>
      <w:tr>
        <w:trPr>
          <w:trHeight w:val="78"/>
        </w:trPr>
        <w:tc>
          <w:tcPr>
            <w:tcW w:w="1480" w:type="dxa"/>
            <w:vAlign w:val="bottom"/>
            <w:tcBorders>
              <w:top w:val="single" w:sz="8" w:color="auto"/>
            </w:tcBorders>
            <w:shd w:val="clear" w:color="auto" w:fill="CCEEFF"/>
          </w:tcPr>
          <w:p>
            <w:pPr>
              <w:spacing w:after="0" w:line="78" w:lineRule="exact"/>
              <w:rPr>
                <w:sz w:val="20"/>
                <w:szCs w:val="20"/>
                <w:color w:val="auto"/>
              </w:rPr>
            </w:pPr>
            <w:r>
              <w:rPr>
                <w:rFonts w:ascii="Arial" w:cs="Arial" w:eastAsia="Arial" w:hAnsi="Arial"/>
                <w:sz w:val="8"/>
                <w:szCs w:val="8"/>
                <w:b w:val="1"/>
                <w:bCs w:val="1"/>
                <w:color w:val="auto"/>
              </w:rPr>
              <w:t>United States</w:t>
            </w:r>
          </w:p>
        </w:tc>
        <w:tc>
          <w:tcPr>
            <w:tcW w:w="16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auto"/>
            </w:tcBorders>
            <w:shd w:val="clear" w:color="auto" w:fill="CCEEFF"/>
          </w:tcPr>
          <w:p>
            <w:pPr>
              <w:spacing w:after="0" w:line="78" w:lineRule="exact"/>
              <w:rPr>
                <w:sz w:val="20"/>
                <w:szCs w:val="20"/>
                <w:color w:val="auto"/>
              </w:rPr>
            </w:pPr>
            <w:r>
              <w:rPr>
                <w:rFonts w:ascii="Arial" w:cs="Arial" w:eastAsia="Arial" w:hAnsi="Arial"/>
                <w:sz w:val="8"/>
                <w:szCs w:val="8"/>
                <w:color w:val="auto"/>
              </w:rPr>
              <w:t>Hawaii</w:t>
            </w:r>
          </w:p>
        </w:tc>
        <w:tc>
          <w:tcPr>
            <w:tcW w:w="1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jc w:val="center"/>
              <w:spacing w:after="0" w:line="78" w:lineRule="exact"/>
              <w:rPr>
                <w:sz w:val="20"/>
                <w:szCs w:val="20"/>
                <w:color w:val="auto"/>
              </w:rPr>
            </w:pPr>
            <w:r>
              <w:rPr>
                <w:rFonts w:ascii="Arial" w:cs="Arial" w:eastAsia="Arial" w:hAnsi="Arial"/>
                <w:sz w:val="8"/>
                <w:szCs w:val="8"/>
                <w:color w:val="auto"/>
                <w:w w:val="88"/>
              </w:rPr>
              <w:t>6</w:t>
            </w: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auto"/>
            </w:tcBorders>
            <w:shd w:val="clear" w:color="auto" w:fill="CCEEFF"/>
          </w:tcPr>
          <w:p>
            <w:pPr>
              <w:jc w:val="center"/>
              <w:spacing w:after="0" w:line="78" w:lineRule="exact"/>
              <w:rPr>
                <w:sz w:val="20"/>
                <w:szCs w:val="20"/>
                <w:color w:val="auto"/>
              </w:rPr>
            </w:pPr>
            <w:r>
              <w:rPr>
                <w:rFonts w:ascii="Arial" w:cs="Arial" w:eastAsia="Arial" w:hAnsi="Arial"/>
                <w:sz w:val="8"/>
                <w:szCs w:val="8"/>
                <w:color w:val="auto"/>
              </w:rPr>
              <w:t>74</w:t>
            </w:r>
          </w:p>
        </w:tc>
        <w:tc>
          <w:tcPr>
            <w:tcW w:w="16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auto"/>
            </w:tcBorders>
            <w:shd w:val="clear" w:color="auto" w:fill="CCEEFF"/>
          </w:tcPr>
          <w:p>
            <w:pPr>
              <w:jc w:val="center"/>
              <w:spacing w:after="0" w:line="78" w:lineRule="exact"/>
              <w:rPr>
                <w:sz w:val="20"/>
                <w:szCs w:val="20"/>
                <w:color w:val="auto"/>
              </w:rPr>
            </w:pPr>
            <w:r>
              <w:rPr>
                <w:rFonts w:ascii="Arial" w:cs="Arial" w:eastAsia="Arial" w:hAnsi="Arial"/>
                <w:sz w:val="8"/>
                <w:szCs w:val="8"/>
                <w:color w:val="auto"/>
              </w:rPr>
              <w:t>6</w:t>
            </w: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80" w:type="dxa"/>
            <w:vAlign w:val="bottom"/>
            <w:tcBorders>
              <w:top w:val="single" w:sz="8" w:color="auto"/>
            </w:tcBorders>
            <w:shd w:val="clear" w:color="auto" w:fill="CCEEFF"/>
          </w:tcPr>
          <w:p>
            <w:pPr>
              <w:spacing w:after="0" w:line="78" w:lineRule="exact"/>
              <w:rPr>
                <w:sz w:val="20"/>
                <w:szCs w:val="20"/>
                <w:color w:val="auto"/>
              </w:rPr>
            </w:pPr>
            <w:r>
              <w:rPr>
                <w:rFonts w:ascii="Arial" w:cs="Arial" w:eastAsia="Arial" w:hAnsi="Arial"/>
                <w:sz w:val="8"/>
                <w:szCs w:val="8"/>
                <w:color w:val="auto"/>
              </w:rPr>
              <w:t>Consolidated Theatres</w:t>
            </w:r>
          </w:p>
        </w:tc>
        <w:tc>
          <w:tcPr>
            <w:tcW w:w="0" w:type="dxa"/>
            <w:vAlign w:val="bottom"/>
          </w:tcPr>
          <w:p>
            <w:pPr>
              <w:spacing w:after="0"/>
              <w:rPr>
                <w:sz w:val="1"/>
                <w:szCs w:val="1"/>
                <w:color w:val="auto"/>
              </w:rPr>
            </w:pPr>
          </w:p>
        </w:tc>
      </w:tr>
      <w:tr>
        <w:trPr>
          <w:trHeight w:val="83"/>
        </w:trPr>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40" w:type="dxa"/>
            <w:vAlign w:val="bottom"/>
          </w:tcPr>
          <w:p>
            <w:pPr>
              <w:spacing w:after="0" w:line="83" w:lineRule="exact"/>
              <w:rPr>
                <w:sz w:val="20"/>
                <w:szCs w:val="20"/>
                <w:color w:val="auto"/>
              </w:rPr>
            </w:pPr>
            <w:r>
              <w:rPr>
                <w:rFonts w:ascii="Arial" w:cs="Arial" w:eastAsia="Arial" w:hAnsi="Arial"/>
                <w:sz w:val="8"/>
                <w:szCs w:val="8"/>
                <w:color w:val="auto"/>
              </w:rPr>
              <w:t>California</w:t>
            </w:r>
          </w:p>
        </w:tc>
        <w:tc>
          <w:tcPr>
            <w:tcW w:w="920" w:type="dxa"/>
            <w:vAlign w:val="bottom"/>
            <w:gridSpan w:val="2"/>
          </w:tcPr>
          <w:p>
            <w:pPr>
              <w:jc w:val="center"/>
              <w:ind w:left="119"/>
              <w:spacing w:after="0" w:line="83" w:lineRule="exact"/>
              <w:rPr>
                <w:sz w:val="20"/>
                <w:szCs w:val="20"/>
                <w:color w:val="auto"/>
              </w:rPr>
            </w:pPr>
            <w:r>
              <w:rPr>
                <w:rFonts w:ascii="Arial" w:cs="Arial" w:eastAsia="Arial" w:hAnsi="Arial"/>
                <w:sz w:val="8"/>
                <w:szCs w:val="8"/>
                <w:color w:val="auto"/>
                <w:w w:val="88"/>
              </w:rPr>
              <w:t>7</w:t>
            </w:r>
          </w:p>
        </w:tc>
        <w:tc>
          <w:tcPr>
            <w:tcW w:w="940" w:type="dxa"/>
            <w:vAlign w:val="bottom"/>
            <w:gridSpan w:val="2"/>
          </w:tcPr>
          <w:p>
            <w:pPr>
              <w:jc w:val="center"/>
              <w:ind w:left="119"/>
              <w:spacing w:after="0" w:line="83" w:lineRule="exact"/>
              <w:rPr>
                <w:sz w:val="20"/>
                <w:szCs w:val="20"/>
                <w:color w:val="auto"/>
              </w:rPr>
            </w:pPr>
            <w:r>
              <w:rPr>
                <w:rFonts w:ascii="Arial" w:cs="Arial" w:eastAsia="Arial" w:hAnsi="Arial"/>
                <w:sz w:val="8"/>
                <w:szCs w:val="8"/>
                <w:color w:val="auto"/>
              </w:rPr>
              <w:t>88</w:t>
            </w:r>
          </w:p>
        </w:tc>
        <w:tc>
          <w:tcPr>
            <w:tcW w:w="160" w:type="dxa"/>
            <w:vAlign w:val="bottom"/>
          </w:tcPr>
          <w:p>
            <w:pPr>
              <w:spacing w:after="0"/>
              <w:rPr>
                <w:sz w:val="7"/>
                <w:szCs w:val="7"/>
                <w:color w:val="auto"/>
              </w:rPr>
            </w:pPr>
          </w:p>
        </w:tc>
        <w:tc>
          <w:tcPr>
            <w:tcW w:w="900" w:type="dxa"/>
            <w:vAlign w:val="bottom"/>
          </w:tcPr>
          <w:p>
            <w:pPr>
              <w:jc w:val="center"/>
              <w:spacing w:after="0" w:line="83" w:lineRule="exact"/>
              <w:rPr>
                <w:sz w:val="20"/>
                <w:szCs w:val="20"/>
                <w:color w:val="auto"/>
              </w:rPr>
            </w:pPr>
            <w:r>
              <w:rPr>
                <w:rFonts w:ascii="Arial" w:cs="Arial" w:eastAsia="Arial" w:hAnsi="Arial"/>
                <w:sz w:val="8"/>
                <w:szCs w:val="8"/>
                <w:color w:val="auto"/>
              </w:rPr>
              <w:t>7</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80" w:type="dxa"/>
            <w:vAlign w:val="bottom"/>
          </w:tcPr>
          <w:p>
            <w:pPr>
              <w:spacing w:after="0" w:line="83" w:lineRule="exact"/>
              <w:rPr>
                <w:sz w:val="20"/>
                <w:szCs w:val="20"/>
                <w:color w:val="auto"/>
              </w:rPr>
            </w:pPr>
            <w:r>
              <w:rPr>
                <w:rFonts w:ascii="Arial" w:cs="Arial" w:eastAsia="Arial" w:hAnsi="Arial"/>
                <w:sz w:val="8"/>
                <w:szCs w:val="8"/>
                <w:color w:val="auto"/>
              </w:rPr>
              <w:t>Reading Cinemas, Angelika Film Center</w:t>
            </w:r>
          </w:p>
        </w:tc>
        <w:tc>
          <w:tcPr>
            <w:tcW w:w="0" w:type="dxa"/>
            <w:vAlign w:val="bottom"/>
          </w:tcPr>
          <w:p>
            <w:pPr>
              <w:spacing w:after="0"/>
              <w:rPr>
                <w:sz w:val="1"/>
                <w:szCs w:val="1"/>
                <w:color w:val="auto"/>
              </w:rPr>
            </w:pPr>
          </w:p>
        </w:tc>
      </w:tr>
      <w:tr>
        <w:trPr>
          <w:trHeight w:val="83"/>
        </w:trPr>
        <w:tc>
          <w:tcPr>
            <w:tcW w:w="1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740" w:type="dxa"/>
            <w:vAlign w:val="bottom"/>
            <w:shd w:val="clear" w:color="auto" w:fill="CCEEFF"/>
          </w:tcPr>
          <w:p>
            <w:pPr>
              <w:spacing w:after="0" w:line="83" w:lineRule="exact"/>
              <w:rPr>
                <w:sz w:val="20"/>
                <w:szCs w:val="20"/>
                <w:color w:val="auto"/>
              </w:rPr>
            </w:pPr>
            <w:r>
              <w:rPr>
                <w:rFonts w:ascii="Arial" w:cs="Arial" w:eastAsia="Arial" w:hAnsi="Arial"/>
                <w:sz w:val="8"/>
                <w:szCs w:val="8"/>
                <w:color w:val="auto"/>
              </w:rPr>
              <w:t>New York</w:t>
            </w:r>
          </w:p>
        </w:tc>
        <w:tc>
          <w:tcPr>
            <w:tcW w:w="920" w:type="dxa"/>
            <w:vAlign w:val="bottom"/>
            <w:gridSpan w:val="2"/>
            <w:shd w:val="clear" w:color="auto" w:fill="CCEEFF"/>
          </w:tcPr>
          <w:p>
            <w:pPr>
              <w:jc w:val="center"/>
              <w:ind w:left="119"/>
              <w:spacing w:after="0" w:line="83" w:lineRule="exact"/>
              <w:rPr>
                <w:sz w:val="20"/>
                <w:szCs w:val="20"/>
                <w:color w:val="auto"/>
              </w:rPr>
            </w:pPr>
            <w:r>
              <w:rPr>
                <w:rFonts w:ascii="Arial" w:cs="Arial" w:eastAsia="Arial" w:hAnsi="Arial"/>
                <w:sz w:val="8"/>
                <w:szCs w:val="8"/>
                <w:color w:val="auto"/>
                <w:w w:val="88"/>
              </w:rPr>
              <w:t>3</w:t>
            </w:r>
          </w:p>
        </w:tc>
        <w:tc>
          <w:tcPr>
            <w:tcW w:w="940" w:type="dxa"/>
            <w:vAlign w:val="bottom"/>
            <w:gridSpan w:val="2"/>
            <w:shd w:val="clear" w:color="auto" w:fill="CCEEFF"/>
          </w:tcPr>
          <w:p>
            <w:pPr>
              <w:jc w:val="center"/>
              <w:ind w:left="119"/>
              <w:spacing w:after="0" w:line="83" w:lineRule="exact"/>
              <w:rPr>
                <w:sz w:val="20"/>
                <w:szCs w:val="20"/>
                <w:color w:val="auto"/>
              </w:rPr>
            </w:pPr>
            <w:r>
              <w:rPr>
                <w:rFonts w:ascii="Arial" w:cs="Arial" w:eastAsia="Arial" w:hAnsi="Arial"/>
                <w:sz w:val="8"/>
                <w:szCs w:val="8"/>
                <w:color w:val="auto"/>
              </w:rPr>
              <w:t>16</w:t>
            </w:r>
          </w:p>
        </w:tc>
        <w:tc>
          <w:tcPr>
            <w:tcW w:w="160" w:type="dxa"/>
            <w:vAlign w:val="bottom"/>
            <w:shd w:val="clear" w:color="auto" w:fill="CCEEFF"/>
          </w:tcPr>
          <w:p>
            <w:pPr>
              <w:spacing w:after="0"/>
              <w:rPr>
                <w:sz w:val="7"/>
                <w:szCs w:val="7"/>
                <w:color w:val="auto"/>
              </w:rPr>
            </w:pPr>
          </w:p>
        </w:tc>
        <w:tc>
          <w:tcPr>
            <w:tcW w:w="900" w:type="dxa"/>
            <w:vAlign w:val="bottom"/>
            <w:shd w:val="clear" w:color="auto" w:fill="CCEEFF"/>
          </w:tcPr>
          <w:p>
            <w:pPr>
              <w:jc w:val="center"/>
              <w:spacing w:after="0" w:line="83" w:lineRule="exact"/>
              <w:rPr>
                <w:sz w:val="20"/>
                <w:szCs w:val="20"/>
                <w:color w:val="auto"/>
              </w:rPr>
            </w:pPr>
            <w:r>
              <w:rPr>
                <w:rFonts w:ascii="Arial" w:cs="Arial" w:eastAsia="Arial" w:hAnsi="Arial"/>
                <w:sz w:val="8"/>
                <w:szCs w:val="8"/>
                <w:color w:val="auto"/>
              </w:rPr>
              <w:t>2</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center"/>
              <w:ind w:left="39"/>
              <w:spacing w:after="0" w:line="83" w:lineRule="exact"/>
              <w:rPr>
                <w:sz w:val="20"/>
                <w:szCs w:val="20"/>
                <w:color w:val="auto"/>
              </w:rPr>
            </w:pPr>
            <w:r>
              <w:rPr>
                <w:rFonts w:ascii="Arial" w:cs="Arial" w:eastAsia="Arial" w:hAnsi="Arial"/>
                <w:sz w:val="8"/>
                <w:szCs w:val="8"/>
                <w:color w:val="auto"/>
                <w:w w:val="88"/>
              </w:rPr>
              <w:t>1</w:t>
            </w:r>
          </w:p>
        </w:tc>
        <w:tc>
          <w:tcPr>
            <w:tcW w:w="160" w:type="dxa"/>
            <w:vAlign w:val="bottom"/>
            <w:shd w:val="clear" w:color="auto" w:fill="CCEEFF"/>
          </w:tcPr>
          <w:p>
            <w:pPr>
              <w:spacing w:after="0"/>
              <w:rPr>
                <w:sz w:val="7"/>
                <w:szCs w:val="7"/>
                <w:color w:val="auto"/>
              </w:rPr>
            </w:pPr>
          </w:p>
        </w:tc>
        <w:tc>
          <w:tcPr>
            <w:tcW w:w="3080" w:type="dxa"/>
            <w:vAlign w:val="bottom"/>
            <w:shd w:val="clear" w:color="auto" w:fill="CCEEFF"/>
          </w:tcPr>
          <w:p>
            <w:pPr>
              <w:spacing w:after="0" w:line="83" w:lineRule="exact"/>
              <w:rPr>
                <w:sz w:val="20"/>
                <w:szCs w:val="20"/>
                <w:color w:val="auto"/>
              </w:rPr>
            </w:pPr>
            <w:r>
              <w:rPr>
                <w:rFonts w:ascii="Arial" w:cs="Arial" w:eastAsia="Arial" w:hAnsi="Arial"/>
                <w:sz w:val="8"/>
                <w:szCs w:val="8"/>
                <w:color w:val="auto"/>
              </w:rPr>
              <w:t>Angelika Film Center</w:t>
            </w:r>
          </w:p>
        </w:tc>
        <w:tc>
          <w:tcPr>
            <w:tcW w:w="0" w:type="dxa"/>
            <w:vAlign w:val="bottom"/>
          </w:tcPr>
          <w:p>
            <w:pPr>
              <w:spacing w:after="0"/>
              <w:rPr>
                <w:sz w:val="1"/>
                <w:szCs w:val="1"/>
                <w:color w:val="auto"/>
              </w:rPr>
            </w:pPr>
          </w:p>
        </w:tc>
      </w:tr>
      <w:tr>
        <w:trPr>
          <w:trHeight w:val="83"/>
        </w:trPr>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40" w:type="dxa"/>
            <w:vAlign w:val="bottom"/>
          </w:tcPr>
          <w:p>
            <w:pPr>
              <w:spacing w:after="0" w:line="83" w:lineRule="exact"/>
              <w:rPr>
                <w:sz w:val="20"/>
                <w:szCs w:val="20"/>
                <w:color w:val="auto"/>
              </w:rPr>
            </w:pPr>
            <w:r>
              <w:rPr>
                <w:rFonts w:ascii="Arial" w:cs="Arial" w:eastAsia="Arial" w:hAnsi="Arial"/>
                <w:sz w:val="8"/>
                <w:szCs w:val="8"/>
                <w:color w:val="auto"/>
              </w:rPr>
              <w:t>Texas</w:t>
            </w:r>
          </w:p>
        </w:tc>
        <w:tc>
          <w:tcPr>
            <w:tcW w:w="920" w:type="dxa"/>
            <w:vAlign w:val="bottom"/>
            <w:gridSpan w:val="2"/>
          </w:tcPr>
          <w:p>
            <w:pPr>
              <w:jc w:val="center"/>
              <w:ind w:left="119"/>
              <w:spacing w:after="0" w:line="83" w:lineRule="exact"/>
              <w:rPr>
                <w:sz w:val="20"/>
                <w:szCs w:val="20"/>
                <w:color w:val="auto"/>
              </w:rPr>
            </w:pPr>
            <w:r>
              <w:rPr>
                <w:rFonts w:ascii="Arial" w:cs="Arial" w:eastAsia="Arial" w:hAnsi="Arial"/>
                <w:sz w:val="8"/>
                <w:szCs w:val="8"/>
                <w:color w:val="auto"/>
                <w:w w:val="88"/>
              </w:rPr>
              <w:t>2</w:t>
            </w:r>
          </w:p>
        </w:tc>
        <w:tc>
          <w:tcPr>
            <w:tcW w:w="940" w:type="dxa"/>
            <w:vAlign w:val="bottom"/>
            <w:gridSpan w:val="2"/>
          </w:tcPr>
          <w:p>
            <w:pPr>
              <w:jc w:val="center"/>
              <w:ind w:left="119"/>
              <w:spacing w:after="0" w:line="83" w:lineRule="exact"/>
              <w:rPr>
                <w:sz w:val="20"/>
                <w:szCs w:val="20"/>
                <w:color w:val="auto"/>
              </w:rPr>
            </w:pPr>
            <w:r>
              <w:rPr>
                <w:rFonts w:ascii="Arial" w:cs="Arial" w:eastAsia="Arial" w:hAnsi="Arial"/>
                <w:sz w:val="8"/>
                <w:szCs w:val="8"/>
                <w:color w:val="auto"/>
              </w:rPr>
              <w:t>13</w:t>
            </w:r>
          </w:p>
        </w:tc>
        <w:tc>
          <w:tcPr>
            <w:tcW w:w="160" w:type="dxa"/>
            <w:vAlign w:val="bottom"/>
          </w:tcPr>
          <w:p>
            <w:pPr>
              <w:spacing w:after="0"/>
              <w:rPr>
                <w:sz w:val="7"/>
                <w:szCs w:val="7"/>
                <w:color w:val="auto"/>
              </w:rPr>
            </w:pPr>
          </w:p>
        </w:tc>
        <w:tc>
          <w:tcPr>
            <w:tcW w:w="900" w:type="dxa"/>
            <w:vAlign w:val="bottom"/>
          </w:tcPr>
          <w:p>
            <w:pPr>
              <w:jc w:val="center"/>
              <w:spacing w:after="0" w:line="83" w:lineRule="exact"/>
              <w:rPr>
                <w:sz w:val="20"/>
                <w:szCs w:val="20"/>
                <w:color w:val="auto"/>
              </w:rPr>
            </w:pPr>
            <w:r>
              <w:rPr>
                <w:rFonts w:ascii="Arial" w:cs="Arial" w:eastAsia="Arial" w:hAnsi="Arial"/>
                <w:sz w:val="8"/>
                <w:szCs w:val="8"/>
                <w:color w:val="auto"/>
              </w:rPr>
              <w:t>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80" w:type="dxa"/>
            <w:vAlign w:val="bottom"/>
          </w:tcPr>
          <w:p>
            <w:pPr>
              <w:spacing w:after="0" w:line="83" w:lineRule="exact"/>
              <w:rPr>
                <w:sz w:val="20"/>
                <w:szCs w:val="20"/>
                <w:color w:val="auto"/>
              </w:rPr>
            </w:pPr>
            <w:r>
              <w:rPr>
                <w:rFonts w:ascii="Arial" w:cs="Arial" w:eastAsia="Arial" w:hAnsi="Arial"/>
                <w:sz w:val="8"/>
                <w:szCs w:val="8"/>
                <w:color w:val="auto"/>
              </w:rPr>
              <w:t>Angelika Film Center</w:t>
            </w:r>
          </w:p>
        </w:tc>
        <w:tc>
          <w:tcPr>
            <w:tcW w:w="0" w:type="dxa"/>
            <w:vAlign w:val="bottom"/>
          </w:tcPr>
          <w:p>
            <w:pPr>
              <w:spacing w:after="0"/>
              <w:rPr>
                <w:sz w:val="1"/>
                <w:szCs w:val="1"/>
                <w:color w:val="auto"/>
              </w:rPr>
            </w:pPr>
          </w:p>
        </w:tc>
      </w:tr>
      <w:tr>
        <w:trPr>
          <w:trHeight w:val="83"/>
        </w:trPr>
        <w:tc>
          <w:tcPr>
            <w:tcW w:w="1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740" w:type="dxa"/>
            <w:vAlign w:val="bottom"/>
            <w:shd w:val="clear" w:color="auto" w:fill="CCEEFF"/>
          </w:tcPr>
          <w:p>
            <w:pPr>
              <w:spacing w:after="0" w:line="83" w:lineRule="exact"/>
              <w:rPr>
                <w:sz w:val="20"/>
                <w:szCs w:val="20"/>
                <w:color w:val="auto"/>
              </w:rPr>
            </w:pPr>
            <w:r>
              <w:rPr>
                <w:rFonts w:ascii="Arial" w:cs="Arial" w:eastAsia="Arial" w:hAnsi="Arial"/>
                <w:sz w:val="8"/>
                <w:szCs w:val="8"/>
                <w:color w:val="auto"/>
              </w:rPr>
              <w:t>New Jersey</w:t>
            </w:r>
          </w:p>
        </w:tc>
        <w:tc>
          <w:tcPr>
            <w:tcW w:w="920" w:type="dxa"/>
            <w:vAlign w:val="bottom"/>
            <w:gridSpan w:val="2"/>
            <w:shd w:val="clear" w:color="auto" w:fill="CCEEFF"/>
          </w:tcPr>
          <w:p>
            <w:pPr>
              <w:jc w:val="center"/>
              <w:ind w:left="119"/>
              <w:spacing w:after="0" w:line="83" w:lineRule="exact"/>
              <w:rPr>
                <w:sz w:val="20"/>
                <w:szCs w:val="20"/>
                <w:color w:val="auto"/>
              </w:rPr>
            </w:pPr>
            <w:r>
              <w:rPr>
                <w:rFonts w:ascii="Arial" w:cs="Arial" w:eastAsia="Arial" w:hAnsi="Arial"/>
                <w:sz w:val="8"/>
                <w:szCs w:val="8"/>
                <w:color w:val="auto"/>
                <w:w w:val="88"/>
              </w:rPr>
              <w:t>1</w:t>
            </w:r>
          </w:p>
        </w:tc>
        <w:tc>
          <w:tcPr>
            <w:tcW w:w="940" w:type="dxa"/>
            <w:vAlign w:val="bottom"/>
            <w:gridSpan w:val="2"/>
            <w:shd w:val="clear" w:color="auto" w:fill="CCEEFF"/>
          </w:tcPr>
          <w:p>
            <w:pPr>
              <w:jc w:val="center"/>
              <w:ind w:left="119"/>
              <w:spacing w:after="0" w:line="83" w:lineRule="exact"/>
              <w:rPr>
                <w:sz w:val="20"/>
                <w:szCs w:val="20"/>
                <w:color w:val="auto"/>
              </w:rPr>
            </w:pPr>
            <w:r>
              <w:rPr>
                <w:rFonts w:ascii="Arial" w:cs="Arial" w:eastAsia="Arial" w:hAnsi="Arial"/>
                <w:sz w:val="8"/>
                <w:szCs w:val="8"/>
                <w:color w:val="auto"/>
              </w:rPr>
              <w:t>12</w:t>
            </w:r>
          </w:p>
        </w:tc>
        <w:tc>
          <w:tcPr>
            <w:tcW w:w="160" w:type="dxa"/>
            <w:vAlign w:val="bottom"/>
            <w:shd w:val="clear" w:color="auto" w:fill="CCEEFF"/>
          </w:tcPr>
          <w:p>
            <w:pPr>
              <w:spacing w:after="0"/>
              <w:rPr>
                <w:sz w:val="7"/>
                <w:szCs w:val="7"/>
                <w:color w:val="auto"/>
              </w:rPr>
            </w:pPr>
          </w:p>
        </w:tc>
        <w:tc>
          <w:tcPr>
            <w:tcW w:w="900" w:type="dxa"/>
            <w:vAlign w:val="bottom"/>
            <w:shd w:val="clear" w:color="auto" w:fill="CCEEFF"/>
          </w:tcPr>
          <w:p>
            <w:pPr>
              <w:jc w:val="center"/>
              <w:spacing w:after="0" w:line="83" w:lineRule="exact"/>
              <w:rPr>
                <w:sz w:val="20"/>
                <w:szCs w:val="20"/>
                <w:color w:val="auto"/>
              </w:rPr>
            </w:pPr>
            <w:r>
              <w:rPr>
                <w:rFonts w:ascii="Arial" w:cs="Arial" w:eastAsia="Arial" w:hAnsi="Arial"/>
                <w:sz w:val="8"/>
                <w:szCs w:val="8"/>
                <w:color w:val="auto"/>
              </w:rPr>
              <w:t>1</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080" w:type="dxa"/>
            <w:vAlign w:val="bottom"/>
            <w:shd w:val="clear" w:color="auto" w:fill="CCEEFF"/>
          </w:tcPr>
          <w:p>
            <w:pPr>
              <w:spacing w:after="0" w:line="83" w:lineRule="exact"/>
              <w:rPr>
                <w:sz w:val="20"/>
                <w:szCs w:val="20"/>
                <w:color w:val="auto"/>
              </w:rPr>
            </w:pPr>
            <w:r>
              <w:rPr>
                <w:rFonts w:ascii="Arial" w:cs="Arial" w:eastAsia="Arial" w:hAnsi="Arial"/>
                <w:sz w:val="8"/>
                <w:szCs w:val="8"/>
                <w:color w:val="auto"/>
              </w:rPr>
              <w:t>Reading Cinemas</w:t>
            </w:r>
          </w:p>
        </w:tc>
        <w:tc>
          <w:tcPr>
            <w:tcW w:w="0" w:type="dxa"/>
            <w:vAlign w:val="bottom"/>
          </w:tcPr>
          <w:p>
            <w:pPr>
              <w:spacing w:after="0"/>
              <w:rPr>
                <w:sz w:val="1"/>
                <w:szCs w:val="1"/>
                <w:color w:val="auto"/>
              </w:rPr>
            </w:pPr>
          </w:p>
        </w:tc>
      </w:tr>
      <w:tr>
        <w:trPr>
          <w:trHeight w:val="83"/>
        </w:trPr>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40" w:type="dxa"/>
            <w:vAlign w:val="bottom"/>
          </w:tcPr>
          <w:p>
            <w:pPr>
              <w:spacing w:after="0" w:line="83" w:lineRule="exact"/>
              <w:rPr>
                <w:sz w:val="20"/>
                <w:szCs w:val="20"/>
                <w:color w:val="auto"/>
              </w:rPr>
            </w:pPr>
            <w:r>
              <w:rPr>
                <w:rFonts w:ascii="Arial" w:cs="Arial" w:eastAsia="Arial" w:hAnsi="Arial"/>
                <w:sz w:val="8"/>
                <w:szCs w:val="8"/>
                <w:color w:val="auto"/>
              </w:rPr>
              <w:t>Virginia</w:t>
            </w:r>
          </w:p>
        </w:tc>
        <w:tc>
          <w:tcPr>
            <w:tcW w:w="920" w:type="dxa"/>
            <w:vAlign w:val="bottom"/>
            <w:gridSpan w:val="2"/>
          </w:tcPr>
          <w:p>
            <w:pPr>
              <w:jc w:val="center"/>
              <w:ind w:left="119"/>
              <w:spacing w:after="0" w:line="83" w:lineRule="exact"/>
              <w:rPr>
                <w:sz w:val="20"/>
                <w:szCs w:val="20"/>
                <w:color w:val="auto"/>
              </w:rPr>
            </w:pPr>
            <w:r>
              <w:rPr>
                <w:rFonts w:ascii="Arial" w:cs="Arial" w:eastAsia="Arial" w:hAnsi="Arial"/>
                <w:sz w:val="8"/>
                <w:szCs w:val="8"/>
                <w:color w:val="auto"/>
                <w:w w:val="88"/>
              </w:rPr>
              <w:t>1</w:t>
            </w:r>
          </w:p>
        </w:tc>
        <w:tc>
          <w:tcPr>
            <w:tcW w:w="940" w:type="dxa"/>
            <w:vAlign w:val="bottom"/>
            <w:gridSpan w:val="2"/>
          </w:tcPr>
          <w:p>
            <w:pPr>
              <w:jc w:val="center"/>
              <w:ind w:left="99"/>
              <w:spacing w:after="0" w:line="83" w:lineRule="exact"/>
              <w:rPr>
                <w:sz w:val="20"/>
                <w:szCs w:val="20"/>
                <w:color w:val="auto"/>
              </w:rPr>
            </w:pPr>
            <w:r>
              <w:rPr>
                <w:rFonts w:ascii="Arial" w:cs="Arial" w:eastAsia="Arial" w:hAnsi="Arial"/>
                <w:sz w:val="8"/>
                <w:szCs w:val="8"/>
                <w:color w:val="auto"/>
                <w:w w:val="88"/>
              </w:rPr>
              <w:t>8</w:t>
            </w:r>
          </w:p>
        </w:tc>
        <w:tc>
          <w:tcPr>
            <w:tcW w:w="160" w:type="dxa"/>
            <w:vAlign w:val="bottom"/>
          </w:tcPr>
          <w:p>
            <w:pPr>
              <w:spacing w:after="0"/>
              <w:rPr>
                <w:sz w:val="7"/>
                <w:szCs w:val="7"/>
                <w:color w:val="auto"/>
              </w:rPr>
            </w:pPr>
          </w:p>
        </w:tc>
        <w:tc>
          <w:tcPr>
            <w:tcW w:w="900" w:type="dxa"/>
            <w:vAlign w:val="bottom"/>
          </w:tcPr>
          <w:p>
            <w:pPr>
              <w:jc w:val="center"/>
              <w:spacing w:after="0" w:line="83" w:lineRule="exact"/>
              <w:rPr>
                <w:sz w:val="20"/>
                <w:szCs w:val="20"/>
                <w:color w:val="auto"/>
              </w:rPr>
            </w:pPr>
            <w:r>
              <w:rPr>
                <w:rFonts w:ascii="Arial" w:cs="Arial" w:eastAsia="Arial" w:hAnsi="Arial"/>
                <w:sz w:val="8"/>
                <w:szCs w:val="8"/>
                <w:color w:val="auto"/>
              </w:rPr>
              <w:t>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80" w:type="dxa"/>
            <w:vAlign w:val="bottom"/>
          </w:tcPr>
          <w:p>
            <w:pPr>
              <w:spacing w:after="0" w:line="83" w:lineRule="exact"/>
              <w:rPr>
                <w:sz w:val="20"/>
                <w:szCs w:val="20"/>
                <w:color w:val="auto"/>
              </w:rPr>
            </w:pPr>
            <w:r>
              <w:rPr>
                <w:rFonts w:ascii="Arial" w:cs="Arial" w:eastAsia="Arial" w:hAnsi="Arial"/>
                <w:sz w:val="8"/>
                <w:szCs w:val="8"/>
                <w:color w:val="auto"/>
              </w:rPr>
              <w:t>Angelika Film Center</w:t>
            </w:r>
          </w:p>
        </w:tc>
        <w:tc>
          <w:tcPr>
            <w:tcW w:w="0" w:type="dxa"/>
            <w:vAlign w:val="bottom"/>
          </w:tcPr>
          <w:p>
            <w:pPr>
              <w:spacing w:after="0"/>
              <w:rPr>
                <w:sz w:val="1"/>
                <w:szCs w:val="1"/>
                <w:color w:val="auto"/>
              </w:rPr>
            </w:pPr>
          </w:p>
        </w:tc>
      </w:tr>
      <w:tr>
        <w:trPr>
          <w:trHeight w:val="83"/>
        </w:trPr>
        <w:tc>
          <w:tcPr>
            <w:tcW w:w="148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740" w:type="dxa"/>
            <w:vAlign w:val="bottom"/>
            <w:tcBorders>
              <w:bottom w:val="single" w:sz="8" w:color="auto"/>
            </w:tcBorders>
            <w:shd w:val="clear" w:color="auto" w:fill="CCEEFF"/>
          </w:tcPr>
          <w:p>
            <w:pPr>
              <w:spacing w:after="0" w:line="83" w:lineRule="exact"/>
              <w:rPr>
                <w:sz w:val="20"/>
                <w:szCs w:val="20"/>
                <w:color w:val="auto"/>
              </w:rPr>
            </w:pPr>
            <w:r>
              <w:rPr>
                <w:rFonts w:ascii="Arial" w:cs="Arial" w:eastAsia="Arial" w:hAnsi="Arial"/>
                <w:sz w:val="8"/>
                <w:szCs w:val="8"/>
                <w:color w:val="auto"/>
              </w:rPr>
              <w:t>Washington, D.C.</w:t>
            </w:r>
          </w:p>
        </w:tc>
        <w:tc>
          <w:tcPr>
            <w:tcW w:w="920" w:type="dxa"/>
            <w:vAlign w:val="bottom"/>
            <w:tcBorders>
              <w:bottom w:val="single" w:sz="8" w:color="auto"/>
            </w:tcBorders>
            <w:gridSpan w:val="2"/>
            <w:shd w:val="clear" w:color="auto" w:fill="CCEEFF"/>
          </w:tcPr>
          <w:p>
            <w:pPr>
              <w:jc w:val="center"/>
              <w:ind w:left="119"/>
              <w:spacing w:after="0" w:line="83" w:lineRule="exact"/>
              <w:rPr>
                <w:sz w:val="20"/>
                <w:szCs w:val="20"/>
                <w:color w:val="auto"/>
              </w:rPr>
            </w:pPr>
            <w:r>
              <w:rPr>
                <w:rFonts w:ascii="Arial" w:cs="Arial" w:eastAsia="Arial" w:hAnsi="Arial"/>
                <w:sz w:val="8"/>
                <w:szCs w:val="8"/>
                <w:color w:val="auto"/>
                <w:w w:val="88"/>
              </w:rPr>
              <w:t>1</w:t>
            </w:r>
          </w:p>
        </w:tc>
        <w:tc>
          <w:tcPr>
            <w:tcW w:w="940" w:type="dxa"/>
            <w:vAlign w:val="bottom"/>
            <w:tcBorders>
              <w:bottom w:val="single" w:sz="8" w:color="auto"/>
            </w:tcBorders>
            <w:gridSpan w:val="2"/>
            <w:shd w:val="clear" w:color="auto" w:fill="CCEEFF"/>
          </w:tcPr>
          <w:p>
            <w:pPr>
              <w:jc w:val="center"/>
              <w:ind w:left="99"/>
              <w:spacing w:after="0" w:line="83" w:lineRule="exact"/>
              <w:rPr>
                <w:sz w:val="20"/>
                <w:szCs w:val="20"/>
                <w:color w:val="auto"/>
              </w:rPr>
            </w:pPr>
            <w:r>
              <w:rPr>
                <w:rFonts w:ascii="Arial" w:cs="Arial" w:eastAsia="Arial" w:hAnsi="Arial"/>
                <w:sz w:val="8"/>
                <w:szCs w:val="8"/>
                <w:color w:val="auto"/>
                <w:w w:val="88"/>
              </w:rPr>
              <w:t>3</w:t>
            </w:r>
          </w:p>
        </w:tc>
        <w:tc>
          <w:tcPr>
            <w:tcW w:w="16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jc w:val="center"/>
              <w:spacing w:after="0" w:line="83" w:lineRule="exact"/>
              <w:rPr>
                <w:sz w:val="20"/>
                <w:szCs w:val="20"/>
                <w:color w:val="auto"/>
              </w:rPr>
            </w:pPr>
            <w:r>
              <w:rPr>
                <w:rFonts w:ascii="Arial" w:cs="Arial" w:eastAsia="Arial" w:hAnsi="Arial"/>
                <w:sz w:val="8"/>
                <w:szCs w:val="8"/>
                <w:color w:val="auto"/>
              </w:rPr>
              <w:t>1</w:t>
            </w:r>
          </w:p>
        </w:tc>
        <w:tc>
          <w:tcPr>
            <w:tcW w:w="8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3080" w:type="dxa"/>
            <w:vAlign w:val="bottom"/>
            <w:tcBorders>
              <w:bottom w:val="single" w:sz="8" w:color="auto"/>
            </w:tcBorders>
            <w:shd w:val="clear" w:color="auto" w:fill="CCEEFF"/>
          </w:tcPr>
          <w:p>
            <w:pPr>
              <w:spacing w:after="0" w:line="83" w:lineRule="exact"/>
              <w:rPr>
                <w:sz w:val="20"/>
                <w:szCs w:val="20"/>
                <w:color w:val="auto"/>
              </w:rPr>
            </w:pPr>
            <w:r>
              <w:rPr>
                <w:rFonts w:ascii="Arial" w:cs="Arial" w:eastAsia="Arial" w:hAnsi="Arial"/>
                <w:sz w:val="8"/>
                <w:szCs w:val="8"/>
                <w:color w:val="auto"/>
              </w:rPr>
              <w:t>Angelika Film Center</w:t>
            </w:r>
          </w:p>
        </w:tc>
        <w:tc>
          <w:tcPr>
            <w:tcW w:w="0" w:type="dxa"/>
            <w:vAlign w:val="bottom"/>
          </w:tcPr>
          <w:p>
            <w:pPr>
              <w:spacing w:after="0"/>
              <w:rPr>
                <w:sz w:val="1"/>
                <w:szCs w:val="1"/>
                <w:color w:val="auto"/>
              </w:rPr>
            </w:pPr>
          </w:p>
        </w:tc>
      </w:tr>
      <w:tr>
        <w:trPr>
          <w:trHeight w:val="70"/>
        </w:trPr>
        <w:tc>
          <w:tcPr>
            <w:tcW w:w="14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ind w:left="40"/>
              <w:spacing w:after="0" w:line="70" w:lineRule="exact"/>
              <w:rPr>
                <w:sz w:val="20"/>
                <w:szCs w:val="20"/>
                <w:color w:val="auto"/>
              </w:rPr>
            </w:pPr>
            <w:r>
              <w:rPr>
                <w:rFonts w:ascii="Arial" w:cs="Arial" w:eastAsia="Arial" w:hAnsi="Arial"/>
                <w:sz w:val="8"/>
                <w:szCs w:val="8"/>
                <w:b w:val="1"/>
                <w:bCs w:val="1"/>
                <w:i w:val="1"/>
                <w:iCs w:val="1"/>
                <w:color w:val="auto"/>
              </w:rPr>
              <w:t>U.S. Total</w:t>
            </w:r>
          </w:p>
        </w:tc>
        <w:tc>
          <w:tcPr>
            <w:tcW w:w="920" w:type="dxa"/>
            <w:vAlign w:val="bottom"/>
            <w:tcBorders>
              <w:bottom w:val="single" w:sz="8" w:color="auto"/>
            </w:tcBorders>
            <w:gridSpan w:val="2"/>
          </w:tcPr>
          <w:p>
            <w:pPr>
              <w:jc w:val="center"/>
              <w:ind w:left="119"/>
              <w:spacing w:after="0" w:line="70" w:lineRule="exact"/>
              <w:rPr>
                <w:sz w:val="20"/>
                <w:szCs w:val="20"/>
                <w:color w:val="auto"/>
              </w:rPr>
            </w:pPr>
            <w:r>
              <w:rPr>
                <w:rFonts w:ascii="Arial" w:cs="Arial" w:eastAsia="Arial" w:hAnsi="Arial"/>
                <w:sz w:val="8"/>
                <w:szCs w:val="8"/>
                <w:b w:val="1"/>
                <w:bCs w:val="1"/>
                <w:color w:val="auto"/>
                <w:w w:val="89"/>
              </w:rPr>
              <w:t>21</w:t>
            </w:r>
          </w:p>
        </w:tc>
        <w:tc>
          <w:tcPr>
            <w:tcW w:w="940" w:type="dxa"/>
            <w:vAlign w:val="bottom"/>
            <w:tcBorders>
              <w:bottom w:val="single" w:sz="8" w:color="auto"/>
            </w:tcBorders>
            <w:gridSpan w:val="2"/>
          </w:tcPr>
          <w:p>
            <w:pPr>
              <w:jc w:val="center"/>
              <w:ind w:left="119"/>
              <w:spacing w:after="0" w:line="70" w:lineRule="exact"/>
              <w:rPr>
                <w:sz w:val="20"/>
                <w:szCs w:val="20"/>
                <w:color w:val="auto"/>
              </w:rPr>
            </w:pPr>
            <w:r>
              <w:rPr>
                <w:rFonts w:ascii="Arial" w:cs="Arial" w:eastAsia="Arial" w:hAnsi="Arial"/>
                <w:sz w:val="8"/>
                <w:szCs w:val="8"/>
                <w:b w:val="1"/>
                <w:bCs w:val="1"/>
                <w:color w:val="auto"/>
              </w:rPr>
              <w:t>214</w:t>
            </w: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jc w:val="center"/>
              <w:spacing w:after="0" w:line="70" w:lineRule="exact"/>
              <w:rPr>
                <w:sz w:val="20"/>
                <w:szCs w:val="20"/>
                <w:color w:val="auto"/>
              </w:rPr>
            </w:pPr>
            <w:r>
              <w:rPr>
                <w:rFonts w:ascii="Arial" w:cs="Arial" w:eastAsia="Arial" w:hAnsi="Arial"/>
                <w:sz w:val="8"/>
                <w:szCs w:val="8"/>
                <w:b w:val="1"/>
                <w:bCs w:val="1"/>
                <w:color w:val="auto"/>
              </w:rPr>
              <w:t>20</w:t>
            </w: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2"/>
          </w:tcPr>
          <w:p>
            <w:pPr>
              <w:jc w:val="center"/>
              <w:ind w:left="39"/>
              <w:spacing w:after="0" w:line="70" w:lineRule="exact"/>
              <w:rPr>
                <w:sz w:val="20"/>
                <w:szCs w:val="20"/>
                <w:color w:val="auto"/>
              </w:rPr>
            </w:pPr>
            <w:r>
              <w:rPr>
                <w:rFonts w:ascii="Arial" w:cs="Arial" w:eastAsia="Arial" w:hAnsi="Arial"/>
                <w:sz w:val="8"/>
                <w:szCs w:val="8"/>
                <w:b w:val="1"/>
                <w:bCs w:val="1"/>
                <w:color w:val="auto"/>
                <w:w w:val="88"/>
              </w:rPr>
              <w:t>1</w:t>
            </w:r>
          </w:p>
        </w:tc>
        <w:tc>
          <w:tcPr>
            <w:tcW w:w="16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480" w:type="dxa"/>
            <w:vAlign w:val="bottom"/>
            <w:shd w:val="clear" w:color="auto" w:fill="CCEEFF"/>
          </w:tcPr>
          <w:p>
            <w:pPr>
              <w:spacing w:after="0" w:line="70" w:lineRule="exact"/>
              <w:rPr>
                <w:sz w:val="20"/>
                <w:szCs w:val="20"/>
                <w:color w:val="auto"/>
              </w:rPr>
            </w:pPr>
            <w:r>
              <w:rPr>
                <w:rFonts w:ascii="Arial" w:cs="Arial" w:eastAsia="Arial" w:hAnsi="Arial"/>
                <w:sz w:val="8"/>
                <w:szCs w:val="8"/>
                <w:b w:val="1"/>
                <w:bCs w:val="1"/>
                <w:color w:val="auto"/>
              </w:rPr>
              <w:t>Australia</w:t>
            </w:r>
          </w:p>
        </w:tc>
        <w:tc>
          <w:tcPr>
            <w:tcW w:w="160" w:type="dxa"/>
            <w:vAlign w:val="bottom"/>
            <w:shd w:val="clear" w:color="auto" w:fill="CCEEFF"/>
          </w:tcPr>
          <w:p>
            <w:pPr>
              <w:spacing w:after="0"/>
              <w:rPr>
                <w:sz w:val="6"/>
                <w:szCs w:val="6"/>
                <w:color w:val="auto"/>
              </w:rPr>
            </w:pPr>
          </w:p>
        </w:tc>
        <w:tc>
          <w:tcPr>
            <w:tcW w:w="1740" w:type="dxa"/>
            <w:vAlign w:val="bottom"/>
            <w:shd w:val="clear" w:color="auto" w:fill="CCEEFF"/>
          </w:tcPr>
          <w:p>
            <w:pPr>
              <w:spacing w:after="0" w:line="70" w:lineRule="exact"/>
              <w:rPr>
                <w:sz w:val="20"/>
                <w:szCs w:val="20"/>
                <w:color w:val="auto"/>
              </w:rPr>
            </w:pPr>
            <w:r>
              <w:rPr>
                <w:rFonts w:ascii="Arial" w:cs="Arial" w:eastAsia="Arial" w:hAnsi="Arial"/>
                <w:sz w:val="8"/>
                <w:szCs w:val="8"/>
                <w:color w:val="auto"/>
              </w:rPr>
              <w:t>Victoria</w:t>
            </w:r>
          </w:p>
        </w:tc>
        <w:tc>
          <w:tcPr>
            <w:tcW w:w="920" w:type="dxa"/>
            <w:vAlign w:val="bottom"/>
            <w:gridSpan w:val="2"/>
            <w:shd w:val="clear" w:color="auto" w:fill="CCEEFF"/>
          </w:tcPr>
          <w:p>
            <w:pPr>
              <w:jc w:val="center"/>
              <w:ind w:left="119"/>
              <w:spacing w:after="0" w:line="70" w:lineRule="exact"/>
              <w:rPr>
                <w:sz w:val="20"/>
                <w:szCs w:val="20"/>
                <w:color w:val="auto"/>
              </w:rPr>
            </w:pPr>
            <w:r>
              <w:rPr>
                <w:rFonts w:ascii="Arial" w:cs="Arial" w:eastAsia="Arial" w:hAnsi="Arial"/>
                <w:sz w:val="8"/>
                <w:szCs w:val="8"/>
                <w:color w:val="auto"/>
                <w:w w:val="88"/>
              </w:rPr>
              <w:t>9</w:t>
            </w:r>
          </w:p>
        </w:tc>
        <w:tc>
          <w:tcPr>
            <w:tcW w:w="940" w:type="dxa"/>
            <w:vAlign w:val="bottom"/>
            <w:gridSpan w:val="2"/>
            <w:shd w:val="clear" w:color="auto" w:fill="CCEEFF"/>
          </w:tcPr>
          <w:p>
            <w:pPr>
              <w:jc w:val="center"/>
              <w:ind w:left="119"/>
              <w:spacing w:after="0" w:line="70" w:lineRule="exact"/>
              <w:rPr>
                <w:sz w:val="20"/>
                <w:szCs w:val="20"/>
                <w:color w:val="auto"/>
              </w:rPr>
            </w:pPr>
            <w:r>
              <w:rPr>
                <w:rFonts w:ascii="Arial" w:cs="Arial" w:eastAsia="Arial" w:hAnsi="Arial"/>
                <w:sz w:val="8"/>
                <w:szCs w:val="8"/>
                <w:color w:val="auto"/>
              </w:rPr>
              <w:t>62</w:t>
            </w: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jc w:val="center"/>
              <w:spacing w:after="0" w:line="70" w:lineRule="exact"/>
              <w:rPr>
                <w:sz w:val="20"/>
                <w:szCs w:val="20"/>
                <w:color w:val="auto"/>
              </w:rPr>
            </w:pPr>
            <w:r>
              <w:rPr>
                <w:rFonts w:ascii="Arial" w:cs="Arial" w:eastAsia="Arial" w:hAnsi="Arial"/>
                <w:sz w:val="8"/>
                <w:szCs w:val="8"/>
                <w:color w:val="auto"/>
              </w:rPr>
              <w:t>9</w:t>
            </w: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80" w:type="dxa"/>
            <w:vAlign w:val="bottom"/>
            <w:shd w:val="clear" w:color="auto" w:fill="CCEEFF"/>
          </w:tcPr>
          <w:p>
            <w:pPr>
              <w:spacing w:after="0" w:line="70" w:lineRule="exact"/>
              <w:rPr>
                <w:sz w:val="20"/>
                <w:szCs w:val="20"/>
                <w:color w:val="auto"/>
              </w:rPr>
            </w:pPr>
            <w:r>
              <w:rPr>
                <w:rFonts w:ascii="Arial" w:cs="Arial" w:eastAsia="Arial" w:hAnsi="Arial"/>
                <w:sz w:val="8"/>
                <w:szCs w:val="8"/>
                <w:color w:val="auto"/>
              </w:rPr>
              <w:t>Reading Cinemas</w:t>
            </w:r>
          </w:p>
        </w:tc>
        <w:tc>
          <w:tcPr>
            <w:tcW w:w="0" w:type="dxa"/>
            <w:vAlign w:val="bottom"/>
          </w:tcPr>
          <w:p>
            <w:pPr>
              <w:spacing w:after="0"/>
              <w:rPr>
                <w:sz w:val="1"/>
                <w:szCs w:val="1"/>
                <w:color w:val="auto"/>
              </w:rPr>
            </w:pPr>
          </w:p>
        </w:tc>
      </w:tr>
      <w:tr>
        <w:trPr>
          <w:trHeight w:val="83"/>
        </w:trPr>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40" w:type="dxa"/>
            <w:vAlign w:val="bottom"/>
          </w:tcPr>
          <w:p>
            <w:pPr>
              <w:spacing w:after="0" w:line="83" w:lineRule="exact"/>
              <w:rPr>
                <w:sz w:val="20"/>
                <w:szCs w:val="20"/>
                <w:color w:val="auto"/>
              </w:rPr>
            </w:pPr>
            <w:r>
              <w:rPr>
                <w:rFonts w:ascii="Arial" w:cs="Arial" w:eastAsia="Arial" w:hAnsi="Arial"/>
                <w:sz w:val="8"/>
                <w:szCs w:val="8"/>
                <w:color w:val="auto"/>
              </w:rPr>
              <w:t>New South Wales</w:t>
            </w:r>
          </w:p>
        </w:tc>
        <w:tc>
          <w:tcPr>
            <w:tcW w:w="920" w:type="dxa"/>
            <w:vAlign w:val="bottom"/>
            <w:gridSpan w:val="2"/>
          </w:tcPr>
          <w:p>
            <w:pPr>
              <w:jc w:val="center"/>
              <w:ind w:left="119"/>
              <w:spacing w:after="0" w:line="83" w:lineRule="exact"/>
              <w:rPr>
                <w:sz w:val="20"/>
                <w:szCs w:val="20"/>
                <w:color w:val="auto"/>
              </w:rPr>
            </w:pPr>
            <w:r>
              <w:rPr>
                <w:rFonts w:ascii="Arial" w:cs="Arial" w:eastAsia="Arial" w:hAnsi="Arial"/>
                <w:sz w:val="8"/>
                <w:szCs w:val="8"/>
                <w:color w:val="auto"/>
                <w:w w:val="88"/>
              </w:rPr>
              <w:t>6</w:t>
            </w:r>
          </w:p>
        </w:tc>
        <w:tc>
          <w:tcPr>
            <w:tcW w:w="940" w:type="dxa"/>
            <w:vAlign w:val="bottom"/>
            <w:gridSpan w:val="2"/>
          </w:tcPr>
          <w:p>
            <w:pPr>
              <w:jc w:val="center"/>
              <w:ind w:left="119"/>
              <w:spacing w:after="0" w:line="83" w:lineRule="exact"/>
              <w:rPr>
                <w:sz w:val="20"/>
                <w:szCs w:val="20"/>
                <w:color w:val="auto"/>
              </w:rPr>
            </w:pPr>
            <w:r>
              <w:rPr>
                <w:rFonts w:ascii="Arial" w:cs="Arial" w:eastAsia="Arial" w:hAnsi="Arial"/>
                <w:sz w:val="8"/>
                <w:szCs w:val="8"/>
                <w:color w:val="auto"/>
              </w:rPr>
              <w:t>44</w:t>
            </w:r>
          </w:p>
        </w:tc>
        <w:tc>
          <w:tcPr>
            <w:tcW w:w="160" w:type="dxa"/>
            <w:vAlign w:val="bottom"/>
          </w:tcPr>
          <w:p>
            <w:pPr>
              <w:spacing w:after="0"/>
              <w:rPr>
                <w:sz w:val="7"/>
                <w:szCs w:val="7"/>
                <w:color w:val="auto"/>
              </w:rPr>
            </w:pPr>
          </w:p>
        </w:tc>
        <w:tc>
          <w:tcPr>
            <w:tcW w:w="900" w:type="dxa"/>
            <w:vAlign w:val="bottom"/>
          </w:tcPr>
          <w:p>
            <w:pPr>
              <w:jc w:val="center"/>
              <w:spacing w:after="0" w:line="83" w:lineRule="exact"/>
              <w:rPr>
                <w:sz w:val="20"/>
                <w:szCs w:val="20"/>
                <w:color w:val="auto"/>
              </w:rPr>
            </w:pPr>
            <w:r>
              <w:rPr>
                <w:rFonts w:ascii="Arial" w:cs="Arial" w:eastAsia="Arial" w:hAnsi="Arial"/>
                <w:sz w:val="8"/>
                <w:szCs w:val="8"/>
                <w:color w:val="auto"/>
              </w:rPr>
              <w:t>5</w:t>
            </w:r>
          </w:p>
        </w:tc>
        <w:tc>
          <w:tcPr>
            <w:tcW w:w="80" w:type="dxa"/>
            <w:vAlign w:val="bottom"/>
          </w:tcPr>
          <w:p>
            <w:pPr>
              <w:spacing w:after="0"/>
              <w:rPr>
                <w:sz w:val="7"/>
                <w:szCs w:val="7"/>
                <w:color w:val="auto"/>
              </w:rPr>
            </w:pPr>
          </w:p>
        </w:tc>
        <w:tc>
          <w:tcPr>
            <w:tcW w:w="1000" w:type="dxa"/>
            <w:vAlign w:val="bottom"/>
            <w:gridSpan w:val="2"/>
          </w:tcPr>
          <w:p>
            <w:pPr>
              <w:jc w:val="center"/>
              <w:ind w:left="39"/>
              <w:spacing w:after="0" w:line="83" w:lineRule="exact"/>
              <w:rPr>
                <w:sz w:val="20"/>
                <w:szCs w:val="20"/>
                <w:color w:val="auto"/>
              </w:rPr>
            </w:pPr>
            <w:r>
              <w:rPr>
                <w:rFonts w:ascii="Arial" w:cs="Arial" w:eastAsia="Arial" w:hAnsi="Arial"/>
                <w:sz w:val="8"/>
                <w:szCs w:val="8"/>
                <w:color w:val="auto"/>
                <w:w w:val="88"/>
              </w:rPr>
              <w:t>1</w:t>
            </w:r>
          </w:p>
        </w:tc>
        <w:tc>
          <w:tcPr>
            <w:tcW w:w="160" w:type="dxa"/>
            <w:vAlign w:val="bottom"/>
          </w:tcPr>
          <w:p>
            <w:pPr>
              <w:spacing w:after="0"/>
              <w:rPr>
                <w:sz w:val="7"/>
                <w:szCs w:val="7"/>
                <w:color w:val="auto"/>
              </w:rPr>
            </w:pPr>
          </w:p>
        </w:tc>
        <w:tc>
          <w:tcPr>
            <w:tcW w:w="3080" w:type="dxa"/>
            <w:vAlign w:val="bottom"/>
          </w:tcPr>
          <w:p>
            <w:pPr>
              <w:spacing w:after="0" w:line="83" w:lineRule="exact"/>
              <w:rPr>
                <w:sz w:val="20"/>
                <w:szCs w:val="20"/>
                <w:color w:val="auto"/>
              </w:rPr>
            </w:pPr>
            <w:r>
              <w:rPr>
                <w:rFonts w:ascii="Arial" w:cs="Arial" w:eastAsia="Arial" w:hAnsi="Arial"/>
                <w:sz w:val="8"/>
                <w:szCs w:val="8"/>
                <w:color w:val="auto"/>
              </w:rPr>
              <w:t>Reading Cinemas</w:t>
            </w:r>
          </w:p>
        </w:tc>
        <w:tc>
          <w:tcPr>
            <w:tcW w:w="0" w:type="dxa"/>
            <w:vAlign w:val="bottom"/>
          </w:tcPr>
          <w:p>
            <w:pPr>
              <w:spacing w:after="0"/>
              <w:rPr>
                <w:sz w:val="1"/>
                <w:szCs w:val="1"/>
                <w:color w:val="auto"/>
              </w:rPr>
            </w:pPr>
          </w:p>
        </w:tc>
      </w:tr>
      <w:tr>
        <w:trPr>
          <w:trHeight w:val="120"/>
        </w:trPr>
        <w:tc>
          <w:tcPr>
            <w:tcW w:w="1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8"/>
                <w:szCs w:val="8"/>
                <w:color w:val="auto"/>
              </w:rPr>
              <w:t>Queensland</w:t>
            </w:r>
          </w:p>
        </w:tc>
        <w:tc>
          <w:tcPr>
            <w:tcW w:w="920" w:type="dxa"/>
            <w:vAlign w:val="bottom"/>
            <w:gridSpan w:val="2"/>
            <w:shd w:val="clear" w:color="auto" w:fill="CCEEFF"/>
          </w:tcPr>
          <w:p>
            <w:pPr>
              <w:jc w:val="center"/>
              <w:ind w:left="119"/>
              <w:spacing w:after="0"/>
              <w:rPr>
                <w:sz w:val="20"/>
                <w:szCs w:val="20"/>
                <w:color w:val="auto"/>
              </w:rPr>
            </w:pPr>
            <w:r>
              <w:rPr>
                <w:rFonts w:ascii="Arial" w:cs="Arial" w:eastAsia="Arial" w:hAnsi="Arial"/>
                <w:sz w:val="8"/>
                <w:szCs w:val="8"/>
                <w:color w:val="auto"/>
                <w:w w:val="88"/>
              </w:rPr>
              <w:t>7</w:t>
            </w:r>
          </w:p>
        </w:tc>
        <w:tc>
          <w:tcPr>
            <w:tcW w:w="940" w:type="dxa"/>
            <w:vAlign w:val="bottom"/>
            <w:gridSpan w:val="2"/>
            <w:shd w:val="clear" w:color="auto" w:fill="CCEEFF"/>
          </w:tcPr>
          <w:p>
            <w:pPr>
              <w:jc w:val="center"/>
              <w:ind w:left="119"/>
              <w:spacing w:after="0"/>
              <w:rPr>
                <w:sz w:val="20"/>
                <w:szCs w:val="20"/>
                <w:color w:val="auto"/>
              </w:rPr>
            </w:pPr>
            <w:r>
              <w:rPr>
                <w:rFonts w:ascii="Arial" w:cs="Arial" w:eastAsia="Arial" w:hAnsi="Arial"/>
                <w:sz w:val="8"/>
                <w:szCs w:val="8"/>
                <w:color w:val="auto"/>
              </w:rPr>
              <w:t>64</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8"/>
                <w:szCs w:val="8"/>
                <w:color w:val="auto"/>
              </w:rPr>
              <w:t>4</w:t>
            </w: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center"/>
              <w:ind w:left="39"/>
              <w:spacing w:after="0"/>
              <w:rPr>
                <w:sz w:val="20"/>
                <w:szCs w:val="20"/>
                <w:color w:val="auto"/>
              </w:rPr>
            </w:pPr>
            <w:r>
              <w:rPr>
                <w:rFonts w:ascii="Arial" w:cs="Arial" w:eastAsia="Arial" w:hAnsi="Arial"/>
                <w:sz w:val="8"/>
                <w:szCs w:val="8"/>
                <w:color w:val="auto"/>
                <w:w w:val="88"/>
              </w:rPr>
              <w:t>3</w:t>
            </w:r>
          </w:p>
        </w:tc>
        <w:tc>
          <w:tcPr>
            <w:tcW w:w="160" w:type="dxa"/>
            <w:vAlign w:val="bottom"/>
            <w:shd w:val="clear" w:color="auto" w:fill="CCEEFF"/>
          </w:tcPr>
          <w:p>
            <w:pPr>
              <w:spacing w:after="0"/>
              <w:rPr>
                <w:sz w:val="10"/>
                <w:szCs w:val="1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8"/>
                <w:szCs w:val="8"/>
                <w:color w:val="auto"/>
              </w:rPr>
              <w:t>Reading Cinemas, Angelika Film Center, Event Cinemas</w:t>
            </w:r>
            <w:r>
              <w:rPr>
                <w:rFonts w:ascii="Arial" w:cs="Arial" w:eastAsia="Arial" w:hAnsi="Arial"/>
                <w:sz w:val="5"/>
                <w:szCs w:val="5"/>
                <w:color w:val="auto"/>
              </w:rPr>
              <w:t>(1)</w:t>
            </w:r>
          </w:p>
        </w:tc>
        <w:tc>
          <w:tcPr>
            <w:tcW w:w="0" w:type="dxa"/>
            <w:vAlign w:val="bottom"/>
          </w:tcPr>
          <w:p>
            <w:pPr>
              <w:spacing w:after="0"/>
              <w:rPr>
                <w:sz w:val="1"/>
                <w:szCs w:val="1"/>
                <w:color w:val="auto"/>
              </w:rPr>
            </w:pPr>
          </w:p>
        </w:tc>
      </w:tr>
      <w:tr>
        <w:trPr>
          <w:trHeight w:val="83"/>
        </w:trPr>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40" w:type="dxa"/>
            <w:vAlign w:val="bottom"/>
          </w:tcPr>
          <w:p>
            <w:pPr>
              <w:spacing w:after="0" w:line="83" w:lineRule="exact"/>
              <w:rPr>
                <w:sz w:val="20"/>
                <w:szCs w:val="20"/>
                <w:color w:val="auto"/>
              </w:rPr>
            </w:pPr>
            <w:r>
              <w:rPr>
                <w:rFonts w:ascii="Arial" w:cs="Arial" w:eastAsia="Arial" w:hAnsi="Arial"/>
                <w:sz w:val="8"/>
                <w:szCs w:val="8"/>
                <w:color w:val="auto"/>
              </w:rPr>
              <w:t>Western Australia</w:t>
            </w:r>
          </w:p>
        </w:tc>
        <w:tc>
          <w:tcPr>
            <w:tcW w:w="920" w:type="dxa"/>
            <w:vAlign w:val="bottom"/>
            <w:gridSpan w:val="2"/>
          </w:tcPr>
          <w:p>
            <w:pPr>
              <w:jc w:val="center"/>
              <w:ind w:left="119"/>
              <w:spacing w:after="0" w:line="83" w:lineRule="exact"/>
              <w:rPr>
                <w:sz w:val="20"/>
                <w:szCs w:val="20"/>
                <w:color w:val="auto"/>
              </w:rPr>
            </w:pPr>
            <w:r>
              <w:rPr>
                <w:rFonts w:ascii="Arial" w:cs="Arial" w:eastAsia="Arial" w:hAnsi="Arial"/>
                <w:sz w:val="8"/>
                <w:szCs w:val="8"/>
                <w:color w:val="auto"/>
                <w:w w:val="88"/>
              </w:rPr>
              <w:t>4</w:t>
            </w:r>
          </w:p>
        </w:tc>
        <w:tc>
          <w:tcPr>
            <w:tcW w:w="940" w:type="dxa"/>
            <w:vAlign w:val="bottom"/>
            <w:gridSpan w:val="2"/>
          </w:tcPr>
          <w:p>
            <w:pPr>
              <w:jc w:val="center"/>
              <w:ind w:left="119"/>
              <w:spacing w:after="0" w:line="83" w:lineRule="exact"/>
              <w:rPr>
                <w:sz w:val="20"/>
                <w:szCs w:val="20"/>
                <w:color w:val="auto"/>
              </w:rPr>
            </w:pPr>
            <w:r>
              <w:rPr>
                <w:rFonts w:ascii="Arial" w:cs="Arial" w:eastAsia="Arial" w:hAnsi="Arial"/>
                <w:sz w:val="8"/>
                <w:szCs w:val="8"/>
                <w:color w:val="auto"/>
              </w:rPr>
              <w:t>27</w:t>
            </w:r>
          </w:p>
        </w:tc>
        <w:tc>
          <w:tcPr>
            <w:tcW w:w="160" w:type="dxa"/>
            <w:vAlign w:val="bottom"/>
          </w:tcPr>
          <w:p>
            <w:pPr>
              <w:spacing w:after="0"/>
              <w:rPr>
                <w:sz w:val="7"/>
                <w:szCs w:val="7"/>
                <w:color w:val="auto"/>
              </w:rPr>
            </w:pPr>
          </w:p>
        </w:tc>
        <w:tc>
          <w:tcPr>
            <w:tcW w:w="900" w:type="dxa"/>
            <w:vAlign w:val="bottom"/>
          </w:tcPr>
          <w:p>
            <w:pPr>
              <w:jc w:val="center"/>
              <w:spacing w:after="0" w:line="83" w:lineRule="exact"/>
              <w:rPr>
                <w:sz w:val="20"/>
                <w:szCs w:val="20"/>
                <w:color w:val="auto"/>
              </w:rPr>
            </w:pPr>
            <w:r>
              <w:rPr>
                <w:rFonts w:ascii="Arial" w:cs="Arial" w:eastAsia="Arial" w:hAnsi="Arial"/>
                <w:sz w:val="8"/>
                <w:szCs w:val="8"/>
                <w:color w:val="auto"/>
              </w:rPr>
              <w:t>3</w:t>
            </w:r>
          </w:p>
        </w:tc>
        <w:tc>
          <w:tcPr>
            <w:tcW w:w="80" w:type="dxa"/>
            <w:vAlign w:val="bottom"/>
          </w:tcPr>
          <w:p>
            <w:pPr>
              <w:spacing w:after="0"/>
              <w:rPr>
                <w:sz w:val="7"/>
                <w:szCs w:val="7"/>
                <w:color w:val="auto"/>
              </w:rPr>
            </w:pPr>
          </w:p>
        </w:tc>
        <w:tc>
          <w:tcPr>
            <w:tcW w:w="1000" w:type="dxa"/>
            <w:vAlign w:val="bottom"/>
            <w:gridSpan w:val="2"/>
          </w:tcPr>
          <w:p>
            <w:pPr>
              <w:jc w:val="center"/>
              <w:ind w:left="39"/>
              <w:spacing w:after="0" w:line="83" w:lineRule="exact"/>
              <w:rPr>
                <w:sz w:val="20"/>
                <w:szCs w:val="20"/>
                <w:color w:val="auto"/>
              </w:rPr>
            </w:pPr>
            <w:r>
              <w:rPr>
                <w:rFonts w:ascii="Arial" w:cs="Arial" w:eastAsia="Arial" w:hAnsi="Arial"/>
                <w:sz w:val="8"/>
                <w:szCs w:val="8"/>
                <w:color w:val="auto"/>
                <w:w w:val="88"/>
              </w:rPr>
              <w:t>1</w:t>
            </w:r>
          </w:p>
        </w:tc>
        <w:tc>
          <w:tcPr>
            <w:tcW w:w="160" w:type="dxa"/>
            <w:vAlign w:val="bottom"/>
          </w:tcPr>
          <w:p>
            <w:pPr>
              <w:spacing w:after="0"/>
              <w:rPr>
                <w:sz w:val="7"/>
                <w:szCs w:val="7"/>
                <w:color w:val="auto"/>
              </w:rPr>
            </w:pPr>
          </w:p>
        </w:tc>
        <w:tc>
          <w:tcPr>
            <w:tcW w:w="3080" w:type="dxa"/>
            <w:vAlign w:val="bottom"/>
          </w:tcPr>
          <w:p>
            <w:pPr>
              <w:spacing w:after="0" w:line="83" w:lineRule="exact"/>
              <w:rPr>
                <w:sz w:val="20"/>
                <w:szCs w:val="20"/>
                <w:color w:val="auto"/>
              </w:rPr>
            </w:pPr>
            <w:r>
              <w:rPr>
                <w:rFonts w:ascii="Arial" w:cs="Arial" w:eastAsia="Arial" w:hAnsi="Arial"/>
                <w:sz w:val="8"/>
                <w:szCs w:val="8"/>
                <w:color w:val="auto"/>
              </w:rPr>
              <w:t>Reading Cinemas</w:t>
            </w:r>
          </w:p>
        </w:tc>
        <w:tc>
          <w:tcPr>
            <w:tcW w:w="0" w:type="dxa"/>
            <w:vAlign w:val="bottom"/>
          </w:tcPr>
          <w:p>
            <w:pPr>
              <w:spacing w:after="0"/>
              <w:rPr>
                <w:sz w:val="1"/>
                <w:szCs w:val="1"/>
                <w:color w:val="auto"/>
              </w:rPr>
            </w:pPr>
          </w:p>
        </w:tc>
      </w:tr>
      <w:tr>
        <w:trPr>
          <w:trHeight w:val="83"/>
        </w:trPr>
        <w:tc>
          <w:tcPr>
            <w:tcW w:w="1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740" w:type="dxa"/>
            <w:vAlign w:val="bottom"/>
            <w:shd w:val="clear" w:color="auto" w:fill="CCEEFF"/>
          </w:tcPr>
          <w:p>
            <w:pPr>
              <w:spacing w:after="0" w:line="83" w:lineRule="exact"/>
              <w:rPr>
                <w:sz w:val="20"/>
                <w:szCs w:val="20"/>
                <w:color w:val="auto"/>
              </w:rPr>
            </w:pPr>
            <w:r>
              <w:rPr>
                <w:rFonts w:ascii="Arial" w:cs="Arial" w:eastAsia="Arial" w:hAnsi="Arial"/>
                <w:sz w:val="8"/>
                <w:szCs w:val="8"/>
                <w:color w:val="auto"/>
              </w:rPr>
              <w:t>South Australia</w:t>
            </w:r>
          </w:p>
        </w:tc>
        <w:tc>
          <w:tcPr>
            <w:tcW w:w="920" w:type="dxa"/>
            <w:vAlign w:val="bottom"/>
            <w:gridSpan w:val="2"/>
            <w:shd w:val="clear" w:color="auto" w:fill="CCEEFF"/>
          </w:tcPr>
          <w:p>
            <w:pPr>
              <w:jc w:val="center"/>
              <w:ind w:left="119"/>
              <w:spacing w:after="0" w:line="83" w:lineRule="exact"/>
              <w:rPr>
                <w:sz w:val="20"/>
                <w:szCs w:val="20"/>
                <w:color w:val="auto"/>
              </w:rPr>
            </w:pPr>
            <w:r>
              <w:rPr>
                <w:rFonts w:ascii="Arial" w:cs="Arial" w:eastAsia="Arial" w:hAnsi="Arial"/>
                <w:sz w:val="8"/>
                <w:szCs w:val="8"/>
                <w:color w:val="auto"/>
                <w:w w:val="88"/>
              </w:rPr>
              <w:t>2</w:t>
            </w:r>
          </w:p>
        </w:tc>
        <w:tc>
          <w:tcPr>
            <w:tcW w:w="940" w:type="dxa"/>
            <w:vAlign w:val="bottom"/>
            <w:gridSpan w:val="2"/>
            <w:shd w:val="clear" w:color="auto" w:fill="CCEEFF"/>
          </w:tcPr>
          <w:p>
            <w:pPr>
              <w:jc w:val="center"/>
              <w:ind w:left="119"/>
              <w:spacing w:after="0" w:line="83" w:lineRule="exact"/>
              <w:rPr>
                <w:sz w:val="20"/>
                <w:szCs w:val="20"/>
                <w:color w:val="auto"/>
              </w:rPr>
            </w:pPr>
            <w:r>
              <w:rPr>
                <w:rFonts w:ascii="Arial" w:cs="Arial" w:eastAsia="Arial" w:hAnsi="Arial"/>
                <w:sz w:val="8"/>
                <w:szCs w:val="8"/>
                <w:color w:val="auto"/>
              </w:rPr>
              <w:t>15</w:t>
            </w:r>
          </w:p>
        </w:tc>
        <w:tc>
          <w:tcPr>
            <w:tcW w:w="160" w:type="dxa"/>
            <w:vAlign w:val="bottom"/>
            <w:shd w:val="clear" w:color="auto" w:fill="CCEEFF"/>
          </w:tcPr>
          <w:p>
            <w:pPr>
              <w:spacing w:after="0"/>
              <w:rPr>
                <w:sz w:val="7"/>
                <w:szCs w:val="7"/>
                <w:color w:val="auto"/>
              </w:rPr>
            </w:pPr>
          </w:p>
        </w:tc>
        <w:tc>
          <w:tcPr>
            <w:tcW w:w="900" w:type="dxa"/>
            <w:vAlign w:val="bottom"/>
            <w:shd w:val="clear" w:color="auto" w:fill="CCEEFF"/>
          </w:tcPr>
          <w:p>
            <w:pPr>
              <w:jc w:val="center"/>
              <w:spacing w:after="0" w:line="83" w:lineRule="exact"/>
              <w:rPr>
                <w:sz w:val="20"/>
                <w:szCs w:val="20"/>
                <w:color w:val="auto"/>
              </w:rPr>
            </w:pPr>
            <w:r>
              <w:rPr>
                <w:rFonts w:ascii="Arial" w:cs="Arial" w:eastAsia="Arial" w:hAnsi="Arial"/>
                <w:sz w:val="8"/>
                <w:szCs w:val="8"/>
                <w:color w:val="auto"/>
              </w:rPr>
              <w:t>2</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080" w:type="dxa"/>
            <w:vAlign w:val="bottom"/>
            <w:shd w:val="clear" w:color="auto" w:fill="CCEEFF"/>
          </w:tcPr>
          <w:p>
            <w:pPr>
              <w:spacing w:after="0" w:line="83" w:lineRule="exact"/>
              <w:rPr>
                <w:sz w:val="20"/>
                <w:szCs w:val="20"/>
                <w:color w:val="auto"/>
              </w:rPr>
            </w:pPr>
            <w:r>
              <w:rPr>
                <w:rFonts w:ascii="Arial" w:cs="Arial" w:eastAsia="Arial" w:hAnsi="Arial"/>
                <w:sz w:val="8"/>
                <w:szCs w:val="8"/>
                <w:color w:val="auto"/>
              </w:rPr>
              <w:t>Reading Cinemas</w:t>
            </w:r>
          </w:p>
        </w:tc>
        <w:tc>
          <w:tcPr>
            <w:tcW w:w="0" w:type="dxa"/>
            <w:vAlign w:val="bottom"/>
          </w:tcPr>
          <w:p>
            <w:pPr>
              <w:spacing w:after="0"/>
              <w:rPr>
                <w:sz w:val="1"/>
                <w:szCs w:val="1"/>
                <w:color w:val="auto"/>
              </w:rPr>
            </w:pPr>
          </w:p>
        </w:tc>
      </w:tr>
      <w:tr>
        <w:trPr>
          <w:trHeight w:val="83"/>
        </w:trPr>
        <w:tc>
          <w:tcPr>
            <w:tcW w:w="14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line="83" w:lineRule="exact"/>
              <w:rPr>
                <w:sz w:val="20"/>
                <w:szCs w:val="20"/>
                <w:color w:val="auto"/>
              </w:rPr>
            </w:pPr>
            <w:r>
              <w:rPr>
                <w:rFonts w:ascii="Arial" w:cs="Arial" w:eastAsia="Arial" w:hAnsi="Arial"/>
                <w:sz w:val="8"/>
                <w:szCs w:val="8"/>
                <w:color w:val="auto"/>
              </w:rPr>
              <w:t>Tasmania</w:t>
            </w:r>
          </w:p>
        </w:tc>
        <w:tc>
          <w:tcPr>
            <w:tcW w:w="920" w:type="dxa"/>
            <w:vAlign w:val="bottom"/>
            <w:tcBorders>
              <w:bottom w:val="single" w:sz="8" w:color="auto"/>
            </w:tcBorders>
            <w:gridSpan w:val="2"/>
          </w:tcPr>
          <w:p>
            <w:pPr>
              <w:jc w:val="center"/>
              <w:ind w:left="119"/>
              <w:spacing w:after="0" w:line="83" w:lineRule="exact"/>
              <w:rPr>
                <w:sz w:val="20"/>
                <w:szCs w:val="20"/>
                <w:color w:val="auto"/>
              </w:rPr>
            </w:pPr>
            <w:r>
              <w:rPr>
                <w:rFonts w:ascii="Arial" w:cs="Arial" w:eastAsia="Arial" w:hAnsi="Arial"/>
                <w:sz w:val="8"/>
                <w:szCs w:val="8"/>
                <w:color w:val="auto"/>
                <w:w w:val="88"/>
              </w:rPr>
              <w:t>2</w:t>
            </w:r>
          </w:p>
        </w:tc>
        <w:tc>
          <w:tcPr>
            <w:tcW w:w="940" w:type="dxa"/>
            <w:vAlign w:val="bottom"/>
            <w:tcBorders>
              <w:bottom w:val="single" w:sz="8" w:color="auto"/>
            </w:tcBorders>
            <w:gridSpan w:val="2"/>
          </w:tcPr>
          <w:p>
            <w:pPr>
              <w:jc w:val="center"/>
              <w:ind w:left="119"/>
              <w:spacing w:after="0" w:line="83" w:lineRule="exact"/>
              <w:rPr>
                <w:sz w:val="20"/>
                <w:szCs w:val="20"/>
                <w:color w:val="auto"/>
              </w:rPr>
            </w:pPr>
            <w:r>
              <w:rPr>
                <w:rFonts w:ascii="Arial" w:cs="Arial" w:eastAsia="Arial" w:hAnsi="Arial"/>
                <w:sz w:val="8"/>
                <w:szCs w:val="8"/>
                <w:color w:val="auto"/>
              </w:rPr>
              <w:t>14</w:t>
            </w: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jc w:val="center"/>
              <w:spacing w:after="0" w:line="83" w:lineRule="exact"/>
              <w:rPr>
                <w:sz w:val="20"/>
                <w:szCs w:val="20"/>
                <w:color w:val="auto"/>
              </w:rPr>
            </w:pPr>
            <w:r>
              <w:rPr>
                <w:rFonts w:ascii="Arial" w:cs="Arial" w:eastAsia="Arial" w:hAnsi="Arial"/>
                <w:sz w:val="8"/>
                <w:szCs w:val="8"/>
                <w:color w:val="auto"/>
              </w:rPr>
              <w:t>2</w:t>
            </w: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080" w:type="dxa"/>
            <w:vAlign w:val="bottom"/>
            <w:tcBorders>
              <w:bottom w:val="single" w:sz="8" w:color="auto"/>
            </w:tcBorders>
          </w:tcPr>
          <w:p>
            <w:pPr>
              <w:spacing w:after="0" w:line="83" w:lineRule="exact"/>
              <w:rPr>
                <w:sz w:val="20"/>
                <w:szCs w:val="20"/>
                <w:color w:val="auto"/>
              </w:rPr>
            </w:pPr>
            <w:r>
              <w:rPr>
                <w:rFonts w:ascii="Arial" w:cs="Arial" w:eastAsia="Arial" w:hAnsi="Arial"/>
                <w:sz w:val="8"/>
                <w:szCs w:val="8"/>
                <w:color w:val="auto"/>
              </w:rPr>
              <w:t>Reading Cinemas, State Cinema by Angelika</w:t>
            </w:r>
          </w:p>
        </w:tc>
        <w:tc>
          <w:tcPr>
            <w:tcW w:w="0" w:type="dxa"/>
            <w:vAlign w:val="bottom"/>
          </w:tcPr>
          <w:p>
            <w:pPr>
              <w:spacing w:after="0"/>
              <w:rPr>
                <w:sz w:val="1"/>
                <w:szCs w:val="1"/>
                <w:color w:val="auto"/>
              </w:rPr>
            </w:pPr>
          </w:p>
        </w:tc>
      </w:tr>
      <w:tr>
        <w:trPr>
          <w:trHeight w:val="70"/>
        </w:trPr>
        <w:tc>
          <w:tcPr>
            <w:tcW w:w="148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740" w:type="dxa"/>
            <w:vAlign w:val="bottom"/>
            <w:tcBorders>
              <w:bottom w:val="single" w:sz="8" w:color="auto"/>
            </w:tcBorders>
            <w:shd w:val="clear" w:color="auto" w:fill="CCEEFF"/>
          </w:tcPr>
          <w:p>
            <w:pPr>
              <w:ind w:left="40"/>
              <w:spacing w:after="0" w:line="70" w:lineRule="exact"/>
              <w:rPr>
                <w:sz w:val="20"/>
                <w:szCs w:val="20"/>
                <w:color w:val="auto"/>
              </w:rPr>
            </w:pPr>
            <w:r>
              <w:rPr>
                <w:rFonts w:ascii="Arial" w:cs="Arial" w:eastAsia="Arial" w:hAnsi="Arial"/>
                <w:sz w:val="8"/>
                <w:szCs w:val="8"/>
                <w:b w:val="1"/>
                <w:bCs w:val="1"/>
                <w:i w:val="1"/>
                <w:iCs w:val="1"/>
                <w:color w:val="auto"/>
              </w:rPr>
              <w:t>Australia Total</w:t>
            </w:r>
          </w:p>
        </w:tc>
        <w:tc>
          <w:tcPr>
            <w:tcW w:w="920" w:type="dxa"/>
            <w:vAlign w:val="bottom"/>
            <w:tcBorders>
              <w:bottom w:val="single" w:sz="8" w:color="auto"/>
            </w:tcBorders>
            <w:gridSpan w:val="2"/>
            <w:shd w:val="clear" w:color="auto" w:fill="CCEEFF"/>
          </w:tcPr>
          <w:p>
            <w:pPr>
              <w:jc w:val="center"/>
              <w:ind w:left="119"/>
              <w:spacing w:after="0" w:line="70" w:lineRule="exact"/>
              <w:rPr>
                <w:sz w:val="20"/>
                <w:szCs w:val="20"/>
                <w:color w:val="auto"/>
              </w:rPr>
            </w:pPr>
            <w:r>
              <w:rPr>
                <w:rFonts w:ascii="Arial" w:cs="Arial" w:eastAsia="Arial" w:hAnsi="Arial"/>
                <w:sz w:val="8"/>
                <w:szCs w:val="8"/>
                <w:b w:val="1"/>
                <w:bCs w:val="1"/>
                <w:color w:val="auto"/>
                <w:w w:val="89"/>
              </w:rPr>
              <w:t>30</w:t>
            </w:r>
          </w:p>
        </w:tc>
        <w:tc>
          <w:tcPr>
            <w:tcW w:w="940" w:type="dxa"/>
            <w:vAlign w:val="bottom"/>
            <w:tcBorders>
              <w:bottom w:val="single" w:sz="8" w:color="auto"/>
            </w:tcBorders>
            <w:gridSpan w:val="2"/>
            <w:shd w:val="clear" w:color="auto" w:fill="CCEEFF"/>
          </w:tcPr>
          <w:p>
            <w:pPr>
              <w:jc w:val="center"/>
              <w:ind w:left="119"/>
              <w:spacing w:after="0" w:line="70" w:lineRule="exact"/>
              <w:rPr>
                <w:sz w:val="20"/>
                <w:szCs w:val="20"/>
                <w:color w:val="auto"/>
              </w:rPr>
            </w:pPr>
            <w:r>
              <w:rPr>
                <w:rFonts w:ascii="Arial" w:cs="Arial" w:eastAsia="Arial" w:hAnsi="Arial"/>
                <w:sz w:val="8"/>
                <w:szCs w:val="8"/>
                <w:b w:val="1"/>
                <w:bCs w:val="1"/>
                <w:color w:val="auto"/>
              </w:rPr>
              <w:t>226</w:t>
            </w: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jc w:val="center"/>
              <w:spacing w:after="0" w:line="70" w:lineRule="exact"/>
              <w:rPr>
                <w:sz w:val="20"/>
                <w:szCs w:val="20"/>
                <w:color w:val="auto"/>
              </w:rPr>
            </w:pPr>
            <w:r>
              <w:rPr>
                <w:rFonts w:ascii="Arial" w:cs="Arial" w:eastAsia="Arial" w:hAnsi="Arial"/>
                <w:sz w:val="8"/>
                <w:szCs w:val="8"/>
                <w:b w:val="1"/>
                <w:bCs w:val="1"/>
                <w:color w:val="auto"/>
              </w:rPr>
              <w:t>25</w:t>
            </w:r>
          </w:p>
        </w:tc>
        <w:tc>
          <w:tcPr>
            <w:tcW w:w="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gridSpan w:val="2"/>
            <w:shd w:val="clear" w:color="auto" w:fill="CCEEFF"/>
          </w:tcPr>
          <w:p>
            <w:pPr>
              <w:jc w:val="center"/>
              <w:ind w:left="39"/>
              <w:spacing w:after="0" w:line="70" w:lineRule="exact"/>
              <w:rPr>
                <w:sz w:val="20"/>
                <w:szCs w:val="20"/>
                <w:color w:val="auto"/>
              </w:rPr>
            </w:pPr>
            <w:r>
              <w:rPr>
                <w:rFonts w:ascii="Arial" w:cs="Arial" w:eastAsia="Arial" w:hAnsi="Arial"/>
                <w:sz w:val="8"/>
                <w:szCs w:val="8"/>
                <w:b w:val="1"/>
                <w:bCs w:val="1"/>
                <w:color w:val="auto"/>
                <w:w w:val="88"/>
              </w:rPr>
              <w:t>5</w:t>
            </w:r>
          </w:p>
        </w:tc>
        <w:tc>
          <w:tcPr>
            <w:tcW w:w="160" w:type="dxa"/>
            <w:vAlign w:val="bottom"/>
            <w:tcBorders>
              <w:bottom w:val="single" w:sz="8" w:color="auto"/>
            </w:tcBorders>
            <w:shd w:val="clear" w:color="auto" w:fill="CCEEFF"/>
          </w:tcPr>
          <w:p>
            <w:pPr>
              <w:spacing w:after="0"/>
              <w:rPr>
                <w:sz w:val="6"/>
                <w:szCs w:val="6"/>
                <w:color w:val="auto"/>
              </w:rPr>
            </w:pPr>
          </w:p>
        </w:tc>
        <w:tc>
          <w:tcPr>
            <w:tcW w:w="30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480" w:type="dxa"/>
            <w:vAlign w:val="bottom"/>
          </w:tcPr>
          <w:p>
            <w:pPr>
              <w:spacing w:after="0" w:line="70" w:lineRule="exact"/>
              <w:rPr>
                <w:sz w:val="20"/>
                <w:szCs w:val="20"/>
                <w:color w:val="auto"/>
              </w:rPr>
            </w:pPr>
            <w:r>
              <w:rPr>
                <w:rFonts w:ascii="Arial" w:cs="Arial" w:eastAsia="Arial" w:hAnsi="Arial"/>
                <w:sz w:val="8"/>
                <w:szCs w:val="8"/>
                <w:b w:val="1"/>
                <w:bCs w:val="1"/>
                <w:color w:val="auto"/>
              </w:rPr>
              <w:t>New Zealand</w:t>
            </w:r>
          </w:p>
        </w:tc>
        <w:tc>
          <w:tcPr>
            <w:tcW w:w="160" w:type="dxa"/>
            <w:vAlign w:val="bottom"/>
          </w:tcPr>
          <w:p>
            <w:pPr>
              <w:spacing w:after="0"/>
              <w:rPr>
                <w:sz w:val="6"/>
                <w:szCs w:val="6"/>
                <w:color w:val="auto"/>
              </w:rPr>
            </w:pPr>
          </w:p>
        </w:tc>
        <w:tc>
          <w:tcPr>
            <w:tcW w:w="1740" w:type="dxa"/>
            <w:vAlign w:val="bottom"/>
          </w:tcPr>
          <w:p>
            <w:pPr>
              <w:spacing w:after="0" w:line="70" w:lineRule="exact"/>
              <w:rPr>
                <w:sz w:val="20"/>
                <w:szCs w:val="20"/>
                <w:color w:val="auto"/>
              </w:rPr>
            </w:pPr>
            <w:r>
              <w:rPr>
                <w:rFonts w:ascii="Arial" w:cs="Arial" w:eastAsia="Arial" w:hAnsi="Arial"/>
                <w:sz w:val="8"/>
                <w:szCs w:val="8"/>
                <w:color w:val="auto"/>
              </w:rPr>
              <w:t>Wellington</w:t>
            </w:r>
          </w:p>
        </w:tc>
        <w:tc>
          <w:tcPr>
            <w:tcW w:w="920" w:type="dxa"/>
            <w:vAlign w:val="bottom"/>
            <w:gridSpan w:val="2"/>
          </w:tcPr>
          <w:p>
            <w:pPr>
              <w:jc w:val="center"/>
              <w:ind w:left="119"/>
              <w:spacing w:after="0" w:line="70" w:lineRule="exact"/>
              <w:rPr>
                <w:sz w:val="20"/>
                <w:szCs w:val="20"/>
                <w:color w:val="auto"/>
              </w:rPr>
            </w:pPr>
            <w:r>
              <w:rPr>
                <w:rFonts w:ascii="Arial" w:cs="Arial" w:eastAsia="Arial" w:hAnsi="Arial"/>
                <w:sz w:val="8"/>
                <w:szCs w:val="8"/>
                <w:color w:val="auto"/>
                <w:w w:val="88"/>
              </w:rPr>
              <w:t>2</w:t>
            </w:r>
          </w:p>
        </w:tc>
        <w:tc>
          <w:tcPr>
            <w:tcW w:w="940" w:type="dxa"/>
            <w:vAlign w:val="bottom"/>
            <w:gridSpan w:val="2"/>
          </w:tcPr>
          <w:p>
            <w:pPr>
              <w:jc w:val="center"/>
              <w:ind w:left="119"/>
              <w:spacing w:after="0" w:line="70" w:lineRule="exact"/>
              <w:rPr>
                <w:sz w:val="20"/>
                <w:szCs w:val="20"/>
                <w:color w:val="auto"/>
              </w:rPr>
            </w:pPr>
            <w:r>
              <w:rPr>
                <w:rFonts w:ascii="Arial" w:cs="Arial" w:eastAsia="Arial" w:hAnsi="Arial"/>
                <w:sz w:val="8"/>
                <w:szCs w:val="8"/>
                <w:color w:val="auto"/>
              </w:rPr>
              <w:t>15</w:t>
            </w:r>
          </w:p>
        </w:tc>
        <w:tc>
          <w:tcPr>
            <w:tcW w:w="160" w:type="dxa"/>
            <w:vAlign w:val="bottom"/>
          </w:tcPr>
          <w:p>
            <w:pPr>
              <w:spacing w:after="0"/>
              <w:rPr>
                <w:sz w:val="6"/>
                <w:szCs w:val="6"/>
                <w:color w:val="auto"/>
              </w:rPr>
            </w:pPr>
          </w:p>
        </w:tc>
        <w:tc>
          <w:tcPr>
            <w:tcW w:w="900" w:type="dxa"/>
            <w:vAlign w:val="bottom"/>
          </w:tcPr>
          <w:p>
            <w:pPr>
              <w:jc w:val="center"/>
              <w:spacing w:after="0" w:line="70" w:lineRule="exact"/>
              <w:rPr>
                <w:sz w:val="20"/>
                <w:szCs w:val="20"/>
                <w:color w:val="auto"/>
              </w:rPr>
            </w:pPr>
            <w:r>
              <w:rPr>
                <w:rFonts w:ascii="Arial" w:cs="Arial" w:eastAsia="Arial" w:hAnsi="Arial"/>
                <w:sz w:val="8"/>
                <w:szCs w:val="8"/>
                <w:color w:val="auto"/>
              </w:rPr>
              <w:t>1</w:t>
            </w:r>
          </w:p>
        </w:tc>
        <w:tc>
          <w:tcPr>
            <w:tcW w:w="80" w:type="dxa"/>
            <w:vAlign w:val="bottom"/>
          </w:tcPr>
          <w:p>
            <w:pPr>
              <w:spacing w:after="0"/>
              <w:rPr>
                <w:sz w:val="6"/>
                <w:szCs w:val="6"/>
                <w:color w:val="auto"/>
              </w:rPr>
            </w:pPr>
          </w:p>
        </w:tc>
        <w:tc>
          <w:tcPr>
            <w:tcW w:w="1000" w:type="dxa"/>
            <w:vAlign w:val="bottom"/>
            <w:gridSpan w:val="2"/>
          </w:tcPr>
          <w:p>
            <w:pPr>
              <w:jc w:val="center"/>
              <w:ind w:left="39"/>
              <w:spacing w:after="0" w:line="70" w:lineRule="exact"/>
              <w:rPr>
                <w:sz w:val="20"/>
                <w:szCs w:val="20"/>
                <w:color w:val="auto"/>
              </w:rPr>
            </w:pPr>
            <w:r>
              <w:rPr>
                <w:rFonts w:ascii="Arial" w:cs="Arial" w:eastAsia="Arial" w:hAnsi="Arial"/>
                <w:sz w:val="8"/>
                <w:szCs w:val="8"/>
                <w:color w:val="auto"/>
                <w:w w:val="88"/>
              </w:rPr>
              <w:t>1</w:t>
            </w:r>
          </w:p>
        </w:tc>
        <w:tc>
          <w:tcPr>
            <w:tcW w:w="160" w:type="dxa"/>
            <w:vAlign w:val="bottom"/>
          </w:tcPr>
          <w:p>
            <w:pPr>
              <w:spacing w:after="0"/>
              <w:rPr>
                <w:sz w:val="6"/>
                <w:szCs w:val="6"/>
                <w:color w:val="auto"/>
              </w:rPr>
            </w:pPr>
          </w:p>
        </w:tc>
        <w:tc>
          <w:tcPr>
            <w:tcW w:w="3080" w:type="dxa"/>
            <w:vAlign w:val="bottom"/>
          </w:tcPr>
          <w:p>
            <w:pPr>
              <w:spacing w:after="0" w:line="70" w:lineRule="exact"/>
              <w:rPr>
                <w:sz w:val="20"/>
                <w:szCs w:val="20"/>
                <w:color w:val="auto"/>
              </w:rPr>
            </w:pPr>
            <w:r>
              <w:rPr>
                <w:rFonts w:ascii="Arial" w:cs="Arial" w:eastAsia="Arial" w:hAnsi="Arial"/>
                <w:sz w:val="8"/>
                <w:szCs w:val="8"/>
                <w:color w:val="auto"/>
              </w:rPr>
              <w:t>Reading Cinemas</w:t>
            </w:r>
          </w:p>
        </w:tc>
        <w:tc>
          <w:tcPr>
            <w:tcW w:w="0" w:type="dxa"/>
            <w:vAlign w:val="bottom"/>
          </w:tcPr>
          <w:p>
            <w:pPr>
              <w:spacing w:after="0"/>
              <w:rPr>
                <w:sz w:val="1"/>
                <w:szCs w:val="1"/>
                <w:color w:val="auto"/>
              </w:rPr>
            </w:pPr>
          </w:p>
        </w:tc>
      </w:tr>
      <w:tr>
        <w:trPr>
          <w:trHeight w:val="113"/>
        </w:trPr>
        <w:tc>
          <w:tcPr>
            <w:tcW w:w="1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8"/>
                <w:szCs w:val="8"/>
                <w:color w:val="auto"/>
              </w:rPr>
              <w:t>Otago</w:t>
            </w:r>
          </w:p>
        </w:tc>
        <w:tc>
          <w:tcPr>
            <w:tcW w:w="920" w:type="dxa"/>
            <w:vAlign w:val="bottom"/>
            <w:gridSpan w:val="2"/>
            <w:shd w:val="clear" w:color="auto" w:fill="CCEEFF"/>
          </w:tcPr>
          <w:p>
            <w:pPr>
              <w:jc w:val="center"/>
              <w:ind w:left="119"/>
              <w:spacing w:after="0"/>
              <w:rPr>
                <w:sz w:val="20"/>
                <w:szCs w:val="20"/>
                <w:color w:val="auto"/>
              </w:rPr>
            </w:pPr>
            <w:r>
              <w:rPr>
                <w:rFonts w:ascii="Arial" w:cs="Arial" w:eastAsia="Arial" w:hAnsi="Arial"/>
                <w:sz w:val="8"/>
                <w:szCs w:val="8"/>
                <w:color w:val="auto"/>
                <w:w w:val="88"/>
              </w:rPr>
              <w:t>3</w:t>
            </w:r>
          </w:p>
        </w:tc>
        <w:tc>
          <w:tcPr>
            <w:tcW w:w="940" w:type="dxa"/>
            <w:vAlign w:val="bottom"/>
            <w:gridSpan w:val="2"/>
            <w:shd w:val="clear" w:color="auto" w:fill="CCEEFF"/>
          </w:tcPr>
          <w:p>
            <w:pPr>
              <w:jc w:val="center"/>
              <w:ind w:left="119"/>
              <w:spacing w:after="0"/>
              <w:rPr>
                <w:sz w:val="20"/>
                <w:szCs w:val="20"/>
                <w:color w:val="auto"/>
              </w:rPr>
            </w:pPr>
            <w:r>
              <w:rPr>
                <w:rFonts w:ascii="Arial" w:cs="Arial" w:eastAsia="Arial" w:hAnsi="Arial"/>
                <w:sz w:val="8"/>
                <w:szCs w:val="8"/>
                <w:color w:val="auto"/>
              </w:rPr>
              <w:t>15</w:t>
            </w: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8"/>
                <w:szCs w:val="8"/>
                <w:color w:val="auto"/>
              </w:rPr>
              <w:t>2</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center"/>
              <w:ind w:left="39"/>
              <w:spacing w:after="0"/>
              <w:rPr>
                <w:sz w:val="20"/>
                <w:szCs w:val="20"/>
                <w:color w:val="auto"/>
              </w:rPr>
            </w:pPr>
            <w:r>
              <w:rPr>
                <w:rFonts w:ascii="Arial" w:cs="Arial" w:eastAsia="Arial" w:hAnsi="Arial"/>
                <w:sz w:val="8"/>
                <w:szCs w:val="8"/>
                <w:color w:val="auto"/>
                <w:w w:val="88"/>
              </w:rPr>
              <w:t>1</w:t>
            </w:r>
          </w:p>
        </w:tc>
        <w:tc>
          <w:tcPr>
            <w:tcW w:w="160" w:type="dxa"/>
            <w:vAlign w:val="bottom"/>
            <w:shd w:val="clear" w:color="auto" w:fill="CCEEFF"/>
          </w:tcPr>
          <w:p>
            <w:pPr>
              <w:spacing w:after="0"/>
              <w:rPr>
                <w:sz w:val="9"/>
                <w:szCs w:val="9"/>
                <w:color w:val="auto"/>
              </w:rPr>
            </w:pPr>
          </w:p>
        </w:tc>
        <w:tc>
          <w:tcPr>
            <w:tcW w:w="3080" w:type="dxa"/>
            <w:vAlign w:val="bottom"/>
            <w:shd w:val="clear" w:color="auto" w:fill="CCEEFF"/>
          </w:tcPr>
          <w:p>
            <w:pPr>
              <w:spacing w:after="0" w:line="113" w:lineRule="exact"/>
              <w:rPr>
                <w:sz w:val="20"/>
                <w:szCs w:val="20"/>
                <w:color w:val="auto"/>
              </w:rPr>
            </w:pPr>
            <w:r>
              <w:rPr>
                <w:rFonts w:ascii="Arial" w:cs="Arial" w:eastAsia="Arial" w:hAnsi="Arial"/>
                <w:sz w:val="8"/>
                <w:szCs w:val="8"/>
                <w:color w:val="auto"/>
              </w:rPr>
              <w:t>Reading Cinemas, Rialto Cinemas</w:t>
            </w:r>
            <w:r>
              <w:rPr>
                <w:rFonts w:ascii="Arial" w:cs="Arial" w:eastAsia="Arial" w:hAnsi="Arial"/>
                <w:sz w:val="13"/>
                <w:szCs w:val="13"/>
                <w:color w:val="auto"/>
                <w:vertAlign w:val="superscript"/>
              </w:rPr>
              <w:t>(2)</w:t>
            </w:r>
          </w:p>
        </w:tc>
        <w:tc>
          <w:tcPr>
            <w:tcW w:w="0" w:type="dxa"/>
            <w:vAlign w:val="bottom"/>
          </w:tcPr>
          <w:p>
            <w:pPr>
              <w:spacing w:after="0"/>
              <w:rPr>
                <w:sz w:val="1"/>
                <w:szCs w:val="1"/>
                <w:color w:val="auto"/>
              </w:rPr>
            </w:pPr>
          </w:p>
        </w:tc>
      </w:tr>
      <w:tr>
        <w:trPr>
          <w:trHeight w:val="113"/>
        </w:trPr>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tcPr>
          <w:p>
            <w:pPr>
              <w:spacing w:after="0"/>
              <w:rPr>
                <w:sz w:val="20"/>
                <w:szCs w:val="20"/>
                <w:color w:val="auto"/>
              </w:rPr>
            </w:pPr>
            <w:r>
              <w:rPr>
                <w:rFonts w:ascii="Arial" w:cs="Arial" w:eastAsia="Arial" w:hAnsi="Arial"/>
                <w:sz w:val="8"/>
                <w:szCs w:val="8"/>
                <w:color w:val="auto"/>
              </w:rPr>
              <w:t>Auckland</w:t>
            </w:r>
          </w:p>
        </w:tc>
        <w:tc>
          <w:tcPr>
            <w:tcW w:w="920" w:type="dxa"/>
            <w:vAlign w:val="bottom"/>
            <w:gridSpan w:val="2"/>
          </w:tcPr>
          <w:p>
            <w:pPr>
              <w:jc w:val="center"/>
              <w:ind w:left="119"/>
              <w:spacing w:after="0"/>
              <w:rPr>
                <w:sz w:val="20"/>
                <w:szCs w:val="20"/>
                <w:color w:val="auto"/>
              </w:rPr>
            </w:pPr>
            <w:r>
              <w:rPr>
                <w:rFonts w:ascii="Arial" w:cs="Arial" w:eastAsia="Arial" w:hAnsi="Arial"/>
                <w:sz w:val="8"/>
                <w:szCs w:val="8"/>
                <w:color w:val="auto"/>
                <w:w w:val="88"/>
              </w:rPr>
              <w:t>2</w:t>
            </w:r>
          </w:p>
        </w:tc>
        <w:tc>
          <w:tcPr>
            <w:tcW w:w="940" w:type="dxa"/>
            <w:vAlign w:val="bottom"/>
            <w:gridSpan w:val="2"/>
          </w:tcPr>
          <w:p>
            <w:pPr>
              <w:jc w:val="center"/>
              <w:ind w:left="119"/>
              <w:spacing w:after="0"/>
              <w:rPr>
                <w:sz w:val="20"/>
                <w:szCs w:val="20"/>
                <w:color w:val="auto"/>
              </w:rPr>
            </w:pPr>
            <w:r>
              <w:rPr>
                <w:rFonts w:ascii="Arial" w:cs="Arial" w:eastAsia="Arial" w:hAnsi="Arial"/>
                <w:sz w:val="8"/>
                <w:szCs w:val="8"/>
                <w:color w:val="auto"/>
              </w:rPr>
              <w:t>15</w:t>
            </w:r>
          </w:p>
        </w:tc>
        <w:tc>
          <w:tcPr>
            <w:tcW w:w="160" w:type="dxa"/>
            <w:vAlign w:val="bottom"/>
          </w:tcPr>
          <w:p>
            <w:pPr>
              <w:spacing w:after="0"/>
              <w:rPr>
                <w:sz w:val="9"/>
                <w:szCs w:val="9"/>
                <w:color w:val="auto"/>
              </w:rPr>
            </w:pPr>
          </w:p>
        </w:tc>
        <w:tc>
          <w:tcPr>
            <w:tcW w:w="900" w:type="dxa"/>
            <w:vAlign w:val="bottom"/>
          </w:tcPr>
          <w:p>
            <w:pPr>
              <w:jc w:val="center"/>
              <w:spacing w:after="0"/>
              <w:rPr>
                <w:sz w:val="20"/>
                <w:szCs w:val="20"/>
                <w:color w:val="auto"/>
              </w:rPr>
            </w:pPr>
            <w:r>
              <w:rPr>
                <w:rFonts w:ascii="Arial" w:cs="Arial" w:eastAsia="Arial" w:hAnsi="Arial"/>
                <w:sz w:val="8"/>
                <w:szCs w:val="8"/>
                <w:color w:val="auto"/>
              </w:rPr>
              <w:t>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tcPr>
          <w:p>
            <w:pPr>
              <w:spacing w:after="0" w:line="113" w:lineRule="exact"/>
              <w:rPr>
                <w:sz w:val="20"/>
                <w:szCs w:val="20"/>
                <w:color w:val="auto"/>
              </w:rPr>
            </w:pPr>
            <w:r>
              <w:rPr>
                <w:rFonts w:ascii="Arial" w:cs="Arial" w:eastAsia="Arial" w:hAnsi="Arial"/>
                <w:sz w:val="8"/>
                <w:szCs w:val="8"/>
                <w:color w:val="auto"/>
              </w:rPr>
              <w:t>Reading Cinemas, Rialto Cinemas</w:t>
            </w:r>
            <w:r>
              <w:rPr>
                <w:rFonts w:ascii="Arial" w:cs="Arial" w:eastAsia="Arial" w:hAnsi="Arial"/>
                <w:sz w:val="13"/>
                <w:szCs w:val="13"/>
                <w:color w:val="auto"/>
                <w:vertAlign w:val="superscript"/>
              </w:rPr>
              <w:t>(2)</w:t>
            </w:r>
          </w:p>
        </w:tc>
        <w:tc>
          <w:tcPr>
            <w:tcW w:w="0" w:type="dxa"/>
            <w:vAlign w:val="bottom"/>
          </w:tcPr>
          <w:p>
            <w:pPr>
              <w:spacing w:after="0"/>
              <w:rPr>
                <w:sz w:val="1"/>
                <w:szCs w:val="1"/>
                <w:color w:val="auto"/>
              </w:rPr>
            </w:pPr>
          </w:p>
        </w:tc>
      </w:tr>
      <w:tr>
        <w:trPr>
          <w:trHeight w:val="83"/>
        </w:trPr>
        <w:tc>
          <w:tcPr>
            <w:tcW w:w="1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740" w:type="dxa"/>
            <w:vAlign w:val="bottom"/>
            <w:shd w:val="clear" w:color="auto" w:fill="CCEEFF"/>
          </w:tcPr>
          <w:p>
            <w:pPr>
              <w:spacing w:after="0" w:line="83" w:lineRule="exact"/>
              <w:rPr>
                <w:sz w:val="20"/>
                <w:szCs w:val="20"/>
                <w:color w:val="auto"/>
              </w:rPr>
            </w:pPr>
            <w:r>
              <w:rPr>
                <w:rFonts w:ascii="Arial" w:cs="Arial" w:eastAsia="Arial" w:hAnsi="Arial"/>
                <w:sz w:val="8"/>
                <w:szCs w:val="8"/>
                <w:color w:val="auto"/>
              </w:rPr>
              <w:t>Canterbury</w:t>
            </w:r>
          </w:p>
        </w:tc>
        <w:tc>
          <w:tcPr>
            <w:tcW w:w="920" w:type="dxa"/>
            <w:vAlign w:val="bottom"/>
            <w:gridSpan w:val="2"/>
            <w:shd w:val="clear" w:color="auto" w:fill="CCEEFF"/>
          </w:tcPr>
          <w:p>
            <w:pPr>
              <w:jc w:val="center"/>
              <w:ind w:left="119"/>
              <w:spacing w:after="0" w:line="83" w:lineRule="exact"/>
              <w:rPr>
                <w:sz w:val="20"/>
                <w:szCs w:val="20"/>
                <w:color w:val="auto"/>
              </w:rPr>
            </w:pPr>
            <w:r>
              <w:rPr>
                <w:rFonts w:ascii="Arial" w:cs="Arial" w:eastAsia="Arial" w:hAnsi="Arial"/>
                <w:sz w:val="8"/>
                <w:szCs w:val="8"/>
                <w:color w:val="auto"/>
                <w:w w:val="88"/>
              </w:rPr>
              <w:t>1</w:t>
            </w:r>
          </w:p>
        </w:tc>
        <w:tc>
          <w:tcPr>
            <w:tcW w:w="940" w:type="dxa"/>
            <w:vAlign w:val="bottom"/>
            <w:gridSpan w:val="2"/>
            <w:shd w:val="clear" w:color="auto" w:fill="CCEEFF"/>
          </w:tcPr>
          <w:p>
            <w:pPr>
              <w:jc w:val="center"/>
              <w:ind w:left="99"/>
              <w:spacing w:after="0" w:line="83" w:lineRule="exact"/>
              <w:rPr>
                <w:sz w:val="20"/>
                <w:szCs w:val="20"/>
                <w:color w:val="auto"/>
              </w:rPr>
            </w:pPr>
            <w:r>
              <w:rPr>
                <w:rFonts w:ascii="Arial" w:cs="Arial" w:eastAsia="Arial" w:hAnsi="Arial"/>
                <w:sz w:val="8"/>
                <w:szCs w:val="8"/>
                <w:color w:val="auto"/>
                <w:w w:val="88"/>
              </w:rPr>
              <w:t>8</w:t>
            </w:r>
          </w:p>
        </w:tc>
        <w:tc>
          <w:tcPr>
            <w:tcW w:w="160" w:type="dxa"/>
            <w:vAlign w:val="bottom"/>
            <w:shd w:val="clear" w:color="auto" w:fill="CCEEFF"/>
          </w:tcPr>
          <w:p>
            <w:pPr>
              <w:spacing w:after="0"/>
              <w:rPr>
                <w:sz w:val="7"/>
                <w:szCs w:val="7"/>
                <w:color w:val="auto"/>
              </w:rPr>
            </w:pPr>
          </w:p>
        </w:tc>
        <w:tc>
          <w:tcPr>
            <w:tcW w:w="900" w:type="dxa"/>
            <w:vAlign w:val="bottom"/>
            <w:shd w:val="clear" w:color="auto" w:fill="CCEEFF"/>
          </w:tcPr>
          <w:p>
            <w:pPr>
              <w:jc w:val="center"/>
              <w:spacing w:after="0" w:line="83" w:lineRule="exact"/>
              <w:rPr>
                <w:sz w:val="20"/>
                <w:szCs w:val="20"/>
                <w:color w:val="auto"/>
              </w:rPr>
            </w:pPr>
            <w:r>
              <w:rPr>
                <w:rFonts w:ascii="Arial" w:cs="Arial" w:eastAsia="Arial" w:hAnsi="Arial"/>
                <w:sz w:val="8"/>
                <w:szCs w:val="8"/>
                <w:color w:val="auto"/>
              </w:rPr>
              <w:t>1</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080" w:type="dxa"/>
            <w:vAlign w:val="bottom"/>
            <w:shd w:val="clear" w:color="auto" w:fill="CCEEFF"/>
          </w:tcPr>
          <w:p>
            <w:pPr>
              <w:spacing w:after="0" w:line="83" w:lineRule="exact"/>
              <w:rPr>
                <w:sz w:val="20"/>
                <w:szCs w:val="20"/>
                <w:color w:val="auto"/>
              </w:rPr>
            </w:pPr>
            <w:r>
              <w:rPr>
                <w:rFonts w:ascii="Arial" w:cs="Arial" w:eastAsia="Arial" w:hAnsi="Arial"/>
                <w:sz w:val="8"/>
                <w:szCs w:val="8"/>
                <w:color w:val="auto"/>
              </w:rPr>
              <w:t>Reading Cinemas</w:t>
            </w:r>
          </w:p>
        </w:tc>
        <w:tc>
          <w:tcPr>
            <w:tcW w:w="0" w:type="dxa"/>
            <w:vAlign w:val="bottom"/>
          </w:tcPr>
          <w:p>
            <w:pPr>
              <w:spacing w:after="0"/>
              <w:rPr>
                <w:sz w:val="1"/>
                <w:szCs w:val="1"/>
                <w:color w:val="auto"/>
              </w:rPr>
            </w:pPr>
          </w:p>
        </w:tc>
      </w:tr>
      <w:tr>
        <w:trPr>
          <w:trHeight w:val="83"/>
        </w:trPr>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40" w:type="dxa"/>
            <w:vAlign w:val="bottom"/>
          </w:tcPr>
          <w:p>
            <w:pPr>
              <w:spacing w:after="0" w:line="83" w:lineRule="exact"/>
              <w:rPr>
                <w:sz w:val="20"/>
                <w:szCs w:val="20"/>
                <w:color w:val="auto"/>
              </w:rPr>
            </w:pPr>
            <w:r>
              <w:rPr>
                <w:rFonts w:ascii="Arial" w:cs="Arial" w:eastAsia="Arial" w:hAnsi="Arial"/>
                <w:sz w:val="8"/>
                <w:szCs w:val="8"/>
                <w:color w:val="auto"/>
              </w:rPr>
              <w:t>Southland</w:t>
            </w:r>
          </w:p>
        </w:tc>
        <w:tc>
          <w:tcPr>
            <w:tcW w:w="920" w:type="dxa"/>
            <w:vAlign w:val="bottom"/>
            <w:gridSpan w:val="2"/>
          </w:tcPr>
          <w:p>
            <w:pPr>
              <w:jc w:val="center"/>
              <w:ind w:left="119"/>
              <w:spacing w:after="0" w:line="83" w:lineRule="exact"/>
              <w:rPr>
                <w:sz w:val="20"/>
                <w:szCs w:val="20"/>
                <w:color w:val="auto"/>
              </w:rPr>
            </w:pPr>
            <w:r>
              <w:rPr>
                <w:rFonts w:ascii="Arial" w:cs="Arial" w:eastAsia="Arial" w:hAnsi="Arial"/>
                <w:sz w:val="8"/>
                <w:szCs w:val="8"/>
                <w:color w:val="auto"/>
                <w:w w:val="88"/>
              </w:rPr>
              <w:t>1</w:t>
            </w:r>
          </w:p>
        </w:tc>
        <w:tc>
          <w:tcPr>
            <w:tcW w:w="940" w:type="dxa"/>
            <w:vAlign w:val="bottom"/>
            <w:gridSpan w:val="2"/>
          </w:tcPr>
          <w:p>
            <w:pPr>
              <w:jc w:val="center"/>
              <w:ind w:left="99"/>
              <w:spacing w:after="0" w:line="83" w:lineRule="exact"/>
              <w:rPr>
                <w:sz w:val="20"/>
                <w:szCs w:val="20"/>
                <w:color w:val="auto"/>
              </w:rPr>
            </w:pPr>
            <w:r>
              <w:rPr>
                <w:rFonts w:ascii="Arial" w:cs="Arial" w:eastAsia="Arial" w:hAnsi="Arial"/>
                <w:sz w:val="8"/>
                <w:szCs w:val="8"/>
                <w:color w:val="auto"/>
                <w:w w:val="88"/>
              </w:rPr>
              <w:t>5</w:t>
            </w:r>
          </w:p>
        </w:tc>
        <w:tc>
          <w:tcPr>
            <w:tcW w:w="160" w:type="dxa"/>
            <w:vAlign w:val="bottom"/>
          </w:tcPr>
          <w:p>
            <w:pPr>
              <w:spacing w:after="0"/>
              <w:rPr>
                <w:sz w:val="7"/>
                <w:szCs w:val="7"/>
                <w:color w:val="auto"/>
              </w:rPr>
            </w:pPr>
          </w:p>
        </w:tc>
        <w:tc>
          <w:tcPr>
            <w:tcW w:w="900" w:type="dxa"/>
            <w:vAlign w:val="bottom"/>
          </w:tcPr>
          <w:p>
            <w:pPr>
              <w:jc w:val="center"/>
              <w:spacing w:after="0" w:line="83" w:lineRule="exact"/>
              <w:rPr>
                <w:sz w:val="20"/>
                <w:szCs w:val="20"/>
                <w:color w:val="auto"/>
              </w:rPr>
            </w:pPr>
            <w:r>
              <w:rPr>
                <w:rFonts w:ascii="Arial" w:cs="Arial" w:eastAsia="Arial" w:hAnsi="Arial"/>
                <w:sz w:val="8"/>
                <w:szCs w:val="8"/>
                <w:color w:val="auto"/>
              </w:rPr>
              <w:t>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80" w:type="dxa"/>
            <w:vAlign w:val="bottom"/>
          </w:tcPr>
          <w:p>
            <w:pPr>
              <w:spacing w:after="0" w:line="83" w:lineRule="exact"/>
              <w:rPr>
                <w:sz w:val="20"/>
                <w:szCs w:val="20"/>
                <w:color w:val="auto"/>
              </w:rPr>
            </w:pPr>
            <w:r>
              <w:rPr>
                <w:rFonts w:ascii="Arial" w:cs="Arial" w:eastAsia="Arial" w:hAnsi="Arial"/>
                <w:sz w:val="8"/>
                <w:szCs w:val="8"/>
                <w:color w:val="auto"/>
              </w:rPr>
              <w:t>Reading Cinemas</w:t>
            </w:r>
          </w:p>
        </w:tc>
        <w:tc>
          <w:tcPr>
            <w:tcW w:w="0" w:type="dxa"/>
            <w:vAlign w:val="bottom"/>
          </w:tcPr>
          <w:p>
            <w:pPr>
              <w:spacing w:after="0"/>
              <w:rPr>
                <w:sz w:val="1"/>
                <w:szCs w:val="1"/>
                <w:color w:val="auto"/>
              </w:rPr>
            </w:pPr>
          </w:p>
        </w:tc>
      </w:tr>
      <w:tr>
        <w:trPr>
          <w:trHeight w:val="83"/>
        </w:trPr>
        <w:tc>
          <w:tcPr>
            <w:tcW w:w="1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740" w:type="dxa"/>
            <w:vAlign w:val="bottom"/>
            <w:shd w:val="clear" w:color="auto" w:fill="CCEEFF"/>
          </w:tcPr>
          <w:p>
            <w:pPr>
              <w:spacing w:after="0" w:line="83" w:lineRule="exact"/>
              <w:rPr>
                <w:sz w:val="20"/>
                <w:szCs w:val="20"/>
                <w:color w:val="auto"/>
              </w:rPr>
            </w:pPr>
            <w:r>
              <w:rPr>
                <w:rFonts w:ascii="Arial" w:cs="Arial" w:eastAsia="Arial" w:hAnsi="Arial"/>
                <w:sz w:val="8"/>
                <w:szCs w:val="8"/>
                <w:color w:val="auto"/>
              </w:rPr>
              <w:t>Bay of Plenty</w:t>
            </w:r>
          </w:p>
        </w:tc>
        <w:tc>
          <w:tcPr>
            <w:tcW w:w="920" w:type="dxa"/>
            <w:vAlign w:val="bottom"/>
            <w:gridSpan w:val="2"/>
            <w:shd w:val="clear" w:color="auto" w:fill="CCEEFF"/>
          </w:tcPr>
          <w:p>
            <w:pPr>
              <w:jc w:val="center"/>
              <w:ind w:left="119"/>
              <w:spacing w:after="0" w:line="83" w:lineRule="exact"/>
              <w:rPr>
                <w:sz w:val="20"/>
                <w:szCs w:val="20"/>
                <w:color w:val="auto"/>
              </w:rPr>
            </w:pPr>
            <w:r>
              <w:rPr>
                <w:rFonts w:ascii="Arial" w:cs="Arial" w:eastAsia="Arial" w:hAnsi="Arial"/>
                <w:sz w:val="8"/>
                <w:szCs w:val="8"/>
                <w:color w:val="auto"/>
                <w:w w:val="88"/>
              </w:rPr>
              <w:t>1</w:t>
            </w:r>
          </w:p>
        </w:tc>
        <w:tc>
          <w:tcPr>
            <w:tcW w:w="940" w:type="dxa"/>
            <w:vAlign w:val="bottom"/>
            <w:gridSpan w:val="2"/>
            <w:shd w:val="clear" w:color="auto" w:fill="CCEEFF"/>
          </w:tcPr>
          <w:p>
            <w:pPr>
              <w:jc w:val="center"/>
              <w:ind w:left="99"/>
              <w:spacing w:after="0" w:line="83" w:lineRule="exact"/>
              <w:rPr>
                <w:sz w:val="20"/>
                <w:szCs w:val="20"/>
                <w:color w:val="auto"/>
              </w:rPr>
            </w:pPr>
            <w:r>
              <w:rPr>
                <w:rFonts w:ascii="Arial" w:cs="Arial" w:eastAsia="Arial" w:hAnsi="Arial"/>
                <w:sz w:val="8"/>
                <w:szCs w:val="8"/>
                <w:color w:val="auto"/>
                <w:w w:val="88"/>
              </w:rPr>
              <w:t>5</w:t>
            </w:r>
          </w:p>
        </w:tc>
        <w:tc>
          <w:tcPr>
            <w:tcW w:w="1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center"/>
              <w:ind w:left="39"/>
              <w:spacing w:after="0" w:line="83" w:lineRule="exact"/>
              <w:rPr>
                <w:sz w:val="20"/>
                <w:szCs w:val="20"/>
                <w:color w:val="auto"/>
              </w:rPr>
            </w:pPr>
            <w:r>
              <w:rPr>
                <w:rFonts w:ascii="Arial" w:cs="Arial" w:eastAsia="Arial" w:hAnsi="Arial"/>
                <w:sz w:val="8"/>
                <w:szCs w:val="8"/>
                <w:color w:val="auto"/>
                <w:w w:val="88"/>
              </w:rPr>
              <w:t>1</w:t>
            </w:r>
          </w:p>
        </w:tc>
        <w:tc>
          <w:tcPr>
            <w:tcW w:w="160" w:type="dxa"/>
            <w:vAlign w:val="bottom"/>
            <w:shd w:val="clear" w:color="auto" w:fill="CCEEFF"/>
          </w:tcPr>
          <w:p>
            <w:pPr>
              <w:spacing w:after="0"/>
              <w:rPr>
                <w:sz w:val="7"/>
                <w:szCs w:val="7"/>
                <w:color w:val="auto"/>
              </w:rPr>
            </w:pPr>
          </w:p>
        </w:tc>
        <w:tc>
          <w:tcPr>
            <w:tcW w:w="3080" w:type="dxa"/>
            <w:vAlign w:val="bottom"/>
            <w:shd w:val="clear" w:color="auto" w:fill="CCEEFF"/>
          </w:tcPr>
          <w:p>
            <w:pPr>
              <w:spacing w:after="0" w:line="83" w:lineRule="exact"/>
              <w:rPr>
                <w:sz w:val="20"/>
                <w:szCs w:val="20"/>
                <w:color w:val="auto"/>
              </w:rPr>
            </w:pPr>
            <w:r>
              <w:rPr>
                <w:rFonts w:ascii="Arial" w:cs="Arial" w:eastAsia="Arial" w:hAnsi="Arial"/>
                <w:sz w:val="8"/>
                <w:szCs w:val="8"/>
                <w:color w:val="auto"/>
              </w:rPr>
              <w:t>Reading Cinemas</w:t>
            </w:r>
          </w:p>
        </w:tc>
        <w:tc>
          <w:tcPr>
            <w:tcW w:w="0" w:type="dxa"/>
            <w:vAlign w:val="bottom"/>
          </w:tcPr>
          <w:p>
            <w:pPr>
              <w:spacing w:after="0"/>
              <w:rPr>
                <w:sz w:val="1"/>
                <w:szCs w:val="1"/>
                <w:color w:val="auto"/>
              </w:rPr>
            </w:pPr>
          </w:p>
        </w:tc>
      </w:tr>
      <w:tr>
        <w:trPr>
          <w:trHeight w:val="83"/>
        </w:trPr>
        <w:tc>
          <w:tcPr>
            <w:tcW w:w="14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line="83" w:lineRule="exact"/>
              <w:rPr>
                <w:sz w:val="20"/>
                <w:szCs w:val="20"/>
                <w:color w:val="auto"/>
              </w:rPr>
            </w:pPr>
            <w:r>
              <w:rPr>
                <w:rFonts w:ascii="Arial" w:cs="Arial" w:eastAsia="Arial" w:hAnsi="Arial"/>
                <w:sz w:val="8"/>
                <w:szCs w:val="8"/>
                <w:color w:val="auto"/>
              </w:rPr>
              <w:t>Hawke's Bay</w:t>
            </w:r>
          </w:p>
        </w:tc>
        <w:tc>
          <w:tcPr>
            <w:tcW w:w="920" w:type="dxa"/>
            <w:vAlign w:val="bottom"/>
            <w:tcBorders>
              <w:bottom w:val="single" w:sz="8" w:color="auto"/>
            </w:tcBorders>
            <w:gridSpan w:val="2"/>
          </w:tcPr>
          <w:p>
            <w:pPr>
              <w:jc w:val="center"/>
              <w:ind w:left="119"/>
              <w:spacing w:after="0" w:line="83" w:lineRule="exact"/>
              <w:rPr>
                <w:sz w:val="20"/>
                <w:szCs w:val="20"/>
                <w:color w:val="auto"/>
              </w:rPr>
            </w:pPr>
            <w:r>
              <w:rPr>
                <w:rFonts w:ascii="Arial" w:cs="Arial" w:eastAsia="Arial" w:hAnsi="Arial"/>
                <w:sz w:val="8"/>
                <w:szCs w:val="8"/>
                <w:color w:val="auto"/>
                <w:w w:val="88"/>
              </w:rPr>
              <w:t>1</w:t>
            </w:r>
          </w:p>
        </w:tc>
        <w:tc>
          <w:tcPr>
            <w:tcW w:w="940" w:type="dxa"/>
            <w:vAlign w:val="bottom"/>
            <w:tcBorders>
              <w:bottom w:val="single" w:sz="8" w:color="auto"/>
            </w:tcBorders>
            <w:gridSpan w:val="2"/>
          </w:tcPr>
          <w:p>
            <w:pPr>
              <w:jc w:val="center"/>
              <w:ind w:left="99"/>
              <w:spacing w:after="0" w:line="83" w:lineRule="exact"/>
              <w:rPr>
                <w:sz w:val="20"/>
                <w:szCs w:val="20"/>
                <w:color w:val="auto"/>
              </w:rPr>
            </w:pPr>
            <w:r>
              <w:rPr>
                <w:rFonts w:ascii="Arial" w:cs="Arial" w:eastAsia="Arial" w:hAnsi="Arial"/>
                <w:sz w:val="8"/>
                <w:szCs w:val="8"/>
                <w:color w:val="auto"/>
                <w:w w:val="88"/>
              </w:rPr>
              <w:t>4</w:t>
            </w: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2"/>
          </w:tcPr>
          <w:p>
            <w:pPr>
              <w:jc w:val="center"/>
              <w:ind w:left="39"/>
              <w:spacing w:after="0" w:line="83" w:lineRule="exact"/>
              <w:rPr>
                <w:sz w:val="20"/>
                <w:szCs w:val="20"/>
                <w:color w:val="auto"/>
              </w:rPr>
            </w:pPr>
            <w:r>
              <w:rPr>
                <w:rFonts w:ascii="Arial" w:cs="Arial" w:eastAsia="Arial" w:hAnsi="Arial"/>
                <w:sz w:val="8"/>
                <w:szCs w:val="8"/>
                <w:color w:val="auto"/>
                <w:w w:val="88"/>
              </w:rPr>
              <w:t>1</w:t>
            </w:r>
          </w:p>
        </w:tc>
        <w:tc>
          <w:tcPr>
            <w:tcW w:w="160" w:type="dxa"/>
            <w:vAlign w:val="bottom"/>
            <w:tcBorders>
              <w:bottom w:val="single" w:sz="8" w:color="auto"/>
            </w:tcBorders>
          </w:tcPr>
          <w:p>
            <w:pPr>
              <w:spacing w:after="0"/>
              <w:rPr>
                <w:sz w:val="7"/>
                <w:szCs w:val="7"/>
                <w:color w:val="auto"/>
              </w:rPr>
            </w:pPr>
          </w:p>
        </w:tc>
        <w:tc>
          <w:tcPr>
            <w:tcW w:w="3080" w:type="dxa"/>
            <w:vAlign w:val="bottom"/>
            <w:tcBorders>
              <w:bottom w:val="single" w:sz="8" w:color="auto"/>
            </w:tcBorders>
          </w:tcPr>
          <w:p>
            <w:pPr>
              <w:spacing w:after="0" w:line="83" w:lineRule="exact"/>
              <w:rPr>
                <w:sz w:val="20"/>
                <w:szCs w:val="20"/>
                <w:color w:val="auto"/>
              </w:rPr>
            </w:pPr>
            <w:r>
              <w:rPr>
                <w:rFonts w:ascii="Arial" w:cs="Arial" w:eastAsia="Arial" w:hAnsi="Arial"/>
                <w:sz w:val="8"/>
                <w:szCs w:val="8"/>
                <w:color w:val="auto"/>
              </w:rPr>
              <w:t>Reading Cinemas</w:t>
            </w:r>
          </w:p>
        </w:tc>
        <w:tc>
          <w:tcPr>
            <w:tcW w:w="0" w:type="dxa"/>
            <w:vAlign w:val="bottom"/>
          </w:tcPr>
          <w:p>
            <w:pPr>
              <w:spacing w:after="0"/>
              <w:rPr>
                <w:sz w:val="1"/>
                <w:szCs w:val="1"/>
                <w:color w:val="auto"/>
              </w:rPr>
            </w:pPr>
          </w:p>
        </w:tc>
      </w:tr>
      <w:tr>
        <w:trPr>
          <w:trHeight w:val="70"/>
        </w:trPr>
        <w:tc>
          <w:tcPr>
            <w:tcW w:w="148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740" w:type="dxa"/>
            <w:vAlign w:val="bottom"/>
            <w:tcBorders>
              <w:bottom w:val="single" w:sz="8" w:color="auto"/>
            </w:tcBorders>
            <w:shd w:val="clear" w:color="auto" w:fill="CCEEFF"/>
          </w:tcPr>
          <w:p>
            <w:pPr>
              <w:ind w:left="40"/>
              <w:spacing w:after="0" w:line="70" w:lineRule="exact"/>
              <w:rPr>
                <w:sz w:val="20"/>
                <w:szCs w:val="20"/>
                <w:color w:val="auto"/>
              </w:rPr>
            </w:pPr>
            <w:r>
              <w:rPr>
                <w:rFonts w:ascii="Arial" w:cs="Arial" w:eastAsia="Arial" w:hAnsi="Arial"/>
                <w:sz w:val="8"/>
                <w:szCs w:val="8"/>
                <w:b w:val="1"/>
                <w:bCs w:val="1"/>
                <w:i w:val="1"/>
                <w:iCs w:val="1"/>
                <w:color w:val="auto"/>
              </w:rPr>
              <w:t>New Zealand Total</w:t>
            </w:r>
          </w:p>
        </w:tc>
        <w:tc>
          <w:tcPr>
            <w:tcW w:w="920" w:type="dxa"/>
            <w:vAlign w:val="bottom"/>
            <w:tcBorders>
              <w:bottom w:val="single" w:sz="8" w:color="auto"/>
            </w:tcBorders>
            <w:gridSpan w:val="2"/>
            <w:shd w:val="clear" w:color="auto" w:fill="CCEEFF"/>
          </w:tcPr>
          <w:p>
            <w:pPr>
              <w:jc w:val="center"/>
              <w:ind w:left="119"/>
              <w:spacing w:after="0" w:line="70" w:lineRule="exact"/>
              <w:rPr>
                <w:sz w:val="20"/>
                <w:szCs w:val="20"/>
                <w:color w:val="auto"/>
              </w:rPr>
            </w:pPr>
            <w:r>
              <w:rPr>
                <w:rFonts w:ascii="Arial" w:cs="Arial" w:eastAsia="Arial" w:hAnsi="Arial"/>
                <w:sz w:val="8"/>
                <w:szCs w:val="8"/>
                <w:b w:val="1"/>
                <w:bCs w:val="1"/>
                <w:color w:val="auto"/>
                <w:w w:val="89"/>
              </w:rPr>
              <w:t>11</w:t>
            </w:r>
          </w:p>
        </w:tc>
        <w:tc>
          <w:tcPr>
            <w:tcW w:w="940" w:type="dxa"/>
            <w:vAlign w:val="bottom"/>
            <w:tcBorders>
              <w:bottom w:val="single" w:sz="8" w:color="auto"/>
            </w:tcBorders>
            <w:gridSpan w:val="2"/>
            <w:shd w:val="clear" w:color="auto" w:fill="CCEEFF"/>
          </w:tcPr>
          <w:p>
            <w:pPr>
              <w:jc w:val="center"/>
              <w:ind w:left="119"/>
              <w:spacing w:after="0" w:line="70" w:lineRule="exact"/>
              <w:rPr>
                <w:sz w:val="20"/>
                <w:szCs w:val="20"/>
                <w:color w:val="auto"/>
              </w:rPr>
            </w:pPr>
            <w:r>
              <w:rPr>
                <w:rFonts w:ascii="Arial" w:cs="Arial" w:eastAsia="Arial" w:hAnsi="Arial"/>
                <w:sz w:val="8"/>
                <w:szCs w:val="8"/>
                <w:b w:val="1"/>
                <w:bCs w:val="1"/>
                <w:color w:val="auto"/>
              </w:rPr>
              <w:t>67</w:t>
            </w: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jc w:val="center"/>
              <w:spacing w:after="0" w:line="70" w:lineRule="exact"/>
              <w:rPr>
                <w:sz w:val="20"/>
                <w:szCs w:val="20"/>
                <w:color w:val="auto"/>
              </w:rPr>
            </w:pPr>
            <w:r>
              <w:rPr>
                <w:rFonts w:ascii="Arial" w:cs="Arial" w:eastAsia="Arial" w:hAnsi="Arial"/>
                <w:sz w:val="8"/>
                <w:szCs w:val="8"/>
                <w:b w:val="1"/>
                <w:bCs w:val="1"/>
                <w:color w:val="auto"/>
              </w:rPr>
              <w:t>7</w:t>
            </w:r>
          </w:p>
        </w:tc>
        <w:tc>
          <w:tcPr>
            <w:tcW w:w="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gridSpan w:val="2"/>
            <w:shd w:val="clear" w:color="auto" w:fill="CCEEFF"/>
          </w:tcPr>
          <w:p>
            <w:pPr>
              <w:jc w:val="center"/>
              <w:ind w:left="39"/>
              <w:spacing w:after="0" w:line="70" w:lineRule="exact"/>
              <w:rPr>
                <w:sz w:val="20"/>
                <w:szCs w:val="20"/>
                <w:color w:val="auto"/>
              </w:rPr>
            </w:pPr>
            <w:r>
              <w:rPr>
                <w:rFonts w:ascii="Arial" w:cs="Arial" w:eastAsia="Arial" w:hAnsi="Arial"/>
                <w:sz w:val="8"/>
                <w:szCs w:val="8"/>
                <w:b w:val="1"/>
                <w:bCs w:val="1"/>
                <w:color w:val="auto"/>
                <w:w w:val="88"/>
              </w:rPr>
              <w:t>4</w:t>
            </w:r>
          </w:p>
        </w:tc>
        <w:tc>
          <w:tcPr>
            <w:tcW w:w="160" w:type="dxa"/>
            <w:vAlign w:val="bottom"/>
            <w:tcBorders>
              <w:bottom w:val="single" w:sz="8" w:color="auto"/>
            </w:tcBorders>
            <w:shd w:val="clear" w:color="auto" w:fill="CCEEFF"/>
          </w:tcPr>
          <w:p>
            <w:pPr>
              <w:spacing w:after="0"/>
              <w:rPr>
                <w:sz w:val="6"/>
                <w:szCs w:val="6"/>
                <w:color w:val="auto"/>
              </w:rPr>
            </w:pPr>
          </w:p>
        </w:tc>
        <w:tc>
          <w:tcPr>
            <w:tcW w:w="30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480" w:type="dxa"/>
            <w:vAlign w:val="bottom"/>
            <w:tcBorders>
              <w:bottom w:val="single" w:sz="8" w:color="auto"/>
            </w:tcBorders>
          </w:tcPr>
          <w:p>
            <w:pPr>
              <w:spacing w:after="0" w:line="70" w:lineRule="exact"/>
              <w:rPr>
                <w:sz w:val="20"/>
                <w:szCs w:val="20"/>
                <w:color w:val="auto"/>
              </w:rPr>
            </w:pPr>
            <w:r>
              <w:rPr>
                <w:rFonts w:ascii="Arial" w:cs="Arial" w:eastAsia="Arial" w:hAnsi="Arial"/>
                <w:sz w:val="8"/>
                <w:szCs w:val="8"/>
                <w:b w:val="1"/>
                <w:bCs w:val="1"/>
                <w:color w:val="auto"/>
              </w:rPr>
              <w:t>GRAND TOTAL</w:t>
            </w:r>
          </w:p>
        </w:tc>
        <w:tc>
          <w:tcPr>
            <w:tcW w:w="16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tcPr>
          <w:p>
            <w:pPr>
              <w:jc w:val="center"/>
              <w:ind w:left="119"/>
              <w:spacing w:after="0" w:line="70" w:lineRule="exact"/>
              <w:rPr>
                <w:sz w:val="20"/>
                <w:szCs w:val="20"/>
                <w:color w:val="auto"/>
              </w:rPr>
            </w:pPr>
            <w:r>
              <w:rPr>
                <w:rFonts w:ascii="Arial" w:cs="Arial" w:eastAsia="Arial" w:hAnsi="Arial"/>
                <w:sz w:val="8"/>
                <w:szCs w:val="8"/>
                <w:b w:val="1"/>
                <w:bCs w:val="1"/>
                <w:color w:val="auto"/>
                <w:w w:val="89"/>
              </w:rPr>
              <w:t>62</w:t>
            </w:r>
          </w:p>
        </w:tc>
        <w:tc>
          <w:tcPr>
            <w:tcW w:w="940" w:type="dxa"/>
            <w:vAlign w:val="bottom"/>
            <w:tcBorders>
              <w:bottom w:val="single" w:sz="8" w:color="auto"/>
            </w:tcBorders>
            <w:gridSpan w:val="2"/>
          </w:tcPr>
          <w:p>
            <w:pPr>
              <w:jc w:val="center"/>
              <w:ind w:left="119"/>
              <w:spacing w:after="0" w:line="70" w:lineRule="exact"/>
              <w:rPr>
                <w:sz w:val="20"/>
                <w:szCs w:val="20"/>
                <w:color w:val="auto"/>
              </w:rPr>
            </w:pPr>
            <w:r>
              <w:rPr>
                <w:rFonts w:ascii="Arial" w:cs="Arial" w:eastAsia="Arial" w:hAnsi="Arial"/>
                <w:sz w:val="8"/>
                <w:szCs w:val="8"/>
                <w:b w:val="1"/>
                <w:bCs w:val="1"/>
                <w:color w:val="auto"/>
              </w:rPr>
              <w:t>507</w:t>
            </w: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jc w:val="center"/>
              <w:spacing w:after="0" w:line="70" w:lineRule="exact"/>
              <w:rPr>
                <w:sz w:val="20"/>
                <w:szCs w:val="20"/>
                <w:color w:val="auto"/>
              </w:rPr>
            </w:pPr>
            <w:r>
              <w:rPr>
                <w:rFonts w:ascii="Arial" w:cs="Arial" w:eastAsia="Arial" w:hAnsi="Arial"/>
                <w:sz w:val="8"/>
                <w:szCs w:val="8"/>
                <w:b w:val="1"/>
                <w:bCs w:val="1"/>
                <w:color w:val="auto"/>
              </w:rPr>
              <w:t>52</w:t>
            </w: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2"/>
          </w:tcPr>
          <w:p>
            <w:pPr>
              <w:jc w:val="center"/>
              <w:ind w:left="39"/>
              <w:spacing w:after="0" w:line="70" w:lineRule="exact"/>
              <w:rPr>
                <w:sz w:val="20"/>
                <w:szCs w:val="20"/>
                <w:color w:val="auto"/>
              </w:rPr>
            </w:pPr>
            <w:r>
              <w:rPr>
                <w:rFonts w:ascii="Arial" w:cs="Arial" w:eastAsia="Arial" w:hAnsi="Arial"/>
                <w:sz w:val="8"/>
                <w:szCs w:val="8"/>
                <w:b w:val="1"/>
                <w:bCs w:val="1"/>
                <w:color w:val="auto"/>
                <w:w w:val="89"/>
              </w:rPr>
              <w:t>10</w:t>
            </w:r>
          </w:p>
        </w:tc>
        <w:tc>
          <w:tcPr>
            <w:tcW w:w="16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60" w:hanging="190"/>
        <w:spacing w:after="0"/>
        <w:tabs>
          <w:tab w:leader="none" w:pos="360" w:val="left"/>
        </w:tabs>
        <w:numPr>
          <w:ilvl w:val="0"/>
          <w:numId w:val="6"/>
        </w:numPr>
        <w:rPr>
          <w:rFonts w:ascii="Arial" w:cs="Arial" w:eastAsia="Arial" w:hAnsi="Arial"/>
          <w:sz w:val="8"/>
          <w:szCs w:val="8"/>
          <w:color w:val="auto"/>
        </w:rPr>
      </w:pPr>
      <w:r>
        <w:rPr>
          <w:rFonts w:ascii="Arial" w:cs="Arial" w:eastAsia="Arial" w:hAnsi="Arial"/>
          <w:sz w:val="8"/>
          <w:szCs w:val="8"/>
          <w:color w:val="auto"/>
        </w:rPr>
        <w:t>Our Company has a 33.3% unincorporated joint venture interest in a 16-screen cinema located in Mt. Gravatt, Queensland managed by Event Cinemas.</w:t>
      </w:r>
    </w:p>
    <w:p>
      <w:pPr>
        <w:ind w:left="360" w:hanging="190"/>
        <w:spacing w:after="0"/>
        <w:tabs>
          <w:tab w:leader="none" w:pos="360" w:val="left"/>
        </w:tabs>
        <w:numPr>
          <w:ilvl w:val="0"/>
          <w:numId w:val="6"/>
        </w:numPr>
        <w:rPr>
          <w:rFonts w:ascii="Arial" w:cs="Arial" w:eastAsia="Arial" w:hAnsi="Arial"/>
          <w:sz w:val="8"/>
          <w:szCs w:val="8"/>
          <w:color w:val="auto"/>
        </w:rPr>
      </w:pPr>
      <w:r>
        <w:rPr>
          <w:rFonts w:ascii="Arial" w:cs="Arial" w:eastAsia="Arial" w:hAnsi="Arial"/>
          <w:sz w:val="8"/>
          <w:szCs w:val="8"/>
          <w:color w:val="auto"/>
        </w:rPr>
        <w:t>Our Company is a 50% joint venture partner in two New Zealand Rialto Cinemas, with a total of 13 screens. We are responsible for the booking of these cinemas and our joint venture partner, Event Cinemas, manages their day-to-day operations.</w:t>
      </w:r>
    </w:p>
    <w:p>
      <w:pPr>
        <w:spacing w:after="0" w:line="15" w:lineRule="exact"/>
        <w:rPr>
          <w:sz w:val="20"/>
          <w:szCs w:val="20"/>
          <w:color w:val="auto"/>
        </w:rPr>
      </w:pPr>
    </w:p>
    <w:p>
      <w:pPr>
        <w:ind w:left="360" w:right="60" w:hanging="179"/>
        <w:spacing w:after="0" w:line="248" w:lineRule="auto"/>
        <w:rPr>
          <w:sz w:val="20"/>
          <w:szCs w:val="20"/>
          <w:color w:val="auto"/>
        </w:rPr>
      </w:pPr>
      <w:r>
        <w:rPr>
          <w:rFonts w:ascii="Arial" w:cs="Arial" w:eastAsia="Arial" w:hAnsi="Arial"/>
          <w:sz w:val="8"/>
          <w:szCs w:val="8"/>
          <w:color w:val="auto"/>
        </w:rPr>
        <w:t>(3)Our total location counts as of September 30, 2023, reflects all operating cinemas, including (i) the Angelika Film Center at South City Square in Australia, which opened on August 24, 2023, (ii) the Reading Cinemas at Busselton in Australia, which opened on September 22, 2023, (iii) the Reading Cinemas at Courtenay Central in New Zealand, which remains closed while we address certain seismic issues and (iv) two underperforming Consolidated Theatres in Hawaii were closed, as of July 9, 2023 and July 31, 2023 respectively.</w:t>
      </w:r>
    </w:p>
    <w:p>
      <w:pPr>
        <w:spacing w:after="0" w:line="149" w:lineRule="exact"/>
        <w:rPr>
          <w:sz w:val="20"/>
          <w:szCs w:val="20"/>
          <w:color w:val="auto"/>
        </w:rPr>
      </w:pPr>
    </w:p>
    <w:p>
      <w:pPr>
        <w:ind w:right="120"/>
        <w:spacing w:after="0" w:line="228" w:lineRule="auto"/>
        <w:rPr>
          <w:sz w:val="20"/>
          <w:szCs w:val="20"/>
          <w:color w:val="auto"/>
        </w:rPr>
      </w:pPr>
      <w:r>
        <w:rPr>
          <w:rFonts w:ascii="Arial" w:cs="Arial" w:eastAsia="Arial" w:hAnsi="Arial"/>
          <w:sz w:val="10"/>
          <w:szCs w:val="10"/>
          <w:color w:val="auto"/>
        </w:rPr>
        <w:t xml:space="preserve">Our cinema revenues consist primarily of cinema ticket sales, F&amp;B sales, screen advertising, gift card purchases, cinema rentals, and online convenience fee revenue generated by the sale of our cinema tickets through our websites and mobile apps. Cinema operating expenses consist of the costs directly attributable to the operation of the cinemas, including (i) film rent expense, (ii) operating costs, such as employment costs and utilities, and (iii) occupancy costs. Cinema revenues and certain expenses fluctuate with the availability of quality first run films and the number of weeks such first run films stay in the market. For a breakdown of our current cinema assets that we own and/or manage, please refer to </w:t>
      </w:r>
      <w:r>
        <w:rPr>
          <w:rFonts w:ascii="Arial" w:cs="Arial" w:eastAsia="Arial" w:hAnsi="Arial"/>
          <w:sz w:val="10"/>
          <w:szCs w:val="10"/>
          <w:i w:val="1"/>
          <w:iCs w:val="1"/>
          <w:color w:val="auto"/>
        </w:rPr>
        <w:t>Part I, Item 1 – Our</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Business </w:t>
      </w:r>
      <w:r>
        <w:rPr>
          <w:rFonts w:ascii="Arial" w:cs="Arial" w:eastAsia="Arial" w:hAnsi="Arial"/>
          <w:sz w:val="10"/>
          <w:szCs w:val="10"/>
          <w:color w:val="auto"/>
        </w:rPr>
        <w:t>of our 2022 Form 10-K. We now present a discussion of recent material developments.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Cinema Additions and Pipeline</w:t>
      </w:r>
    </w:p>
    <w:p>
      <w:pPr>
        <w:spacing w:after="0" w:line="97" w:lineRule="exact"/>
        <w:rPr>
          <w:sz w:val="20"/>
          <w:szCs w:val="20"/>
          <w:color w:val="auto"/>
        </w:rPr>
      </w:pPr>
    </w:p>
    <w:p>
      <w:pPr>
        <w:spacing w:after="0"/>
        <w:rPr>
          <w:sz w:val="20"/>
          <w:szCs w:val="20"/>
          <w:color w:val="auto"/>
        </w:rPr>
      </w:pPr>
      <w:r>
        <w:rPr>
          <w:rFonts w:ascii="Arial" w:cs="Arial" w:eastAsia="Arial" w:hAnsi="Arial"/>
          <w:sz w:val="10"/>
          <w:szCs w:val="10"/>
          <w:color w:val="auto"/>
        </w:rPr>
        <w:t>The latest additions to our cinema portfolio as of September 30, 2023, were as follows:</w:t>
      </w:r>
    </w:p>
    <w:p>
      <w:pPr>
        <w:ind w:left="360"/>
        <w:spacing w:after="0"/>
        <w:rPr>
          <w:sz w:val="20"/>
          <w:szCs w:val="20"/>
          <w:color w:val="auto"/>
        </w:rPr>
      </w:pPr>
      <w:r>
        <w:rPr>
          <w:rFonts w:ascii="Arial" w:cs="Arial" w:eastAsia="Arial" w:hAnsi="Arial"/>
          <w:sz w:val="10"/>
          <w:szCs w:val="10"/>
          <w:i w:val="1"/>
          <w:iCs w:val="1"/>
          <w:u w:val="single" w:color="auto"/>
          <w:color w:val="auto"/>
        </w:rPr>
        <w:t>Armadale, Western Australia, Australia</w:t>
      </w:r>
      <w:r>
        <w:rPr>
          <w:rFonts w:ascii="Arial" w:cs="Arial" w:eastAsia="Arial" w:hAnsi="Arial"/>
          <w:sz w:val="10"/>
          <w:szCs w:val="10"/>
          <w:i w:val="1"/>
          <w:iCs w:val="1"/>
          <w:color w:val="auto"/>
        </w:rPr>
        <w:t xml:space="preserve">: </w:t>
      </w:r>
      <w:r>
        <w:rPr>
          <w:rFonts w:ascii="Arial" w:cs="Arial" w:eastAsia="Arial" w:hAnsi="Arial"/>
          <w:sz w:val="10"/>
          <w:szCs w:val="10"/>
          <w:color w:val="auto"/>
        </w:rPr>
        <w:t>On January 13, 2023, we took over an existing six-screen cinema in Armadale, Australia, a suburb of Perth in Western Australia.</w:t>
      </w:r>
    </w:p>
    <w:p>
      <w:pPr>
        <w:spacing w:after="0" w:line="85" w:lineRule="exact"/>
        <w:rPr>
          <w:sz w:val="20"/>
          <w:szCs w:val="20"/>
          <w:color w:val="auto"/>
        </w:rPr>
      </w:pPr>
    </w:p>
    <w:p>
      <w:pPr>
        <w:ind w:left="360"/>
        <w:spacing w:after="0" w:line="242" w:lineRule="auto"/>
        <w:rPr>
          <w:sz w:val="20"/>
          <w:szCs w:val="20"/>
          <w:color w:val="auto"/>
        </w:rPr>
      </w:pPr>
      <w:r>
        <w:rPr>
          <w:rFonts w:ascii="Arial" w:cs="Arial" w:eastAsia="Arial" w:hAnsi="Arial"/>
          <w:sz w:val="10"/>
          <w:szCs w:val="10"/>
          <w:i w:val="1"/>
          <w:iCs w:val="1"/>
          <w:u w:val="single" w:color="auto"/>
          <w:color w:val="auto"/>
        </w:rPr>
        <w:t>South City Square, Brisbane, Australia:</w:t>
      </w:r>
      <w:r>
        <w:rPr>
          <w:rFonts w:ascii="Arial" w:cs="Arial" w:eastAsia="Arial" w:hAnsi="Arial"/>
          <w:sz w:val="10"/>
          <w:szCs w:val="10"/>
          <w:i w:val="1"/>
          <w:iCs w:val="1"/>
          <w:color w:val="auto"/>
        </w:rPr>
        <w:t xml:space="preserve"> </w:t>
      </w:r>
      <w:r>
        <w:rPr>
          <w:rFonts w:ascii="Arial" w:cs="Arial" w:eastAsia="Arial" w:hAnsi="Arial"/>
          <w:sz w:val="10"/>
          <w:szCs w:val="10"/>
          <w:color w:val="auto"/>
        </w:rPr>
        <w:t>On August 24, 2023, we launched our first-ever Angelika Film Center outside of the United States at South City Square in Woolloongabba, Brisbane. The location currently operates as an eight-screen</w:t>
      </w:r>
      <w:r>
        <w:rPr>
          <w:rFonts w:ascii="Arial" w:cs="Arial" w:eastAsia="Arial" w:hAnsi="Arial"/>
          <w:sz w:val="10"/>
          <w:szCs w:val="10"/>
          <w:i w:val="1"/>
          <w:iCs w:val="1"/>
          <w:color w:val="auto"/>
        </w:rPr>
        <w:t xml:space="preserve"> </w:t>
      </w:r>
      <w:r>
        <w:rPr>
          <w:rFonts w:ascii="Arial" w:cs="Arial" w:eastAsia="Arial" w:hAnsi="Arial"/>
          <w:sz w:val="10"/>
          <w:szCs w:val="10"/>
          <w:color w:val="auto"/>
        </w:rPr>
        <w:t>complex, featuring elevated food and beverage offerings (including alcoholic beverages) and recliner seating.</w:t>
      </w:r>
    </w:p>
    <w:p>
      <w:pPr>
        <w:spacing w:after="0" w:line="83" w:lineRule="exact"/>
        <w:rPr>
          <w:sz w:val="20"/>
          <w:szCs w:val="20"/>
          <w:color w:val="auto"/>
        </w:rPr>
      </w:pPr>
    </w:p>
    <w:p>
      <w:pPr>
        <w:ind w:left="360" w:right="60"/>
        <w:spacing w:after="0" w:line="242" w:lineRule="auto"/>
        <w:rPr>
          <w:sz w:val="20"/>
          <w:szCs w:val="20"/>
          <w:color w:val="auto"/>
        </w:rPr>
      </w:pPr>
      <w:r>
        <w:rPr>
          <w:rFonts w:ascii="Arial" w:cs="Arial" w:eastAsia="Arial" w:hAnsi="Arial"/>
          <w:sz w:val="10"/>
          <w:szCs w:val="10"/>
          <w:i w:val="1"/>
          <w:iCs w:val="1"/>
          <w:u w:val="single" w:color="auto"/>
          <w:color w:val="auto"/>
        </w:rPr>
        <w:t>Busselton, Western Australia, Australia:</w:t>
      </w:r>
      <w:r>
        <w:rPr>
          <w:rFonts w:ascii="Arial" w:cs="Arial" w:eastAsia="Arial" w:hAnsi="Arial"/>
          <w:sz w:val="10"/>
          <w:szCs w:val="10"/>
          <w:i w:val="1"/>
          <w:iCs w:val="1"/>
          <w:color w:val="auto"/>
        </w:rPr>
        <w:t xml:space="preserve"> </w:t>
      </w:r>
      <w:r>
        <w:rPr>
          <w:rFonts w:ascii="Arial" w:cs="Arial" w:eastAsia="Arial" w:hAnsi="Arial"/>
          <w:sz w:val="10"/>
          <w:szCs w:val="10"/>
          <w:color w:val="auto"/>
        </w:rPr>
        <w:t>On September 22, 2023, we opened a five-screen complex in the newly expanded Busselton Central Shopping Centre precinct of Busselton, Western Australia. The state-of-the-art complex features</w:t>
      </w:r>
      <w:r>
        <w:rPr>
          <w:rFonts w:ascii="Arial" w:cs="Arial" w:eastAsia="Arial" w:hAnsi="Arial"/>
          <w:sz w:val="10"/>
          <w:szCs w:val="10"/>
          <w:i w:val="1"/>
          <w:iCs w:val="1"/>
          <w:color w:val="auto"/>
        </w:rPr>
        <w:t xml:space="preserve"> </w:t>
      </w:r>
      <w:r>
        <w:rPr>
          <w:rFonts w:ascii="Arial" w:cs="Arial" w:eastAsia="Arial" w:hAnsi="Arial"/>
          <w:sz w:val="10"/>
          <w:szCs w:val="10"/>
          <w:color w:val="auto"/>
        </w:rPr>
        <w:t>a TITAN LUXE screen, elevated food and beverage offerings, and recliner seating.</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0"/>
          <w:szCs w:val="10"/>
          <w:color w:val="auto"/>
        </w:rPr>
        <w:t>Our Board has authorized management to proceed with the negotiation of leases for two new state-of-the-art cinemas, one of which is Noosa in Queensland, Australia and the other in New Zealand.</w:t>
      </w:r>
    </w:p>
    <w:p>
      <w:pPr>
        <w:spacing w:after="0" w:line="95" w:lineRule="exact"/>
        <w:rPr>
          <w:sz w:val="20"/>
          <w:szCs w:val="20"/>
          <w:color w:val="auto"/>
        </w:rPr>
      </w:pPr>
    </w:p>
    <w:p>
      <w:pPr>
        <w:ind w:left="5260"/>
        <w:spacing w:after="0"/>
        <w:rPr>
          <w:sz w:val="20"/>
          <w:szCs w:val="20"/>
          <w:color w:val="auto"/>
        </w:rPr>
      </w:pPr>
      <w:r>
        <w:rPr>
          <w:rFonts w:ascii="Arial" w:cs="Arial" w:eastAsia="Arial" w:hAnsi="Arial"/>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670" w:right="600" w:bottom="1440" w:gutter="0" w:footer="0" w:header="0"/>
        </w:sectPr>
      </w:pPr>
    </w:p>
    <w:bookmarkStart w:id="28" w:name="page29"/>
    <w:bookmarkEnd w:id="28"/>
    <w:p>
      <w:pPr>
        <w:spacing w:after="0"/>
        <w:rPr>
          <w:sz w:val="20"/>
          <w:szCs w:val="20"/>
          <w:color w:val="auto"/>
        </w:rPr>
      </w:pPr>
      <w:r>
        <w:rPr>
          <w:rFonts w:ascii="Arial" w:cs="Arial" w:eastAsia="Arial" w:hAnsi="Arial"/>
          <w:sz w:val="10"/>
          <w:szCs w:val="10"/>
          <w:b w:val="1"/>
          <w:bCs w:val="1"/>
          <w:i w:val="1"/>
          <w:iCs w:val="1"/>
          <w:color w:val="auto"/>
        </w:rPr>
        <w:t>Cinema Upgrades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As of September 30, 2023, the upgrades to our cinema circuits’ film exhibition technology and amenities over the years are as summarized in the following table: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7920" w:type="dxa"/>
            <w:vAlign w:val="bottom"/>
          </w:tcPr>
          <w:p>
            <w:pPr>
              <w:spacing w:after="0"/>
              <w:rPr>
                <w:sz w:val="7"/>
                <w:szCs w:val="7"/>
                <w:color w:val="auto"/>
              </w:rPr>
            </w:pPr>
          </w:p>
        </w:tc>
        <w:tc>
          <w:tcPr>
            <w:tcW w:w="1280" w:type="dxa"/>
            <w:vAlign w:val="bottom"/>
            <w:vMerge w:val="restart"/>
          </w:tcPr>
          <w:p>
            <w:pPr>
              <w:ind w:left="320"/>
              <w:spacing w:after="0"/>
              <w:rPr>
                <w:sz w:val="20"/>
                <w:szCs w:val="20"/>
                <w:color w:val="auto"/>
              </w:rPr>
            </w:pPr>
            <w:r>
              <w:rPr>
                <w:rFonts w:ascii="Arial" w:cs="Arial" w:eastAsia="Arial" w:hAnsi="Arial"/>
                <w:sz w:val="8"/>
                <w:szCs w:val="8"/>
                <w:b w:val="1"/>
                <w:bCs w:val="1"/>
                <w:color w:val="auto"/>
              </w:rPr>
              <w:t>Location  Count</w:t>
            </w:r>
          </w:p>
        </w:tc>
        <w:tc>
          <w:tcPr>
            <w:tcW w:w="160" w:type="dxa"/>
            <w:vAlign w:val="bottom"/>
          </w:tcPr>
          <w:p>
            <w:pPr>
              <w:spacing w:after="0"/>
              <w:rPr>
                <w:sz w:val="7"/>
                <w:szCs w:val="7"/>
                <w:color w:val="auto"/>
              </w:rPr>
            </w:pPr>
          </w:p>
        </w:tc>
        <w:tc>
          <w:tcPr>
            <w:tcW w:w="1260" w:type="dxa"/>
            <w:vAlign w:val="bottom"/>
          </w:tcPr>
          <w:p>
            <w:pPr>
              <w:jc w:val="center"/>
              <w:spacing w:after="0"/>
              <w:rPr>
                <w:sz w:val="20"/>
                <w:szCs w:val="20"/>
                <w:color w:val="auto"/>
              </w:rPr>
            </w:pPr>
            <w:r>
              <w:rPr>
                <w:rFonts w:ascii="Arial" w:cs="Arial" w:eastAsia="Arial" w:hAnsi="Arial"/>
                <w:sz w:val="8"/>
                <w:szCs w:val="8"/>
                <w:b w:val="1"/>
                <w:bCs w:val="1"/>
                <w:color w:val="auto"/>
              </w:rPr>
              <w:t>Screen</w:t>
            </w:r>
          </w:p>
        </w:tc>
        <w:tc>
          <w:tcPr>
            <w:tcW w:w="0" w:type="dxa"/>
            <w:vAlign w:val="bottom"/>
          </w:tcPr>
          <w:p>
            <w:pPr>
              <w:spacing w:after="0"/>
              <w:rPr>
                <w:sz w:val="1"/>
                <w:szCs w:val="1"/>
                <w:color w:val="auto"/>
              </w:rPr>
            </w:pPr>
          </w:p>
        </w:tc>
      </w:tr>
      <w:tr>
        <w:trPr>
          <w:trHeight w:val="98"/>
        </w:trPr>
        <w:tc>
          <w:tcPr>
            <w:tcW w:w="7920" w:type="dxa"/>
            <w:vAlign w:val="bottom"/>
            <w:tcBorders>
              <w:bottom w:val="single" w:sz="8" w:color="CCEEFF"/>
            </w:tcBorders>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​Count</w:t>
            </w:r>
          </w:p>
        </w:tc>
        <w:tc>
          <w:tcPr>
            <w:tcW w:w="0" w:type="dxa"/>
            <w:vAlign w:val="bottom"/>
          </w:tcPr>
          <w:p>
            <w:pPr>
              <w:spacing w:after="0"/>
              <w:rPr>
                <w:sz w:val="1"/>
                <w:szCs w:val="1"/>
                <w:color w:val="auto"/>
              </w:rPr>
            </w:pPr>
          </w:p>
        </w:tc>
      </w:tr>
      <w:tr>
        <w:trPr>
          <w:trHeight w:val="100"/>
        </w:trPr>
        <w:tc>
          <w:tcPr>
            <w:tcW w:w="7920" w:type="dxa"/>
            <w:vAlign w:val="bottom"/>
            <w:shd w:val="clear" w:color="auto" w:fill="CCEEFF"/>
          </w:tcPr>
          <w:p>
            <w:pPr>
              <w:spacing w:after="0" w:line="100" w:lineRule="exact"/>
              <w:rPr>
                <w:sz w:val="20"/>
                <w:szCs w:val="20"/>
                <w:color w:val="auto"/>
              </w:rPr>
            </w:pPr>
            <w:r>
              <w:rPr>
                <w:rFonts w:ascii="Arial" w:cs="Arial" w:eastAsia="Arial" w:hAnsi="Arial"/>
                <w:sz w:val="10"/>
                <w:szCs w:val="10"/>
                <w:i w:val="1"/>
                <w:iCs w:val="1"/>
                <w:color w:val="auto"/>
              </w:rPr>
              <w:t>Screen Format</w:t>
            </w: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7920" w:type="dxa"/>
            <w:vAlign w:val="bottom"/>
          </w:tcPr>
          <w:p>
            <w:pPr>
              <w:ind w:left="120"/>
              <w:spacing w:after="0" w:line="105" w:lineRule="exact"/>
              <w:rPr>
                <w:sz w:val="20"/>
                <w:szCs w:val="20"/>
                <w:color w:val="auto"/>
              </w:rPr>
            </w:pPr>
            <w:r>
              <w:rPr>
                <w:rFonts w:ascii="Arial" w:cs="Arial" w:eastAsia="Arial" w:hAnsi="Arial"/>
                <w:sz w:val="10"/>
                <w:szCs w:val="10"/>
                <w:color w:val="auto"/>
              </w:rPr>
              <w:t>Digital (all cinemas in our cinema circuit)</w:t>
            </w:r>
          </w:p>
        </w:tc>
        <w:tc>
          <w:tcPr>
            <w:tcW w:w="1280" w:type="dxa"/>
            <w:vAlign w:val="bottom"/>
          </w:tcPr>
          <w:p>
            <w:pPr>
              <w:jc w:val="center"/>
              <w:spacing w:after="0" w:line="105" w:lineRule="exact"/>
              <w:rPr>
                <w:sz w:val="20"/>
                <w:szCs w:val="20"/>
                <w:color w:val="auto"/>
              </w:rPr>
            </w:pPr>
            <w:r>
              <w:rPr>
                <w:rFonts w:ascii="Arial" w:cs="Arial" w:eastAsia="Arial" w:hAnsi="Arial"/>
                <w:sz w:val="10"/>
                <w:szCs w:val="10"/>
                <w:color w:val="auto"/>
              </w:rPr>
              <w:t>62</w:t>
            </w:r>
          </w:p>
        </w:tc>
        <w:tc>
          <w:tcPr>
            <w:tcW w:w="1420" w:type="dxa"/>
            <w:vAlign w:val="bottom"/>
            <w:gridSpan w:val="2"/>
          </w:tcPr>
          <w:p>
            <w:pPr>
              <w:jc w:val="center"/>
              <w:ind w:left="131"/>
              <w:spacing w:after="0" w:line="105" w:lineRule="exact"/>
              <w:rPr>
                <w:sz w:val="20"/>
                <w:szCs w:val="20"/>
                <w:color w:val="auto"/>
              </w:rPr>
            </w:pPr>
            <w:r>
              <w:rPr>
                <w:rFonts w:ascii="Arial" w:cs="Arial" w:eastAsia="Arial" w:hAnsi="Arial"/>
                <w:sz w:val="10"/>
                <w:szCs w:val="10"/>
                <w:color w:val="auto"/>
                <w:w w:val="95"/>
              </w:rPr>
              <w:t>507</w:t>
            </w:r>
          </w:p>
        </w:tc>
        <w:tc>
          <w:tcPr>
            <w:tcW w:w="0" w:type="dxa"/>
            <w:vAlign w:val="bottom"/>
          </w:tcPr>
          <w:p>
            <w:pPr>
              <w:spacing w:after="0"/>
              <w:rPr>
                <w:sz w:val="1"/>
                <w:szCs w:val="1"/>
                <w:color w:val="auto"/>
              </w:rPr>
            </w:pPr>
          </w:p>
        </w:tc>
      </w:tr>
      <w:tr>
        <w:trPr>
          <w:trHeight w:val="105"/>
        </w:trPr>
        <w:tc>
          <w:tcPr>
            <w:tcW w:w="792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IMAX</w:t>
            </w:r>
          </w:p>
        </w:tc>
        <w:tc>
          <w:tcPr>
            <w:tcW w:w="128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71"/>
              </w:rPr>
              <w:t>1</w:t>
            </w:r>
          </w:p>
        </w:tc>
        <w:tc>
          <w:tcPr>
            <w:tcW w:w="1420" w:type="dxa"/>
            <w:vAlign w:val="bottom"/>
            <w:gridSpan w:val="2"/>
            <w:shd w:val="clear" w:color="auto" w:fill="CCEEFF"/>
          </w:tcPr>
          <w:p>
            <w:pPr>
              <w:jc w:val="center"/>
              <w:ind w:left="111"/>
              <w:spacing w:after="0" w:line="105"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05"/>
        </w:trPr>
        <w:tc>
          <w:tcPr>
            <w:tcW w:w="7920" w:type="dxa"/>
            <w:vAlign w:val="bottom"/>
          </w:tcPr>
          <w:p>
            <w:pPr>
              <w:ind w:left="120"/>
              <w:spacing w:after="0" w:line="105" w:lineRule="exact"/>
              <w:rPr>
                <w:sz w:val="20"/>
                <w:szCs w:val="20"/>
                <w:color w:val="auto"/>
              </w:rPr>
            </w:pPr>
            <w:r>
              <w:rPr>
                <w:rFonts w:ascii="Arial" w:cs="Arial" w:eastAsia="Arial" w:hAnsi="Arial"/>
                <w:sz w:val="10"/>
                <w:szCs w:val="10"/>
                <w:color w:val="auto"/>
              </w:rPr>
              <w:t>TITAN XC and LUXE</w:t>
            </w:r>
          </w:p>
        </w:tc>
        <w:tc>
          <w:tcPr>
            <w:tcW w:w="1280" w:type="dxa"/>
            <w:vAlign w:val="bottom"/>
          </w:tcPr>
          <w:p>
            <w:pPr>
              <w:jc w:val="center"/>
              <w:spacing w:after="0" w:line="105" w:lineRule="exact"/>
              <w:rPr>
                <w:sz w:val="20"/>
                <w:szCs w:val="20"/>
                <w:color w:val="auto"/>
              </w:rPr>
            </w:pPr>
            <w:r>
              <w:rPr>
                <w:rFonts w:ascii="Arial" w:cs="Arial" w:eastAsia="Arial" w:hAnsi="Arial"/>
                <w:sz w:val="10"/>
                <w:szCs w:val="10"/>
                <w:color w:val="auto"/>
              </w:rPr>
              <w:t>27</w:t>
            </w:r>
          </w:p>
        </w:tc>
        <w:tc>
          <w:tcPr>
            <w:tcW w:w="1420" w:type="dxa"/>
            <w:vAlign w:val="bottom"/>
            <w:gridSpan w:val="2"/>
          </w:tcPr>
          <w:p>
            <w:pPr>
              <w:jc w:val="center"/>
              <w:ind w:left="131"/>
              <w:spacing w:after="0" w:line="105" w:lineRule="exact"/>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05"/>
        </w:trPr>
        <w:tc>
          <w:tcPr>
            <w:tcW w:w="7920" w:type="dxa"/>
            <w:vAlign w:val="bottom"/>
            <w:shd w:val="clear" w:color="auto" w:fill="CCEEFF"/>
          </w:tcPr>
          <w:p>
            <w:pPr>
              <w:spacing w:after="0" w:line="105" w:lineRule="exact"/>
              <w:rPr>
                <w:sz w:val="20"/>
                <w:szCs w:val="20"/>
                <w:color w:val="auto"/>
              </w:rPr>
            </w:pPr>
            <w:r>
              <w:rPr>
                <w:rFonts w:ascii="Arial" w:cs="Arial" w:eastAsia="Arial" w:hAnsi="Arial"/>
                <w:sz w:val="10"/>
                <w:szCs w:val="10"/>
                <w:i w:val="1"/>
                <w:iCs w:val="1"/>
                <w:color w:val="auto"/>
              </w:rPr>
              <w:t>Dine-in Service</w:t>
            </w:r>
          </w:p>
        </w:tc>
        <w:tc>
          <w:tcPr>
            <w:tcW w:w="1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7920" w:type="dxa"/>
            <w:vAlign w:val="bottom"/>
          </w:tcPr>
          <w:p>
            <w:pPr>
              <w:ind w:left="120"/>
              <w:spacing w:after="0" w:line="128" w:lineRule="exact"/>
              <w:rPr>
                <w:sz w:val="20"/>
                <w:szCs w:val="20"/>
                <w:color w:val="auto"/>
              </w:rPr>
            </w:pPr>
            <w:r>
              <w:rPr>
                <w:rFonts w:ascii="Arial" w:cs="Arial" w:eastAsia="Arial" w:hAnsi="Arial"/>
                <w:sz w:val="9"/>
                <w:szCs w:val="9"/>
                <w:color w:val="auto"/>
              </w:rPr>
              <w:t>Gold Lounge (AU/NZ)</w:t>
            </w:r>
            <w:r>
              <w:rPr>
                <w:rFonts w:ascii="Arial" w:cs="Arial" w:eastAsia="Arial" w:hAnsi="Arial"/>
                <w:sz w:val="14"/>
                <w:szCs w:val="14"/>
                <w:color w:val="auto"/>
                <w:vertAlign w:val="superscript"/>
              </w:rPr>
              <w:t>(1)</w:t>
            </w:r>
          </w:p>
        </w:tc>
        <w:tc>
          <w:tcPr>
            <w:tcW w:w="1280" w:type="dxa"/>
            <w:vAlign w:val="bottom"/>
          </w:tcPr>
          <w:p>
            <w:pPr>
              <w:jc w:val="center"/>
              <w:spacing w:after="0"/>
              <w:rPr>
                <w:sz w:val="20"/>
                <w:szCs w:val="20"/>
                <w:color w:val="auto"/>
              </w:rPr>
            </w:pPr>
            <w:r>
              <w:rPr>
                <w:rFonts w:ascii="Arial" w:cs="Arial" w:eastAsia="Arial" w:hAnsi="Arial"/>
                <w:sz w:val="10"/>
                <w:szCs w:val="10"/>
                <w:color w:val="auto"/>
              </w:rPr>
              <w:t>11</w:t>
            </w:r>
          </w:p>
        </w:tc>
        <w:tc>
          <w:tcPr>
            <w:tcW w:w="1420" w:type="dxa"/>
            <w:vAlign w:val="bottom"/>
            <w:gridSpan w:val="2"/>
          </w:tcPr>
          <w:p>
            <w:pPr>
              <w:jc w:val="center"/>
              <w:ind w:left="131"/>
              <w:spacing w:after="0"/>
              <w:rPr>
                <w:sz w:val="20"/>
                <w:szCs w:val="20"/>
                <w:color w:val="auto"/>
              </w:rPr>
            </w:pPr>
            <w:r>
              <w:rPr>
                <w:rFonts w:ascii="Arial" w:cs="Arial" w:eastAsia="Arial" w:hAnsi="Arial"/>
                <w:sz w:val="10"/>
                <w:szCs w:val="10"/>
                <w:color w:val="auto"/>
              </w:rPr>
              <w:t>29</w:t>
            </w:r>
          </w:p>
        </w:tc>
        <w:tc>
          <w:tcPr>
            <w:tcW w:w="0" w:type="dxa"/>
            <w:vAlign w:val="bottom"/>
          </w:tcPr>
          <w:p>
            <w:pPr>
              <w:spacing w:after="0"/>
              <w:rPr>
                <w:sz w:val="1"/>
                <w:szCs w:val="1"/>
                <w:color w:val="auto"/>
              </w:rPr>
            </w:pPr>
          </w:p>
        </w:tc>
      </w:tr>
      <w:tr>
        <w:trPr>
          <w:trHeight w:val="128"/>
        </w:trPr>
        <w:tc>
          <w:tcPr>
            <w:tcW w:w="7920" w:type="dxa"/>
            <w:vAlign w:val="bottom"/>
            <w:shd w:val="clear" w:color="auto" w:fill="CCEEFF"/>
          </w:tcPr>
          <w:p>
            <w:pPr>
              <w:ind w:left="120"/>
              <w:spacing w:after="0" w:line="128" w:lineRule="exact"/>
              <w:rPr>
                <w:sz w:val="20"/>
                <w:szCs w:val="20"/>
                <w:color w:val="auto"/>
              </w:rPr>
            </w:pPr>
            <w:r>
              <w:rPr>
                <w:rFonts w:ascii="Arial" w:cs="Arial" w:eastAsia="Arial" w:hAnsi="Arial"/>
                <w:sz w:val="9"/>
                <w:szCs w:val="9"/>
                <w:color w:val="auto"/>
              </w:rPr>
              <w:t>Premium (AU/NZ)</w:t>
            </w:r>
            <w:r>
              <w:rPr>
                <w:rFonts w:ascii="Arial" w:cs="Arial" w:eastAsia="Arial" w:hAnsi="Arial"/>
                <w:sz w:val="14"/>
                <w:szCs w:val="14"/>
                <w:color w:val="auto"/>
                <w:vertAlign w:val="superscript"/>
              </w:rPr>
              <w:t>(2)</w:t>
            </w:r>
          </w:p>
        </w:tc>
        <w:tc>
          <w:tcPr>
            <w:tcW w:w="128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17</w:t>
            </w:r>
          </w:p>
        </w:tc>
        <w:tc>
          <w:tcPr>
            <w:tcW w:w="1420" w:type="dxa"/>
            <w:vAlign w:val="bottom"/>
            <w:gridSpan w:val="2"/>
            <w:shd w:val="clear" w:color="auto" w:fill="CCEEFF"/>
          </w:tcPr>
          <w:p>
            <w:pPr>
              <w:jc w:val="center"/>
              <w:ind w:left="131"/>
              <w:spacing w:after="0"/>
              <w:rPr>
                <w:sz w:val="20"/>
                <w:szCs w:val="20"/>
                <w:color w:val="auto"/>
              </w:rPr>
            </w:pPr>
            <w:r>
              <w:rPr>
                <w:rFonts w:ascii="Arial" w:cs="Arial" w:eastAsia="Arial" w:hAnsi="Arial"/>
                <w:sz w:val="10"/>
                <w:szCs w:val="10"/>
                <w:color w:val="auto"/>
              </w:rPr>
              <w:t>45</w:t>
            </w:r>
          </w:p>
        </w:tc>
        <w:tc>
          <w:tcPr>
            <w:tcW w:w="0" w:type="dxa"/>
            <w:vAlign w:val="bottom"/>
          </w:tcPr>
          <w:p>
            <w:pPr>
              <w:spacing w:after="0"/>
              <w:rPr>
                <w:sz w:val="1"/>
                <w:szCs w:val="1"/>
                <w:color w:val="auto"/>
              </w:rPr>
            </w:pPr>
          </w:p>
        </w:tc>
      </w:tr>
      <w:tr>
        <w:trPr>
          <w:trHeight w:val="128"/>
        </w:trPr>
        <w:tc>
          <w:tcPr>
            <w:tcW w:w="7920" w:type="dxa"/>
            <w:vAlign w:val="bottom"/>
          </w:tcPr>
          <w:p>
            <w:pPr>
              <w:ind w:left="120"/>
              <w:spacing w:after="0" w:line="128" w:lineRule="exact"/>
              <w:rPr>
                <w:sz w:val="20"/>
                <w:szCs w:val="20"/>
                <w:color w:val="auto"/>
              </w:rPr>
            </w:pPr>
            <w:r>
              <w:rPr>
                <w:rFonts w:ascii="Arial" w:cs="Arial" w:eastAsia="Arial" w:hAnsi="Arial"/>
                <w:sz w:val="9"/>
                <w:szCs w:val="9"/>
                <w:color w:val="auto"/>
              </w:rPr>
              <w:t>Spotlight (U.S.)</w:t>
            </w:r>
            <w:r>
              <w:rPr>
                <w:rFonts w:ascii="Arial" w:cs="Arial" w:eastAsia="Arial" w:hAnsi="Arial"/>
                <w:sz w:val="14"/>
                <w:szCs w:val="14"/>
                <w:color w:val="auto"/>
                <w:vertAlign w:val="superscript"/>
              </w:rPr>
              <w:t>(</w:t>
            </w:r>
            <w:r>
              <w:rPr>
                <w:rFonts w:ascii="Arial" w:cs="Arial" w:eastAsia="Arial" w:hAnsi="Arial"/>
                <w:sz w:val="9"/>
                <w:szCs w:val="9"/>
                <w:color w:val="auto"/>
              </w:rPr>
              <w:t>3)</w:t>
            </w:r>
          </w:p>
        </w:tc>
        <w:tc>
          <w:tcPr>
            <w:tcW w:w="1280" w:type="dxa"/>
            <w:vAlign w:val="bottom"/>
          </w:tcPr>
          <w:p>
            <w:pPr>
              <w:jc w:val="center"/>
              <w:spacing w:after="0"/>
              <w:rPr>
                <w:sz w:val="20"/>
                <w:szCs w:val="20"/>
                <w:color w:val="auto"/>
              </w:rPr>
            </w:pPr>
            <w:r>
              <w:rPr>
                <w:rFonts w:ascii="Arial" w:cs="Arial" w:eastAsia="Arial" w:hAnsi="Arial"/>
                <w:sz w:val="10"/>
                <w:szCs w:val="10"/>
                <w:color w:val="auto"/>
                <w:w w:val="71"/>
              </w:rPr>
              <w:t>1</w:t>
            </w:r>
          </w:p>
        </w:tc>
        <w:tc>
          <w:tcPr>
            <w:tcW w:w="1420" w:type="dxa"/>
            <w:vAlign w:val="bottom"/>
            <w:gridSpan w:val="2"/>
          </w:tcPr>
          <w:p>
            <w:pPr>
              <w:jc w:val="center"/>
              <w:ind w:left="111"/>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28"/>
        </w:trPr>
        <w:tc>
          <w:tcPr>
            <w:tcW w:w="7920" w:type="dxa"/>
            <w:vAlign w:val="bottom"/>
            <w:shd w:val="clear" w:color="auto" w:fill="CCEEFF"/>
          </w:tcPr>
          <w:p>
            <w:pPr>
              <w:spacing w:after="0" w:line="128" w:lineRule="exact"/>
              <w:rPr>
                <w:sz w:val="20"/>
                <w:szCs w:val="20"/>
                <w:color w:val="auto"/>
              </w:rPr>
            </w:pPr>
            <w:r>
              <w:rPr>
                <w:rFonts w:ascii="Arial" w:cs="Arial" w:eastAsia="Arial" w:hAnsi="Arial"/>
                <w:sz w:val="9"/>
                <w:szCs w:val="9"/>
                <w:i w:val="1"/>
                <w:iCs w:val="1"/>
                <w:color w:val="auto"/>
              </w:rPr>
              <w:t>Upgraded Food &amp; Beverage menu (U.S.)</w:t>
            </w:r>
            <w:r>
              <w:rPr>
                <w:rFonts w:ascii="Arial" w:cs="Arial" w:eastAsia="Arial" w:hAnsi="Arial"/>
                <w:sz w:val="14"/>
                <w:szCs w:val="14"/>
                <w:i w:val="1"/>
                <w:iCs w:val="1"/>
                <w:color w:val="auto"/>
                <w:vertAlign w:val="superscript"/>
              </w:rPr>
              <w:t>(4)</w:t>
            </w:r>
          </w:p>
        </w:tc>
        <w:tc>
          <w:tcPr>
            <w:tcW w:w="128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18</w:t>
            </w: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05"/>
        </w:trPr>
        <w:tc>
          <w:tcPr>
            <w:tcW w:w="7920" w:type="dxa"/>
            <w:vAlign w:val="bottom"/>
          </w:tcPr>
          <w:p>
            <w:pPr>
              <w:spacing w:after="0" w:line="105" w:lineRule="exact"/>
              <w:rPr>
                <w:sz w:val="20"/>
                <w:szCs w:val="20"/>
                <w:color w:val="auto"/>
              </w:rPr>
            </w:pPr>
            <w:r>
              <w:rPr>
                <w:rFonts w:ascii="Arial" w:cs="Arial" w:eastAsia="Arial" w:hAnsi="Arial"/>
                <w:sz w:val="10"/>
                <w:szCs w:val="10"/>
                <w:i w:val="1"/>
                <w:iCs w:val="1"/>
                <w:color w:val="auto"/>
              </w:rPr>
              <w:t>Premium Seating (features recliner seating)</w:t>
            </w:r>
          </w:p>
        </w:tc>
        <w:tc>
          <w:tcPr>
            <w:tcW w:w="1280" w:type="dxa"/>
            <w:vAlign w:val="bottom"/>
          </w:tcPr>
          <w:p>
            <w:pPr>
              <w:jc w:val="center"/>
              <w:spacing w:after="0" w:line="105" w:lineRule="exact"/>
              <w:rPr>
                <w:sz w:val="20"/>
                <w:szCs w:val="20"/>
                <w:color w:val="auto"/>
              </w:rPr>
            </w:pPr>
            <w:r>
              <w:rPr>
                <w:rFonts w:ascii="Arial" w:cs="Arial" w:eastAsia="Arial" w:hAnsi="Arial"/>
                <w:sz w:val="10"/>
                <w:szCs w:val="10"/>
                <w:color w:val="auto"/>
              </w:rPr>
              <w:t>33</w:t>
            </w:r>
          </w:p>
        </w:tc>
        <w:tc>
          <w:tcPr>
            <w:tcW w:w="1420" w:type="dxa"/>
            <w:vAlign w:val="bottom"/>
            <w:gridSpan w:val="2"/>
          </w:tcPr>
          <w:p>
            <w:pPr>
              <w:jc w:val="center"/>
              <w:ind w:left="131"/>
              <w:spacing w:after="0" w:line="105" w:lineRule="exact"/>
              <w:rPr>
                <w:sz w:val="20"/>
                <w:szCs w:val="20"/>
                <w:color w:val="auto"/>
              </w:rPr>
            </w:pPr>
            <w:r>
              <w:rPr>
                <w:rFonts w:ascii="Arial" w:cs="Arial" w:eastAsia="Arial" w:hAnsi="Arial"/>
                <w:sz w:val="10"/>
                <w:szCs w:val="10"/>
                <w:color w:val="auto"/>
                <w:w w:val="95"/>
              </w:rPr>
              <w:t>198</w:t>
            </w:r>
          </w:p>
        </w:tc>
        <w:tc>
          <w:tcPr>
            <w:tcW w:w="0" w:type="dxa"/>
            <w:vAlign w:val="bottom"/>
          </w:tcPr>
          <w:p>
            <w:pPr>
              <w:spacing w:after="0"/>
              <w:rPr>
                <w:sz w:val="1"/>
                <w:szCs w:val="1"/>
                <w:color w:val="auto"/>
              </w:rPr>
            </w:pPr>
          </w:p>
        </w:tc>
      </w:tr>
      <w:tr>
        <w:trPr>
          <w:trHeight w:val="128"/>
        </w:trPr>
        <w:tc>
          <w:tcPr>
            <w:tcW w:w="7920" w:type="dxa"/>
            <w:vAlign w:val="bottom"/>
            <w:shd w:val="clear" w:color="auto" w:fill="CCEEFF"/>
          </w:tcPr>
          <w:p>
            <w:pPr>
              <w:spacing w:after="0" w:line="128" w:lineRule="exact"/>
              <w:rPr>
                <w:sz w:val="20"/>
                <w:szCs w:val="20"/>
                <w:color w:val="auto"/>
              </w:rPr>
            </w:pPr>
            <w:r>
              <w:rPr>
                <w:rFonts w:ascii="Arial" w:cs="Arial" w:eastAsia="Arial" w:hAnsi="Arial"/>
                <w:sz w:val="9"/>
                <w:szCs w:val="9"/>
                <w:i w:val="1"/>
                <w:iCs w:val="1"/>
                <w:color w:val="auto"/>
              </w:rPr>
              <w:t xml:space="preserve">Liquor Licenses </w:t>
            </w:r>
            <w:r>
              <w:rPr>
                <w:rFonts w:ascii="Arial" w:cs="Arial" w:eastAsia="Arial" w:hAnsi="Arial"/>
                <w:sz w:val="14"/>
                <w:szCs w:val="14"/>
                <w:i w:val="1"/>
                <w:iCs w:val="1"/>
                <w:color w:val="auto"/>
                <w:vertAlign w:val="superscript"/>
              </w:rPr>
              <w:t>(5)</w:t>
            </w:r>
          </w:p>
        </w:tc>
        <w:tc>
          <w:tcPr>
            <w:tcW w:w="128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48</w:t>
            </w: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60" w:hanging="190"/>
        <w:spacing w:after="0"/>
        <w:tabs>
          <w:tab w:leader="none" w:pos="360" w:val="left"/>
        </w:tabs>
        <w:numPr>
          <w:ilvl w:val="0"/>
          <w:numId w:val="7"/>
        </w:numPr>
        <w:rPr>
          <w:rFonts w:ascii="Arial" w:cs="Arial" w:eastAsia="Arial" w:hAnsi="Arial"/>
          <w:sz w:val="8"/>
          <w:szCs w:val="8"/>
          <w:color w:val="auto"/>
        </w:rPr>
      </w:pPr>
      <w:r>
        <w:rPr>
          <w:rFonts w:ascii="Arial" w:cs="Arial" w:eastAsia="Arial" w:hAnsi="Arial"/>
          <w:sz w:val="8"/>
          <w:szCs w:val="8"/>
          <w:b w:val="1"/>
          <w:bCs w:val="1"/>
          <w:color w:val="auto"/>
        </w:rPr>
        <w:t>Gold Lounge</w:t>
      </w:r>
      <w:r>
        <w:rPr>
          <w:rFonts w:ascii="Arial" w:cs="Arial" w:eastAsia="Arial" w:hAnsi="Arial"/>
          <w:sz w:val="8"/>
          <w:szCs w:val="8"/>
          <w:color w:val="auto"/>
        </w:rPr>
        <w:t>: This is our "First Class Full Dine-in Service" in our Australian and New Zealand cinemas, which includes an upgraded F&amp;B menu (with alcoholic beverages), luxury recliner seating features (intimate 25-50 seat cinemas) and waiter service.</w:t>
      </w:r>
    </w:p>
    <w:p>
      <w:pPr>
        <w:ind w:left="360" w:hanging="190"/>
        <w:spacing w:after="0" w:line="215" w:lineRule="auto"/>
        <w:tabs>
          <w:tab w:leader="none" w:pos="360" w:val="left"/>
        </w:tabs>
        <w:numPr>
          <w:ilvl w:val="0"/>
          <w:numId w:val="7"/>
        </w:numPr>
        <w:rPr>
          <w:rFonts w:ascii="Arial" w:cs="Arial" w:eastAsia="Arial" w:hAnsi="Arial"/>
          <w:sz w:val="8"/>
          <w:szCs w:val="8"/>
          <w:color w:val="auto"/>
        </w:rPr>
      </w:pPr>
      <w:r>
        <w:rPr>
          <w:rFonts w:ascii="Arial" w:cs="Arial" w:eastAsia="Arial" w:hAnsi="Arial"/>
          <w:sz w:val="8"/>
          <w:szCs w:val="8"/>
          <w:b w:val="1"/>
          <w:bCs w:val="1"/>
          <w:color w:val="auto"/>
        </w:rPr>
        <w:t>Premium Service</w:t>
      </w:r>
      <w:r>
        <w:rPr>
          <w:rFonts w:ascii="Arial" w:cs="Arial" w:eastAsia="Arial" w:hAnsi="Arial"/>
          <w:sz w:val="8"/>
          <w:szCs w:val="8"/>
          <w:color w:val="auto"/>
        </w:rPr>
        <w:t>: This is our "Business Class Dine-in Service" in our Australian and New Zealand cinemas, which typically includes upgraded F&amp;B menu (some with alcoholic beverages) and may include luxury recliner seating features (less intimate 80-seat cinemas), but no waiter</w:t>
      </w:r>
      <w:r>
        <w:rPr>
          <w:rFonts w:ascii="Arial" w:cs="Arial" w:eastAsia="Arial" w:hAnsi="Arial"/>
          <w:sz w:val="8"/>
          <w:szCs w:val="8"/>
          <w:b w:val="1"/>
          <w:bCs w:val="1"/>
          <w:color w:val="auto"/>
        </w:rPr>
        <w:t xml:space="preserve"> </w:t>
      </w:r>
      <w:r>
        <w:rPr>
          <w:rFonts w:ascii="Arial" w:cs="Arial" w:eastAsia="Arial" w:hAnsi="Arial"/>
          <w:sz w:val="8"/>
          <w:szCs w:val="8"/>
          <w:color w:val="auto"/>
        </w:rPr>
        <w:t>service.</w:t>
      </w:r>
    </w:p>
    <w:p>
      <w:pPr>
        <w:ind w:left="360" w:right="40" w:hanging="190"/>
        <w:spacing w:after="0" w:line="215" w:lineRule="auto"/>
        <w:tabs>
          <w:tab w:leader="none" w:pos="360" w:val="left"/>
        </w:tabs>
        <w:numPr>
          <w:ilvl w:val="0"/>
          <w:numId w:val="7"/>
        </w:numPr>
        <w:rPr>
          <w:rFonts w:ascii="Arial" w:cs="Arial" w:eastAsia="Arial" w:hAnsi="Arial"/>
          <w:sz w:val="8"/>
          <w:szCs w:val="8"/>
          <w:color w:val="auto"/>
        </w:rPr>
      </w:pPr>
      <w:r>
        <w:rPr>
          <w:rFonts w:ascii="Arial" w:cs="Arial" w:eastAsia="Arial" w:hAnsi="Arial"/>
          <w:sz w:val="8"/>
          <w:szCs w:val="8"/>
          <w:b w:val="1"/>
          <w:bCs w:val="1"/>
          <w:color w:val="auto"/>
        </w:rPr>
        <w:t xml:space="preserve">Spotlight Service: </w:t>
      </w:r>
      <w:r>
        <w:rPr>
          <w:rFonts w:ascii="Arial" w:cs="Arial" w:eastAsia="Arial" w:hAnsi="Arial"/>
          <w:sz w:val="8"/>
          <w:szCs w:val="8"/>
          <w:color w:val="auto"/>
        </w:rPr>
        <w:t>Our first dine-in cinema concept in the U.S. at Reading Cinemas in Murrieta, California. Six of our 17 auditoriums at this cinema feature waiter service before the movie begins with a full F&amp;B menu, luxury recliner seating, and laser focus on customer service. Our</w:t>
      </w:r>
      <w:r>
        <w:rPr>
          <w:rFonts w:ascii="Arial" w:cs="Arial" w:eastAsia="Arial" w:hAnsi="Arial"/>
          <w:sz w:val="8"/>
          <w:szCs w:val="8"/>
          <w:b w:val="1"/>
          <w:bCs w:val="1"/>
          <w:color w:val="auto"/>
        </w:rPr>
        <w:t xml:space="preserve"> </w:t>
      </w:r>
      <w:r>
        <w:rPr>
          <w:rFonts w:ascii="Arial" w:cs="Arial" w:eastAsia="Arial" w:hAnsi="Arial"/>
          <w:sz w:val="8"/>
          <w:szCs w:val="8"/>
          <w:color w:val="auto"/>
        </w:rPr>
        <w:t>Spotlight service has been temporarily suspended since the initial COVID-19 shutdown.</w:t>
      </w:r>
    </w:p>
    <w:p>
      <w:pPr>
        <w:ind w:left="360" w:right="140" w:hanging="190"/>
        <w:spacing w:after="0" w:line="215" w:lineRule="auto"/>
        <w:tabs>
          <w:tab w:leader="none" w:pos="360" w:val="left"/>
        </w:tabs>
        <w:numPr>
          <w:ilvl w:val="0"/>
          <w:numId w:val="7"/>
        </w:numPr>
        <w:rPr>
          <w:rFonts w:ascii="Arial" w:cs="Arial" w:eastAsia="Arial" w:hAnsi="Arial"/>
          <w:sz w:val="8"/>
          <w:szCs w:val="8"/>
          <w:color w:val="auto"/>
        </w:rPr>
      </w:pPr>
      <w:r>
        <w:rPr>
          <w:rFonts w:ascii="Arial" w:cs="Arial" w:eastAsia="Arial" w:hAnsi="Arial"/>
          <w:sz w:val="8"/>
          <w:szCs w:val="8"/>
          <w:b w:val="1"/>
          <w:bCs w:val="1"/>
          <w:color w:val="auto"/>
        </w:rPr>
        <w:t>Upgraded Food &amp; Beverage Menu</w:t>
      </w:r>
      <w:r>
        <w:rPr>
          <w:rFonts w:ascii="Arial" w:cs="Arial" w:eastAsia="Arial" w:hAnsi="Arial"/>
          <w:sz w:val="8"/>
          <w:szCs w:val="8"/>
          <w:color w:val="auto"/>
        </w:rPr>
        <w:t>: Features an elevated F&amp;B menu including a menu of locally inspired and freshly prepared items that go beyond traditional concessions, which we have worked with former Food Network executives to create. The elevated menu also includes</w:t>
      </w:r>
      <w:r>
        <w:rPr>
          <w:rFonts w:ascii="Arial" w:cs="Arial" w:eastAsia="Arial" w:hAnsi="Arial"/>
          <w:sz w:val="8"/>
          <w:szCs w:val="8"/>
          <w:b w:val="1"/>
          <w:bCs w:val="1"/>
          <w:color w:val="auto"/>
        </w:rPr>
        <w:t xml:space="preserve"> </w:t>
      </w:r>
      <w:r>
        <w:rPr>
          <w:rFonts w:ascii="Arial" w:cs="Arial" w:eastAsia="Arial" w:hAnsi="Arial"/>
          <w:sz w:val="8"/>
          <w:szCs w:val="8"/>
          <w:color w:val="auto"/>
        </w:rPr>
        <w:t>beer, wine and/or spirits at most of our locations.</w:t>
      </w:r>
    </w:p>
    <w:p>
      <w:pPr>
        <w:ind w:left="360" w:right="160" w:hanging="190"/>
        <w:spacing w:after="0" w:line="236" w:lineRule="auto"/>
        <w:tabs>
          <w:tab w:leader="none" w:pos="360" w:val="left"/>
        </w:tabs>
        <w:numPr>
          <w:ilvl w:val="0"/>
          <w:numId w:val="7"/>
        </w:numPr>
        <w:rPr>
          <w:rFonts w:ascii="Arial" w:cs="Arial" w:eastAsia="Arial" w:hAnsi="Arial"/>
          <w:sz w:val="8"/>
          <w:szCs w:val="8"/>
          <w:color w:val="auto"/>
        </w:rPr>
      </w:pPr>
      <w:r>
        <w:rPr>
          <w:rFonts w:ascii="Arial" w:cs="Arial" w:eastAsia="Arial" w:hAnsi="Arial"/>
          <w:sz w:val="8"/>
          <w:szCs w:val="8"/>
          <w:b w:val="1"/>
          <w:bCs w:val="1"/>
          <w:color w:val="auto"/>
        </w:rPr>
        <w:t xml:space="preserve">Liquor Licenses: </w:t>
      </w:r>
      <w:r>
        <w:rPr>
          <w:rFonts w:ascii="Arial" w:cs="Arial" w:eastAsia="Arial" w:hAnsi="Arial"/>
          <w:sz w:val="8"/>
          <w:szCs w:val="8"/>
          <w:color w:val="auto"/>
        </w:rPr>
        <w:t>Licenses are applicable at each cinema location, rather than each cinema auditorium. As of today, we have liquor licenses in 100% of the cinemas operating in the U.S. In Australia, we have five liquor licenses pending, and in New Zealand we have two liquor</w:t>
      </w:r>
      <w:r>
        <w:rPr>
          <w:rFonts w:ascii="Arial" w:cs="Arial" w:eastAsia="Arial" w:hAnsi="Arial"/>
          <w:sz w:val="8"/>
          <w:szCs w:val="8"/>
          <w:b w:val="1"/>
          <w:bCs w:val="1"/>
          <w:color w:val="auto"/>
        </w:rPr>
        <w:t xml:space="preserve"> </w:t>
      </w:r>
      <w:r>
        <w:rPr>
          <w:rFonts w:ascii="Arial" w:cs="Arial" w:eastAsia="Arial" w:hAnsi="Arial"/>
          <w:sz w:val="8"/>
          <w:szCs w:val="8"/>
          <w:color w:val="auto"/>
        </w:rPr>
        <w:t>licenses pending.</w:t>
      </w: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Recent Enhancements</w:t>
      </w:r>
    </w:p>
    <w:p>
      <w:pPr>
        <w:spacing w:after="0" w:line="97"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United States</w:t>
      </w:r>
    </w:p>
    <w:p>
      <w:pPr>
        <w:spacing w:after="0" w:line="95" w:lineRule="exact"/>
        <w:rPr>
          <w:sz w:val="20"/>
          <w:szCs w:val="20"/>
          <w:color w:val="auto"/>
        </w:rPr>
      </w:pPr>
    </w:p>
    <w:p>
      <w:pPr>
        <w:ind w:left="360" w:right="160"/>
        <w:spacing w:after="0" w:line="242" w:lineRule="auto"/>
        <w:rPr>
          <w:sz w:val="20"/>
          <w:szCs w:val="20"/>
          <w:color w:val="auto"/>
        </w:rPr>
      </w:pPr>
      <w:r>
        <w:rPr>
          <w:rFonts w:ascii="Arial" w:cs="Arial" w:eastAsia="Arial" w:hAnsi="Arial"/>
          <w:sz w:val="10"/>
          <w:szCs w:val="10"/>
          <w:i w:val="1"/>
          <w:iCs w:val="1"/>
          <w:u w:val="single" w:color="auto"/>
          <w:color w:val="auto"/>
        </w:rPr>
        <w:t>Renovation Work</w:t>
      </w:r>
      <w:r>
        <w:rPr>
          <w:rFonts w:ascii="Arial" w:cs="Arial" w:eastAsia="Arial" w:hAnsi="Arial"/>
          <w:sz w:val="10"/>
          <w:szCs w:val="10"/>
          <w:color w:val="auto"/>
        </w:rPr>
        <w:t>: As of September 30, 2023, we have converted 110 of our 214 U.S. auditoriums to luxury recliner seating. We have an agreement in place with our landlord at the Dallas Angelika for a complete remodel of that cinema,</w:t>
      </w:r>
      <w:r>
        <w:rPr>
          <w:rFonts w:ascii="Arial" w:cs="Arial" w:eastAsia="Arial" w:hAnsi="Arial"/>
          <w:sz w:val="10"/>
          <w:szCs w:val="10"/>
          <w:i w:val="1"/>
          <w:iCs w:val="1"/>
          <w:color w:val="auto"/>
        </w:rPr>
        <w:t xml:space="preserve"> </w:t>
      </w:r>
      <w:r>
        <w:rPr>
          <w:rFonts w:ascii="Arial" w:cs="Arial" w:eastAsia="Arial" w:hAnsi="Arial"/>
          <w:sz w:val="10"/>
          <w:szCs w:val="10"/>
          <w:color w:val="auto"/>
        </w:rPr>
        <w:t>which we anticipate will be completed in Q1 of 2024.</w:t>
      </w:r>
    </w:p>
    <w:p>
      <w:pPr>
        <w:spacing w:after="0" w:line="83"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Australia and New Zealand</w:t>
      </w:r>
    </w:p>
    <w:p>
      <w:pPr>
        <w:spacing w:after="0" w:line="95" w:lineRule="exact"/>
        <w:rPr>
          <w:sz w:val="20"/>
          <w:szCs w:val="20"/>
          <w:color w:val="auto"/>
        </w:rPr>
      </w:pPr>
    </w:p>
    <w:p>
      <w:pPr>
        <w:ind w:left="360" w:right="160"/>
        <w:spacing w:after="0" w:line="233" w:lineRule="auto"/>
        <w:rPr>
          <w:sz w:val="20"/>
          <w:szCs w:val="20"/>
          <w:color w:val="auto"/>
        </w:rPr>
      </w:pPr>
      <w:r>
        <w:rPr>
          <w:rFonts w:ascii="Arial" w:cs="Arial" w:eastAsia="Arial" w:hAnsi="Arial"/>
          <w:sz w:val="10"/>
          <w:szCs w:val="10"/>
          <w:i w:val="1"/>
          <w:iCs w:val="1"/>
          <w:u w:val="single" w:color="auto"/>
          <w:color w:val="auto"/>
        </w:rPr>
        <w:t>Rouse Hill renovation</w:t>
      </w:r>
      <w:r>
        <w:rPr>
          <w:rFonts w:ascii="Arial" w:cs="Arial" w:eastAsia="Arial" w:hAnsi="Arial"/>
          <w:sz w:val="10"/>
          <w:szCs w:val="10"/>
          <w:color w:val="auto"/>
        </w:rPr>
        <w:t>: Reading Cinema Rouse Hill will undergo a lease obligated refurbishment focusing on the foyer, concessions and the addition of another all reclining Premium auditorium. The introduction of the hot food offer and</w:t>
      </w:r>
      <w:r>
        <w:rPr>
          <w:rFonts w:ascii="Arial" w:cs="Arial" w:eastAsia="Arial" w:hAnsi="Arial"/>
          <w:sz w:val="10"/>
          <w:szCs w:val="10"/>
          <w:i w:val="1"/>
          <w:iCs w:val="1"/>
          <w:color w:val="auto"/>
        </w:rPr>
        <w:t xml:space="preserve"> </w:t>
      </w:r>
      <w:r>
        <w:rPr>
          <w:rFonts w:ascii="Arial" w:cs="Arial" w:eastAsia="Arial" w:hAnsi="Arial"/>
          <w:sz w:val="10"/>
          <w:szCs w:val="10"/>
          <w:color w:val="auto"/>
        </w:rPr>
        <w:t>streamlining operations to ensure minimal staffing requirement productivity. The Preliminary drawings have been completed and will develop into a construction set for project/lessor approval, building consents and tender. Siteworks are expected to be completed late Q1 2024.</w:t>
      </w:r>
    </w:p>
    <w:p>
      <w:pPr>
        <w:spacing w:after="0" w:line="85" w:lineRule="exact"/>
        <w:rPr>
          <w:sz w:val="20"/>
          <w:szCs w:val="20"/>
          <w:color w:val="auto"/>
        </w:rPr>
      </w:pPr>
    </w:p>
    <w:p>
      <w:pPr>
        <w:ind w:left="360" w:right="100"/>
        <w:spacing w:after="0" w:line="242" w:lineRule="auto"/>
        <w:rPr>
          <w:sz w:val="20"/>
          <w:szCs w:val="20"/>
          <w:color w:val="auto"/>
        </w:rPr>
      </w:pPr>
      <w:r>
        <w:rPr>
          <w:rFonts w:ascii="Arial" w:cs="Arial" w:eastAsia="Arial" w:hAnsi="Arial"/>
          <w:sz w:val="10"/>
          <w:szCs w:val="10"/>
          <w:i w:val="1"/>
          <w:iCs w:val="1"/>
          <w:u w:val="single" w:color="auto"/>
          <w:color w:val="auto"/>
        </w:rPr>
        <w:t>Angelika Film Centre, South City Square</w:t>
      </w:r>
      <w:r>
        <w:rPr>
          <w:rFonts w:ascii="Arial" w:cs="Arial" w:eastAsia="Arial" w:hAnsi="Arial"/>
          <w:sz w:val="10"/>
          <w:szCs w:val="10"/>
          <w:color w:val="auto"/>
        </w:rPr>
        <w:t>: Australia’s first Angelika Film Centre opened on August 24, 2023 in the Woolloongabba (Queensland) South City Square development. The complex offers eight screens, all reclining seating, and</w:t>
      </w:r>
      <w:r>
        <w:rPr>
          <w:rFonts w:ascii="Arial" w:cs="Arial" w:eastAsia="Arial" w:hAnsi="Arial"/>
          <w:sz w:val="10"/>
          <w:szCs w:val="10"/>
          <w:i w:val="1"/>
          <w:iCs w:val="1"/>
          <w:color w:val="auto"/>
        </w:rPr>
        <w:t xml:space="preserve"> </w:t>
      </w:r>
      <w:r>
        <w:rPr>
          <w:rFonts w:ascii="Arial" w:cs="Arial" w:eastAsia="Arial" w:hAnsi="Arial"/>
          <w:sz w:val="10"/>
          <w:szCs w:val="10"/>
          <w:color w:val="auto"/>
        </w:rPr>
        <w:t>exceptional hot food and liquor offerings. The fit-out project was completed within the allocated budget and time frame.</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0"/>
          <w:szCs w:val="10"/>
          <w:i w:val="1"/>
          <w:iCs w:val="1"/>
          <w:u w:val="single" w:color="auto"/>
          <w:color w:val="auto"/>
        </w:rPr>
        <w:t>Other Cinema Upgrades</w:t>
      </w:r>
      <w:r>
        <w:rPr>
          <w:rFonts w:ascii="Arial" w:cs="Arial" w:eastAsia="Arial" w:hAnsi="Arial"/>
          <w:sz w:val="10"/>
          <w:szCs w:val="10"/>
          <w:color w:val="auto"/>
        </w:rPr>
        <w:t>: In addition, during the three-year period 2021 to 2023, we also improved Sunbury and State Cinema in Australia, as well as some non-lease driven renovations at Rouse Hill in New South Wales, Australia.</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0"/>
          <w:szCs w:val="10"/>
          <w:color w:val="auto"/>
        </w:rPr>
        <w:t>During 2023, we will continue to focus on the enhancement of our proprietary online ticketing and Food &amp; Beverage capabilities, together with improving and expanding our social media platforms and interfaces. These are intended to enhance the convenience of our offerings and to promote guest affinity with the experiences and products that we are offering.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769" w:right="640" w:bottom="1440" w:gutter="0" w:footer="0" w:header="0"/>
        </w:sectPr>
      </w:pPr>
    </w:p>
    <w:bookmarkStart w:id="29" w:name="page30"/>
    <w:bookmarkEnd w:id="29"/>
    <w:p>
      <w:pPr>
        <w:spacing w:after="0"/>
        <w:rPr>
          <w:sz w:val="20"/>
          <w:szCs w:val="20"/>
          <w:color w:val="auto"/>
        </w:rPr>
      </w:pPr>
      <w:r>
        <w:rPr>
          <w:rFonts w:ascii="Arial" w:cs="Arial" w:eastAsia="Arial" w:hAnsi="Arial"/>
          <w:sz w:val="10"/>
          <w:szCs w:val="10"/>
          <w:b w:val="1"/>
          <w:bCs w:val="1"/>
          <w:i w:val="1"/>
          <w:iCs w:val="1"/>
          <w:color w:val="auto"/>
        </w:rPr>
        <w:t>Cinema Closures</w:t>
      </w:r>
    </w:p>
    <w:p>
      <w:pPr>
        <w:spacing w:after="0" w:line="101" w:lineRule="exact"/>
        <w:rPr>
          <w:sz w:val="20"/>
          <w:szCs w:val="20"/>
          <w:color w:val="auto"/>
        </w:rPr>
      </w:pPr>
    </w:p>
    <w:p>
      <w:pPr>
        <w:spacing w:after="0" w:line="226" w:lineRule="auto"/>
        <w:rPr>
          <w:sz w:val="20"/>
          <w:szCs w:val="20"/>
          <w:color w:val="auto"/>
        </w:rPr>
      </w:pPr>
      <w:r>
        <w:rPr>
          <w:rFonts w:ascii="Arial" w:cs="Arial" w:eastAsia="Arial" w:hAnsi="Arial"/>
          <w:sz w:val="10"/>
          <w:szCs w:val="10"/>
          <w:color w:val="auto"/>
        </w:rPr>
        <w:t>Our cinema in Wellington, New Zealand remains closed due to seismic concerns pending the redevelopment of that ETC. On May 7, 2023, The Hutt Pop-Up in New Zealand was permanently closed due to the expiration of our lease. We chose not to continue the cinema as it was only brought online as a “pop up” to address a temporary opening in the market. As of the date of this report, we have also closed and terminated our lease agreements at two underperforming Consolidated Theatre locations in Hawaii (Koko Marina Center and Queen Kaahumanu Center) and, as of November 1, 2023, a Reading Cinemas in California (Rohnert Park). One cinema was on a month-to-month arrangement and the other two were at the end of their respective terms. The decision to terminate these three venues was based on our belief that none of these locations could be operated profitably in the current environment on any meaningful rent paying basis at the rents being demanded by their respective landlords. Both of the Hawaii locations are currently closed and without replacement tenants. The California location is still in de-fit status.</w:t>
      </w:r>
    </w:p>
    <w:p>
      <w:pPr>
        <w:spacing w:after="0" w:line="8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Real Estate Overview</w:t>
      </w:r>
    </w:p>
    <w:p>
      <w:pPr>
        <w:spacing w:after="0" w:line="101" w:lineRule="exact"/>
        <w:rPr>
          <w:sz w:val="20"/>
          <w:szCs w:val="20"/>
          <w:color w:val="auto"/>
        </w:rPr>
      </w:pPr>
    </w:p>
    <w:p>
      <w:pPr>
        <w:ind w:right="100"/>
        <w:spacing w:after="0" w:line="231" w:lineRule="auto"/>
        <w:rPr>
          <w:sz w:val="20"/>
          <w:szCs w:val="20"/>
          <w:color w:val="auto"/>
        </w:rPr>
      </w:pPr>
      <w:r>
        <w:rPr>
          <w:rFonts w:ascii="Arial" w:cs="Arial" w:eastAsia="Arial" w:hAnsi="Arial"/>
          <w:sz w:val="10"/>
          <w:szCs w:val="10"/>
          <w:color w:val="auto"/>
        </w:rPr>
        <w:t xml:space="preserve">Through our various subsidiaries, we engage in the real estate business through the development, ownership, rental or licensing to third parties of retail, commercial, and live theatre assets. Our real estate business creates long-term value for our stockholders through the continuous improvement and development of our investment and operating properties, including our ETCs. In addition to owning the fee interests in 10 of our cinemas (as presented in the table under </w:t>
      </w:r>
      <w:r>
        <w:rPr>
          <w:rFonts w:ascii="Arial" w:cs="Arial" w:eastAsia="Arial" w:hAnsi="Arial"/>
          <w:sz w:val="10"/>
          <w:szCs w:val="10"/>
          <w:i w:val="1"/>
          <w:iCs w:val="1"/>
          <w:color w:val="auto"/>
        </w:rPr>
        <w:t>Cinema Exhibition</w:t>
      </w:r>
      <w:r>
        <w:rPr>
          <w:rFonts w:ascii="Arial" w:cs="Arial" w:eastAsia="Arial" w:hAnsi="Arial"/>
          <w:sz w:val="10"/>
          <w:szCs w:val="10"/>
          <w:color w:val="auto"/>
        </w:rPr>
        <w:t xml:space="preserve"> </w:t>
      </w:r>
      <w:r>
        <w:rPr>
          <w:rFonts w:ascii="Arial" w:cs="Arial" w:eastAsia="Arial" w:hAnsi="Arial"/>
          <w:sz w:val="10"/>
          <w:szCs w:val="10"/>
          <w:i w:val="1"/>
          <w:iCs w:val="1"/>
          <w:color w:val="auto"/>
        </w:rPr>
        <w:t>Overview</w:t>
      </w:r>
      <w:r>
        <w:rPr>
          <w:rFonts w:ascii="Arial" w:cs="Arial" w:eastAsia="Arial" w:hAnsi="Arial"/>
          <w:sz w:val="10"/>
          <w:szCs w:val="10"/>
          <w:color w:val="auto"/>
        </w:rPr>
        <w:t>), as of September 30, 2023, we:</w:t>
      </w:r>
    </w:p>
    <w:p>
      <w:pPr>
        <w:spacing w:after="0" w:line="88" w:lineRule="exact"/>
        <w:rPr>
          <w:sz w:val="20"/>
          <w:szCs w:val="20"/>
          <w:color w:val="auto"/>
        </w:rPr>
      </w:pPr>
    </w:p>
    <w:p>
      <w:pPr>
        <w:ind w:left="360" w:right="80"/>
        <w:spacing w:after="0" w:line="225" w:lineRule="auto"/>
        <w:rPr>
          <w:sz w:val="20"/>
          <w:szCs w:val="20"/>
          <w:color w:val="auto"/>
        </w:rPr>
      </w:pPr>
      <w:r>
        <w:rPr>
          <w:rFonts w:ascii="Arial" w:cs="Arial" w:eastAsia="Arial" w:hAnsi="Arial"/>
          <w:sz w:val="10"/>
          <w:szCs w:val="10"/>
          <w:color w:val="auto"/>
        </w:rPr>
        <w:t>own our 44 Union Square property in Manhattan comprised of retail and office space which is currently in the lease-up phase. The cellar, ground floor, and second floor of the building are now fully leased to Petco, which is in occupancy of its premises on a full rent paying basis.</w:t>
      </w:r>
    </w:p>
    <w:p>
      <w:pPr>
        <w:ind w:left="360"/>
        <w:spacing w:after="0" w:line="219" w:lineRule="auto"/>
        <w:rPr>
          <w:sz w:val="20"/>
          <w:szCs w:val="20"/>
          <w:color w:val="auto"/>
        </w:rPr>
      </w:pPr>
      <w:r>
        <w:rPr>
          <w:rFonts w:ascii="Arial" w:cs="Arial" w:eastAsia="Arial" w:hAnsi="Arial"/>
          <w:sz w:val="10"/>
          <w:szCs w:val="10"/>
          <w:color w:val="auto"/>
        </w:rPr>
        <w:t>own and operate four ETCs known as Newmarket Village (in a suburb of Brisbane), The Belmont Common (in a suburb of Perth), and Cannon Park (in Townsville) in Australia, and Courtenay Central (in Wellington) in New Zealand;</w:t>
      </w:r>
    </w:p>
    <w:p>
      <w:pPr>
        <w:ind w:left="360"/>
        <w:spacing w:after="0" w:line="220" w:lineRule="auto"/>
        <w:rPr>
          <w:sz w:val="20"/>
          <w:szCs w:val="20"/>
          <w:color w:val="auto"/>
        </w:rPr>
      </w:pPr>
      <w:r>
        <w:rPr>
          <w:rFonts w:ascii="Arial" w:cs="Arial" w:eastAsia="Arial" w:hAnsi="Arial"/>
          <w:sz w:val="10"/>
          <w:szCs w:val="10"/>
          <w:color w:val="auto"/>
        </w:rPr>
        <w:t>own and operate our administrative office building in Culver City, California, which is currently being held for sale;</w:t>
      </w:r>
    </w:p>
    <w:p>
      <w:pPr>
        <w:ind w:left="360"/>
        <w:spacing w:after="0" w:line="219" w:lineRule="auto"/>
        <w:rPr>
          <w:sz w:val="20"/>
          <w:szCs w:val="20"/>
          <w:color w:val="auto"/>
        </w:rPr>
      </w:pPr>
      <w:r>
        <w:rPr>
          <w:rFonts w:ascii="Arial" w:cs="Arial" w:eastAsia="Arial" w:hAnsi="Arial"/>
          <w:sz w:val="10"/>
          <w:szCs w:val="10"/>
          <w:color w:val="auto"/>
        </w:rPr>
        <w:t>own and operate our administrative office building in South Melbourne, Australia;</w:t>
      </w:r>
    </w:p>
    <w:p>
      <w:pPr>
        <w:ind w:left="360"/>
        <w:spacing w:after="0" w:line="219" w:lineRule="auto"/>
        <w:rPr>
          <w:sz w:val="20"/>
          <w:szCs w:val="20"/>
          <w:color w:val="auto"/>
        </w:rPr>
      </w:pPr>
      <w:r>
        <w:rPr>
          <w:rFonts w:ascii="Arial" w:cs="Arial" w:eastAsia="Arial" w:hAnsi="Arial"/>
          <w:sz w:val="10"/>
          <w:szCs w:val="10"/>
          <w:color w:val="auto"/>
        </w:rPr>
        <w:t>own and operate the fee interests in two developed commercial properties in Manhattan improved with live theatres comprised of a single stage in each location;</w:t>
      </w:r>
    </w:p>
    <w:p>
      <w:pPr>
        <w:ind w:left="360" w:right="2660"/>
        <w:spacing w:after="0" w:line="219" w:lineRule="auto"/>
        <w:rPr>
          <w:sz w:val="20"/>
          <w:szCs w:val="20"/>
          <w:color w:val="auto"/>
        </w:rPr>
      </w:pPr>
      <w:r>
        <w:rPr>
          <w:rFonts w:ascii="Arial" w:cs="Arial" w:eastAsia="Arial" w:hAnsi="Arial"/>
          <w:sz w:val="10"/>
          <w:szCs w:val="10"/>
          <w:color w:val="auto"/>
        </w:rPr>
        <w:t>own a 75% managing member interest in a limited liability company which in turn owns the fee interest in and improvements constituting our Cinemas 1,2,3 located in Manhattan; own an approximately 26.6-acre property in Williamsport, Pennsylvania, currently leased to Transco Railway Products, Inc and currently being held for sale; own approximately 201-acres principally in Pennsylvania from our legacy railroad business, including the Reading Viaduct in downtown Philadelphia; and</w:t>
      </w:r>
    </w:p>
    <w:p>
      <w:pPr>
        <w:ind w:left="360" w:right="220"/>
        <w:spacing w:after="0" w:line="230" w:lineRule="auto"/>
        <w:rPr>
          <w:sz w:val="20"/>
          <w:szCs w:val="20"/>
          <w:color w:val="auto"/>
        </w:rPr>
      </w:pPr>
      <w:r>
        <w:rPr>
          <w:rFonts w:ascii="Arial" w:cs="Arial" w:eastAsia="Arial" w:hAnsi="Arial"/>
          <w:sz w:val="10"/>
          <w:szCs w:val="10"/>
          <w:color w:val="auto"/>
        </w:rPr>
        <w:t>have exercised our option to purchase the improvements and ground lease comprising our cinema, Village East by Angelika cinema, and headquarters building at 189 Second Avenue in Manhattan, such sale scheduled to close in July 2024.</w:t>
      </w:r>
    </w:p>
    <w:p>
      <w:pPr>
        <w:spacing w:after="0" w:line="40" w:lineRule="exact"/>
        <w:rPr>
          <w:sz w:val="20"/>
          <w:szCs w:val="20"/>
          <w:color w:val="auto"/>
        </w:rPr>
      </w:pPr>
    </w:p>
    <w:p>
      <w:pPr>
        <w:ind w:right="1440"/>
        <w:spacing w:after="0" w:line="442" w:lineRule="auto"/>
        <w:rPr>
          <w:sz w:val="20"/>
          <w:szCs w:val="20"/>
          <w:color w:val="auto"/>
        </w:rPr>
      </w:pPr>
      <w:r>
        <w:rPr>
          <w:rFonts w:ascii="Arial" w:cs="Arial" w:eastAsia="Arial" w:hAnsi="Arial"/>
          <w:sz w:val="10"/>
          <w:szCs w:val="10"/>
          <w:color w:val="auto"/>
        </w:rPr>
        <w:t xml:space="preserve">For a breakdown of our real estate assets, made current by our discussion below, please refer to </w:t>
      </w:r>
      <w:r>
        <w:rPr>
          <w:rFonts w:ascii="Arial" w:cs="Arial" w:eastAsia="Arial" w:hAnsi="Arial"/>
          <w:sz w:val="10"/>
          <w:szCs w:val="10"/>
          <w:i w:val="1"/>
          <w:iCs w:val="1"/>
          <w:color w:val="auto"/>
        </w:rPr>
        <w:t>Part I, Item 1 – Our Business</w:t>
      </w:r>
      <w:r>
        <w:rPr>
          <w:rFonts w:ascii="Arial" w:cs="Arial" w:eastAsia="Arial" w:hAnsi="Arial"/>
          <w:sz w:val="10"/>
          <w:szCs w:val="10"/>
          <w:color w:val="auto"/>
        </w:rPr>
        <w:t xml:space="preserve"> of our 2022 Form 10-K. We now present a discussion of recent material developments. </w:t>
      </w:r>
      <w:r>
        <w:rPr>
          <w:rFonts w:ascii="Arial" w:cs="Arial" w:eastAsia="Arial" w:hAnsi="Arial"/>
          <w:sz w:val="10"/>
          <w:szCs w:val="10"/>
          <w:b w:val="1"/>
          <w:bCs w:val="1"/>
          <w:i w:val="1"/>
          <w:iCs w:val="1"/>
          <w:color w:val="auto"/>
        </w:rPr>
        <w:t>Value-creating Opportunities</w:t>
      </w:r>
    </w:p>
    <w:p>
      <w:pPr>
        <w:spacing w:after="0" w:line="237" w:lineRule="auto"/>
        <w:rPr>
          <w:sz w:val="20"/>
          <w:szCs w:val="20"/>
          <w:color w:val="auto"/>
        </w:rPr>
      </w:pPr>
      <w:r>
        <w:rPr>
          <w:rFonts w:ascii="Arial" w:cs="Arial" w:eastAsia="Arial" w:hAnsi="Arial"/>
          <w:sz w:val="10"/>
          <w:szCs w:val="10"/>
          <w:color w:val="auto"/>
        </w:rPr>
        <w:t>The implementation of most of our Company’s real estate development plans remained delayed due to the effects of the COVID-19 pandemic on the global cinema industry and the need to conserve capital and fund our cinema operation. However, we intend to continue to emphasize the prudent development of our real estate assets as we emerge from the pandemic.</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United States:</w:t>
      </w:r>
    </w:p>
    <w:p>
      <w:pPr>
        <w:ind w:left="360" w:right="40"/>
        <w:spacing w:after="0" w:line="225" w:lineRule="auto"/>
        <w:rPr>
          <w:sz w:val="20"/>
          <w:szCs w:val="20"/>
          <w:color w:val="auto"/>
        </w:rPr>
      </w:pPr>
      <w:r>
        <w:rPr>
          <w:rFonts w:ascii="Arial" w:cs="Arial" w:eastAsia="Arial" w:hAnsi="Arial"/>
          <w:sz w:val="10"/>
          <w:szCs w:val="10"/>
          <w:i w:val="1"/>
          <w:iCs w:val="1"/>
          <w:u w:val="single" w:color="auto"/>
          <w:color w:val="auto"/>
        </w:rPr>
        <w:t>44 Union Square Redevelopment (New York, N.Y.)</w:t>
      </w:r>
      <w:r>
        <w:rPr>
          <w:rFonts w:ascii="Arial" w:cs="Arial" w:eastAsia="Arial" w:hAnsi="Arial"/>
          <w:sz w:val="10"/>
          <w:szCs w:val="10"/>
          <w:i w:val="1"/>
          <w:iCs w:val="1"/>
          <w:color w:val="auto"/>
        </w:rPr>
        <w:t xml:space="preserve"> </w:t>
      </w:r>
      <w:r>
        <w:rPr>
          <w:rFonts w:ascii="Arial" w:cs="Arial" w:eastAsia="Arial" w:hAnsi="Arial"/>
          <w:sz w:val="10"/>
          <w:szCs w:val="10"/>
          <w:color w:val="auto"/>
        </w:rPr>
        <w:t>– On January 27, 2022, we entered a long-term lease with Petco for the cellar, ground floor, and second floor of the building, representing 42% of the leasable area. Petco is in occupancy</w:t>
      </w:r>
      <w:r>
        <w:rPr>
          <w:rFonts w:ascii="Arial" w:cs="Arial" w:eastAsia="Arial" w:hAnsi="Arial"/>
          <w:sz w:val="10"/>
          <w:szCs w:val="10"/>
          <w:i w:val="1"/>
          <w:iCs w:val="1"/>
          <w:color w:val="auto"/>
        </w:rPr>
        <w:t xml:space="preserve"> </w:t>
      </w:r>
      <w:r>
        <w:rPr>
          <w:rFonts w:ascii="Arial" w:cs="Arial" w:eastAsia="Arial" w:hAnsi="Arial"/>
          <w:sz w:val="10"/>
          <w:szCs w:val="10"/>
          <w:color w:val="auto"/>
        </w:rPr>
        <w:t>of its premises on a full rent cash paying basis and opened to the public on June 1, 2023. CBRE is currently engaged as our exclusive broker for the remaining space. While the space was originally designed for office uses, given the dramatic presence of the property on Union Square, the rebound in foot traffic being enjoyed by Union Square and our building’s great branding potential, we are considering, a range of uses beyond traditional office tenants, including short term and special purpose uses. While we cannot guarantee the successful leasing of the remaining space, our leasing team continues to actively pursue potential tenants.</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664" w:right="620" w:bottom="1440" w:gutter="0" w:footer="0" w:header="0"/>
        </w:sectPr>
      </w:pPr>
    </w:p>
    <w:bookmarkStart w:id="30" w:name="page31"/>
    <w:bookmarkEnd w:id="30"/>
    <w:p>
      <w:pPr>
        <w:ind w:left="360" w:right="80"/>
        <w:spacing w:after="0" w:line="230" w:lineRule="auto"/>
        <w:rPr>
          <w:sz w:val="20"/>
          <w:szCs w:val="20"/>
          <w:color w:val="auto"/>
        </w:rPr>
      </w:pPr>
      <w:r>
        <w:rPr>
          <w:rFonts w:ascii="Arial" w:cs="Arial" w:eastAsia="Arial" w:hAnsi="Arial"/>
          <w:sz w:val="10"/>
          <w:szCs w:val="10"/>
          <w:i w:val="1"/>
          <w:iCs w:val="1"/>
          <w:u w:val="single" w:color="auto"/>
          <w:color w:val="auto"/>
        </w:rPr>
        <w:t>Minetta Lane Theatre (New York, N.Y.)</w:t>
      </w:r>
      <w:r>
        <w:rPr>
          <w:rFonts w:ascii="Arial" w:cs="Arial" w:eastAsia="Arial" w:hAnsi="Arial"/>
          <w:sz w:val="10"/>
          <w:szCs w:val="10"/>
          <w:i w:val="1"/>
          <w:iCs w:val="1"/>
          <w:color w:val="auto"/>
        </w:rPr>
        <w:t xml:space="preserve"> </w:t>
      </w:r>
      <w:r>
        <w:rPr>
          <w:rFonts w:ascii="Arial" w:cs="Arial" w:eastAsia="Arial" w:hAnsi="Arial"/>
          <w:sz w:val="10"/>
          <w:szCs w:val="10"/>
          <w:color w:val="auto"/>
        </w:rPr>
        <w:t>– Prior to COVID-19, our theatre was used by Audible, to present plays featuring a limited cast of one or two characters and special live performance engagements on the Audible streaming service.</w:t>
      </w:r>
      <w:r>
        <w:rPr>
          <w:rFonts w:ascii="Arial" w:cs="Arial" w:eastAsia="Arial" w:hAnsi="Arial"/>
          <w:sz w:val="10"/>
          <w:szCs w:val="10"/>
          <w:i w:val="1"/>
          <w:iCs w:val="1"/>
          <w:color w:val="auto"/>
        </w:rPr>
        <w:t xml:space="preserve"> </w:t>
      </w:r>
      <w:r>
        <w:rPr>
          <w:rFonts w:ascii="Arial" w:cs="Arial" w:eastAsia="Arial" w:hAnsi="Arial"/>
          <w:sz w:val="10"/>
          <w:szCs w:val="10"/>
          <w:color w:val="auto"/>
        </w:rPr>
        <w:t>Due to COVID-19, no shows were presented between March 2020 and October 8, 2021, the date on which public performances resumed, and during this period we provided certain abatements. Audible has resumed full operations at the theatre and extended its license arrangement with us through March 15, 2024. Audible has informed us that they would like to extend another two years with one year option. The parties will be working on an extension agreement in the near future. No assurances can be given that we will be able to enter into such a contract extension on terms acceptable to the Company.</w:t>
      </w:r>
    </w:p>
    <w:p>
      <w:pPr>
        <w:spacing w:after="0" w:line="144" w:lineRule="exact"/>
        <w:rPr>
          <w:sz w:val="20"/>
          <w:szCs w:val="20"/>
          <w:color w:val="auto"/>
        </w:rPr>
      </w:pPr>
    </w:p>
    <w:p>
      <w:pPr>
        <w:ind w:left="360" w:right="40"/>
        <w:spacing w:after="0" w:line="230" w:lineRule="auto"/>
        <w:rPr>
          <w:sz w:val="20"/>
          <w:szCs w:val="20"/>
          <w:color w:val="auto"/>
        </w:rPr>
      </w:pPr>
      <w:r>
        <w:rPr>
          <w:rFonts w:ascii="Arial" w:cs="Arial" w:eastAsia="Arial" w:hAnsi="Arial"/>
          <w:sz w:val="10"/>
          <w:szCs w:val="10"/>
          <w:i w:val="1"/>
          <w:iCs w:val="1"/>
          <w:u w:val="single" w:color="auto"/>
          <w:color w:val="auto"/>
        </w:rPr>
        <w:t>Orpheum Theatre (New York, N.Y.)</w:t>
      </w:r>
      <w:r>
        <w:rPr>
          <w:rFonts w:ascii="Arial" w:cs="Arial" w:eastAsia="Arial" w:hAnsi="Arial"/>
          <w:sz w:val="10"/>
          <w:szCs w:val="10"/>
          <w:i w:val="1"/>
          <w:iCs w:val="1"/>
          <w:color w:val="auto"/>
        </w:rPr>
        <w:t xml:space="preserve"> – </w:t>
      </w:r>
      <w:r>
        <w:rPr>
          <w:rFonts w:ascii="Arial" w:cs="Arial" w:eastAsia="Arial" w:hAnsi="Arial"/>
          <w:sz w:val="10"/>
          <w:szCs w:val="10"/>
          <w:color w:val="auto"/>
        </w:rPr>
        <w:t>Prior to COVID-19, our theatre was the home to STOMP. Due to COVID -19, no shows were presented between April 2020 and June 2021. Thereafter, performances were intermittent. During this</w:t>
      </w:r>
      <w:r>
        <w:rPr>
          <w:rFonts w:ascii="Arial" w:cs="Arial" w:eastAsia="Arial" w:hAnsi="Arial"/>
          <w:sz w:val="10"/>
          <w:szCs w:val="10"/>
          <w:i w:val="1"/>
          <w:iCs w:val="1"/>
          <w:color w:val="auto"/>
        </w:rPr>
        <w:t xml:space="preserve"> </w:t>
      </w:r>
      <w:r>
        <w:rPr>
          <w:rFonts w:ascii="Arial" w:cs="Arial" w:eastAsia="Arial" w:hAnsi="Arial"/>
          <w:sz w:val="10"/>
          <w:szCs w:val="10"/>
          <w:color w:val="auto"/>
        </w:rPr>
        <w:t xml:space="preserve">period, we provided certain abatements. STOMP ultimately closed (after 30 years at our theatre) on January 8, 2023. Under our termination agreement with the producers of STOMP, we have certain rights to provide the New York City venue for any future production of that show. Following STOMP’s historic run at the Orpheum, a new show, </w:t>
      </w:r>
      <w:r>
        <w:rPr>
          <w:rFonts w:ascii="Arial" w:cs="Arial" w:eastAsia="Arial" w:hAnsi="Arial"/>
          <w:sz w:val="10"/>
          <w:szCs w:val="10"/>
          <w:i w:val="1"/>
          <w:iCs w:val="1"/>
          <w:color w:val="auto"/>
        </w:rPr>
        <w:t>The Empire Strips Back,</w:t>
      </w:r>
      <w:r>
        <w:rPr>
          <w:rFonts w:ascii="Arial" w:cs="Arial" w:eastAsia="Arial" w:hAnsi="Arial"/>
          <w:sz w:val="10"/>
          <w:szCs w:val="10"/>
          <w:color w:val="auto"/>
        </w:rPr>
        <w:t xml:space="preserve"> ran for approximately three months and Comedian Rachel Bloom will host a short term run for </w:t>
      </w:r>
      <w:r>
        <w:rPr>
          <w:rFonts w:ascii="Arial" w:cs="Arial" w:eastAsia="Arial" w:hAnsi="Arial"/>
          <w:sz w:val="10"/>
          <w:szCs w:val="10"/>
          <w:i w:val="1"/>
          <w:iCs w:val="1"/>
          <w:color w:val="auto"/>
        </w:rPr>
        <w:t>Death, Let</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Me Do My Show </w:t>
      </w:r>
      <w:r>
        <w:rPr>
          <w:rFonts w:ascii="Arial" w:cs="Arial" w:eastAsia="Arial" w:hAnsi="Arial"/>
          <w:sz w:val="10"/>
          <w:szCs w:val="10"/>
          <w:color w:val="auto"/>
        </w:rPr>
        <w:t>from December 7, 2023, to January 6, 2024. We are also in discussions with other potential shows to license the Orpheum Theatre.</w:t>
      </w:r>
    </w:p>
    <w:p>
      <w:pPr>
        <w:spacing w:after="0" w:line="144" w:lineRule="exact"/>
        <w:rPr>
          <w:sz w:val="20"/>
          <w:szCs w:val="20"/>
          <w:color w:val="auto"/>
        </w:rPr>
      </w:pPr>
    </w:p>
    <w:p>
      <w:pPr>
        <w:ind w:left="360" w:right="340"/>
        <w:spacing w:after="0" w:line="233" w:lineRule="auto"/>
        <w:rPr>
          <w:sz w:val="20"/>
          <w:szCs w:val="20"/>
          <w:color w:val="auto"/>
        </w:rPr>
      </w:pPr>
      <w:r>
        <w:rPr>
          <w:rFonts w:ascii="Arial" w:cs="Arial" w:eastAsia="Arial" w:hAnsi="Arial"/>
          <w:sz w:val="10"/>
          <w:szCs w:val="10"/>
          <w:i w:val="1"/>
          <w:iCs w:val="1"/>
          <w:u w:val="single" w:color="auto"/>
          <w:color w:val="auto"/>
        </w:rPr>
        <w:t>Cinemas 1,2,3 (New York, N.Y.)</w:t>
      </w:r>
      <w:r>
        <w:rPr>
          <w:rFonts w:ascii="Arial" w:cs="Arial" w:eastAsia="Arial" w:hAnsi="Arial"/>
          <w:sz w:val="10"/>
          <w:szCs w:val="10"/>
          <w:i w:val="1"/>
          <w:iCs w:val="1"/>
          <w:color w:val="auto"/>
        </w:rPr>
        <w:t xml:space="preserve"> </w:t>
      </w:r>
      <w:r>
        <w:rPr>
          <w:rFonts w:ascii="Arial" w:cs="Arial" w:eastAsia="Arial" w:hAnsi="Arial"/>
          <w:sz w:val="10"/>
          <w:szCs w:val="10"/>
          <w:color w:val="auto"/>
        </w:rPr>
        <w:t>– Currently operated as the Cinemas 123, we have historically treated this property as an asset held for long term development. However, in light of a variety of factors, such as market conditions in</w:t>
      </w:r>
      <w:r>
        <w:rPr>
          <w:rFonts w:ascii="Arial" w:cs="Arial" w:eastAsia="Arial" w:hAnsi="Arial"/>
          <w:sz w:val="10"/>
          <w:szCs w:val="10"/>
          <w:i w:val="1"/>
          <w:iCs w:val="1"/>
          <w:color w:val="auto"/>
        </w:rPr>
        <w:t xml:space="preserve"> </w:t>
      </w:r>
      <w:r>
        <w:rPr>
          <w:rFonts w:ascii="Arial" w:cs="Arial" w:eastAsia="Arial" w:hAnsi="Arial"/>
          <w:sz w:val="10"/>
          <w:szCs w:val="10"/>
          <w:color w:val="auto"/>
        </w:rPr>
        <w:t>Manhattan for real estate assets, cost of capital and demands on our liquidity, we have begun to explore alternatives for this property. These alternatives may include, again by way of example, the bringing in of a capital partner, the entering into a long-term ground lease (which could serve as the basis for medium to long term finance), and/or the sale (in whole or in part) of our interest in the property.</w:t>
      </w:r>
    </w:p>
    <w:p>
      <w:pPr>
        <w:spacing w:after="0" w:line="205" w:lineRule="exact"/>
        <w:rPr>
          <w:sz w:val="20"/>
          <w:szCs w:val="20"/>
          <w:color w:val="auto"/>
        </w:rPr>
      </w:pPr>
    </w:p>
    <w:p>
      <w:pPr>
        <w:jc w:val="both"/>
        <w:ind w:left="360" w:right="20"/>
        <w:spacing w:after="0" w:line="233" w:lineRule="auto"/>
        <w:rPr>
          <w:sz w:val="20"/>
          <w:szCs w:val="20"/>
          <w:color w:val="auto"/>
        </w:rPr>
      </w:pPr>
      <w:r>
        <w:rPr>
          <w:rFonts w:ascii="Arial" w:cs="Arial" w:eastAsia="Arial" w:hAnsi="Arial"/>
          <w:sz w:val="10"/>
          <w:szCs w:val="10"/>
          <w:i w:val="1"/>
          <w:iCs w:val="1"/>
          <w:u w:val="single" w:color="auto"/>
          <w:color w:val="auto"/>
        </w:rPr>
        <w:t>The Philadelphia Viaduct and Adjacent Properties (Philadelphia, Pennsylvania)</w:t>
      </w:r>
      <w:r>
        <w:rPr>
          <w:rFonts w:ascii="Arial" w:cs="Arial" w:eastAsia="Arial" w:hAnsi="Arial"/>
          <w:sz w:val="10"/>
          <w:szCs w:val="10"/>
          <w:i w:val="1"/>
          <w:iCs w:val="1"/>
          <w:color w:val="auto"/>
        </w:rPr>
        <w:t xml:space="preserve"> – </w:t>
      </w:r>
      <w:r>
        <w:rPr>
          <w:rFonts w:ascii="Arial" w:cs="Arial" w:eastAsia="Arial" w:hAnsi="Arial"/>
          <w:sz w:val="10"/>
          <w:szCs w:val="10"/>
          <w:color w:val="auto"/>
        </w:rPr>
        <w:t>This continues to be an area of focus for us in 2023. We have, in recent periods, begun the process of demolishing obsolete structures on the Viaduct or on</w:t>
      </w:r>
      <w:r>
        <w:rPr>
          <w:rFonts w:ascii="Arial" w:cs="Arial" w:eastAsia="Arial" w:hAnsi="Arial"/>
          <w:sz w:val="10"/>
          <w:szCs w:val="10"/>
          <w:i w:val="1"/>
          <w:iCs w:val="1"/>
          <w:color w:val="auto"/>
        </w:rPr>
        <w:t xml:space="preserve"> </w:t>
      </w:r>
      <w:r>
        <w:rPr>
          <w:rFonts w:ascii="Arial" w:cs="Arial" w:eastAsia="Arial" w:hAnsi="Arial"/>
          <w:sz w:val="10"/>
          <w:szCs w:val="10"/>
          <w:color w:val="auto"/>
        </w:rPr>
        <w:t>our properties adjacent to the Viaduct. The city is currently considering an ordinance which would allow it to acquire, in whole or in part, our interest in the Viaduct, and we are in discussions with community leaders about ways in which we can work together to bring enhanced value to our holdings.</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Australia:</w:t>
      </w:r>
    </w:p>
    <w:p>
      <w:pPr>
        <w:spacing w:after="0" w:line="95" w:lineRule="exact"/>
        <w:rPr>
          <w:sz w:val="20"/>
          <w:szCs w:val="20"/>
          <w:color w:val="auto"/>
        </w:rPr>
      </w:pPr>
    </w:p>
    <w:p>
      <w:pPr>
        <w:ind w:left="360"/>
        <w:spacing w:after="0" w:line="229" w:lineRule="auto"/>
        <w:rPr>
          <w:sz w:val="20"/>
          <w:szCs w:val="20"/>
          <w:color w:val="auto"/>
        </w:rPr>
      </w:pPr>
      <w:r>
        <w:rPr>
          <w:rFonts w:ascii="Arial" w:cs="Arial" w:eastAsia="Arial" w:hAnsi="Arial"/>
          <w:sz w:val="10"/>
          <w:szCs w:val="10"/>
          <w:i w:val="1"/>
          <w:iCs w:val="1"/>
          <w:u w:val="single" w:color="auto"/>
          <w:color w:val="auto"/>
        </w:rPr>
        <w:t>Newmarket Village ETC, (Brisbane, Australia)</w:t>
      </w:r>
      <w:r>
        <w:rPr>
          <w:rFonts w:ascii="Arial" w:cs="Arial" w:eastAsia="Arial" w:hAnsi="Arial"/>
          <w:sz w:val="10"/>
          <w:szCs w:val="10"/>
          <w:i w:val="1"/>
          <w:iCs w:val="1"/>
          <w:color w:val="auto"/>
        </w:rPr>
        <w:t xml:space="preserve"> – </w:t>
      </w:r>
      <w:r>
        <w:rPr>
          <w:rFonts w:ascii="Arial" w:cs="Arial" w:eastAsia="Arial" w:hAnsi="Arial"/>
          <w:sz w:val="10"/>
          <w:szCs w:val="10"/>
          <w:color w:val="auto"/>
        </w:rPr>
        <w:t>We continue to work on the expansion and upgrade of our Newmarket Village ETC. Our site includes a 23,250 square foot parcel adjacent to the center, improved with an office building. Over</w:t>
      </w:r>
      <w:r>
        <w:rPr>
          <w:rFonts w:ascii="Arial" w:cs="Arial" w:eastAsia="Arial" w:hAnsi="Arial"/>
          <w:sz w:val="10"/>
          <w:szCs w:val="10"/>
          <w:i w:val="1"/>
          <w:iCs w:val="1"/>
          <w:color w:val="auto"/>
        </w:rPr>
        <w:t xml:space="preserve"> </w:t>
      </w:r>
      <w:r>
        <w:rPr>
          <w:rFonts w:ascii="Arial" w:cs="Arial" w:eastAsia="Arial" w:hAnsi="Arial"/>
          <w:sz w:val="10"/>
          <w:szCs w:val="10"/>
          <w:color w:val="auto"/>
        </w:rPr>
        <w:t>the next few years, we will be evaluating development options for this space. As of the date of this report, the combined center and office building is 99% leased.</w:t>
      </w:r>
    </w:p>
    <w:p>
      <w:pPr>
        <w:spacing w:after="0" w:line="1" w:lineRule="exact"/>
        <w:rPr>
          <w:sz w:val="20"/>
          <w:szCs w:val="20"/>
          <w:color w:val="auto"/>
        </w:rPr>
      </w:pPr>
    </w:p>
    <w:p>
      <w:pPr>
        <w:ind w:left="360" w:right="260"/>
        <w:spacing w:after="0" w:line="230" w:lineRule="auto"/>
        <w:rPr>
          <w:sz w:val="20"/>
          <w:szCs w:val="20"/>
          <w:color w:val="auto"/>
        </w:rPr>
      </w:pPr>
      <w:r>
        <w:rPr>
          <w:rFonts w:ascii="Arial" w:cs="Arial" w:eastAsia="Arial" w:hAnsi="Arial"/>
          <w:sz w:val="10"/>
          <w:szCs w:val="10"/>
          <w:i w:val="1"/>
          <w:iCs w:val="1"/>
          <w:u w:val="single" w:color="auto"/>
          <w:color w:val="auto"/>
        </w:rPr>
        <w:t>Cannon Park Center ETC, (Queensland, Australia)</w:t>
      </w:r>
      <w:r>
        <w:rPr>
          <w:rFonts w:ascii="Arial" w:cs="Arial" w:eastAsia="Arial" w:hAnsi="Arial"/>
          <w:sz w:val="10"/>
          <w:szCs w:val="10"/>
          <w:i w:val="1"/>
          <w:iCs w:val="1"/>
          <w:color w:val="auto"/>
        </w:rPr>
        <w:t xml:space="preserve"> </w:t>
      </w:r>
      <w:r>
        <w:rPr>
          <w:rFonts w:ascii="Arial" w:cs="Arial" w:eastAsia="Arial" w:hAnsi="Arial"/>
          <w:sz w:val="10"/>
          <w:szCs w:val="10"/>
          <w:color w:val="auto"/>
        </w:rPr>
        <w:t>– We own two adjoining properties in Townsville, Queensland, Australia, (Cannon Park City Center and Cannon Park Discount Center) comprising approximately 9.4-acres which we</w:t>
      </w:r>
      <w:r>
        <w:rPr>
          <w:rFonts w:ascii="Arial" w:cs="Arial" w:eastAsia="Arial" w:hAnsi="Arial"/>
          <w:sz w:val="10"/>
          <w:szCs w:val="10"/>
          <w:i w:val="1"/>
          <w:iCs w:val="1"/>
          <w:color w:val="auto"/>
        </w:rPr>
        <w:t xml:space="preserve"> </w:t>
      </w:r>
      <w:r>
        <w:rPr>
          <w:rFonts w:ascii="Arial" w:cs="Arial" w:eastAsia="Arial" w:hAnsi="Arial"/>
          <w:sz w:val="10"/>
          <w:szCs w:val="10"/>
          <w:color w:val="auto"/>
        </w:rPr>
        <w:t>operate as our Cannon Park Center ETC. The total gross leasable area of the two properties is 133,000 square feet. Our multiplex cinema is the anchor tenant. These properties are currently 94% leased.</w:t>
      </w:r>
    </w:p>
    <w:p>
      <w:pPr>
        <w:spacing w:after="0" w:line="205" w:lineRule="exact"/>
        <w:rPr>
          <w:sz w:val="20"/>
          <w:szCs w:val="20"/>
          <w:color w:val="auto"/>
        </w:rPr>
      </w:pPr>
    </w:p>
    <w:p>
      <w:pPr>
        <w:ind w:left="360" w:right="80"/>
        <w:spacing w:after="0" w:line="242" w:lineRule="auto"/>
        <w:rPr>
          <w:sz w:val="20"/>
          <w:szCs w:val="20"/>
          <w:color w:val="auto"/>
        </w:rPr>
      </w:pPr>
      <w:r>
        <w:rPr>
          <w:rFonts w:ascii="Arial" w:cs="Arial" w:eastAsia="Arial" w:hAnsi="Arial"/>
          <w:sz w:val="10"/>
          <w:szCs w:val="10"/>
          <w:i w:val="1"/>
          <w:iCs w:val="1"/>
          <w:u w:val="single" w:color="auto"/>
          <w:color w:val="auto"/>
        </w:rPr>
        <w:t>The Belmont Common, (Belmont, Perth, Australia)</w:t>
      </w:r>
      <w:r>
        <w:rPr>
          <w:rFonts w:ascii="Arial" w:cs="Arial" w:eastAsia="Arial" w:hAnsi="Arial"/>
          <w:sz w:val="10"/>
          <w:szCs w:val="10"/>
          <w:i w:val="1"/>
          <w:iCs w:val="1"/>
          <w:color w:val="auto"/>
        </w:rPr>
        <w:t xml:space="preserve"> </w:t>
      </w:r>
      <w:r>
        <w:rPr>
          <w:rFonts w:ascii="Arial" w:cs="Arial" w:eastAsia="Arial" w:hAnsi="Arial"/>
          <w:sz w:val="10"/>
          <w:szCs w:val="10"/>
          <w:color w:val="auto"/>
        </w:rPr>
        <w:t>– The total gross leasable area of the Belmont Common is 60,117 square feet. Our multiplex cinema is the anchor tenant with six third-party tenants and our Reading Cinemas, the site is</w:t>
      </w:r>
      <w:r>
        <w:rPr>
          <w:rFonts w:ascii="Arial" w:cs="Arial" w:eastAsia="Arial" w:hAnsi="Arial"/>
          <w:sz w:val="10"/>
          <w:szCs w:val="10"/>
          <w:i w:val="1"/>
          <w:iCs w:val="1"/>
          <w:color w:val="auto"/>
        </w:rPr>
        <w:t xml:space="preserve"> </w:t>
      </w:r>
      <w:r>
        <w:rPr>
          <w:rFonts w:ascii="Arial" w:cs="Arial" w:eastAsia="Arial" w:hAnsi="Arial"/>
          <w:sz w:val="10"/>
          <w:szCs w:val="10"/>
          <w:color w:val="auto"/>
        </w:rPr>
        <w:t>currently 100% leased.</w:t>
      </w:r>
    </w:p>
    <w:p>
      <w:pPr>
        <w:spacing w:after="0" w:line="143"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New Zealand:</w:t>
      </w:r>
    </w:p>
    <w:p>
      <w:pPr>
        <w:ind w:left="360" w:right="40"/>
        <w:spacing w:after="0" w:line="225" w:lineRule="auto"/>
        <w:rPr>
          <w:sz w:val="20"/>
          <w:szCs w:val="20"/>
          <w:color w:val="auto"/>
        </w:rPr>
      </w:pPr>
      <w:r>
        <w:rPr>
          <w:rFonts w:ascii="Arial" w:cs="Arial" w:eastAsia="Arial" w:hAnsi="Arial"/>
          <w:sz w:val="10"/>
          <w:szCs w:val="10"/>
          <w:i w:val="1"/>
          <w:iCs w:val="1"/>
          <w:u w:val="single" w:color="auto"/>
          <w:color w:val="auto"/>
        </w:rPr>
        <w:t>Courtenay Central Redevelopment (Wellington)</w:t>
      </w:r>
      <w:r>
        <w:rPr>
          <w:rFonts w:ascii="Arial" w:cs="Arial" w:eastAsia="Arial" w:hAnsi="Arial"/>
          <w:sz w:val="10"/>
          <w:szCs w:val="10"/>
          <w:i w:val="1"/>
          <w:iCs w:val="1"/>
          <w:color w:val="auto"/>
        </w:rPr>
        <w:t xml:space="preserve"> </w:t>
      </w:r>
      <w:r>
        <w:rPr>
          <w:rFonts w:ascii="Arial" w:cs="Arial" w:eastAsia="Arial" w:hAnsi="Arial"/>
          <w:sz w:val="10"/>
          <w:szCs w:val="10"/>
          <w:color w:val="auto"/>
        </w:rPr>
        <w:t>– Our Wellington property is comprised of three parcels representing approximately 161,082 square feet of land in the entertainment core of Wellington, we anticipate that this redevelopment</w:t>
      </w:r>
      <w:r>
        <w:rPr>
          <w:rFonts w:ascii="Arial" w:cs="Arial" w:eastAsia="Arial" w:hAnsi="Arial"/>
          <w:sz w:val="10"/>
          <w:szCs w:val="10"/>
          <w:i w:val="1"/>
          <w:iCs w:val="1"/>
          <w:color w:val="auto"/>
        </w:rPr>
        <w:t xml:space="preserve"> </w:t>
      </w:r>
      <w:r>
        <w:rPr>
          <w:rFonts w:ascii="Arial" w:cs="Arial" w:eastAsia="Arial" w:hAnsi="Arial"/>
          <w:sz w:val="10"/>
          <w:szCs w:val="10"/>
          <w:color w:val="auto"/>
        </w:rPr>
        <w:t>opportunity will be a principal focus over the next few years. We remain optimistic about the development potential for our Courtenay Central property, in light of, among other things, (i) the successful June 3, 2023 opening of Takina Wellington Convention and Exhibition Center (wcec.co.nz), this capital city’s first premium conference and exhibition space that already has over a hundred conferences and events booked and internationally acclaimed exhibits scheduled, (ii) the loosening of certain height and density restrictions, and (iii) the lack of comparable building sites.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0"/>
          <w:szCs w:val="10"/>
          <w:color w:val="auto"/>
        </w:rPr>
        <w:t xml:space="preserve">For a complete list of our principal properties, see </w:t>
      </w:r>
      <w:r>
        <w:rPr>
          <w:rFonts w:ascii="Arial" w:cs="Arial" w:eastAsia="Arial" w:hAnsi="Arial"/>
          <w:sz w:val="10"/>
          <w:szCs w:val="10"/>
          <w:i w:val="1"/>
          <w:iCs w:val="1"/>
          <w:color w:val="auto"/>
        </w:rPr>
        <w:t>Part I, Item 2</w:t>
      </w:r>
      <w:r>
        <w:rPr>
          <w:rFonts w:ascii="Arial" w:cs="Arial" w:eastAsia="Arial" w:hAnsi="Arial"/>
          <w:sz w:val="10"/>
          <w:szCs w:val="10"/>
          <w:color w:val="auto"/>
        </w:rPr>
        <w:t xml:space="preserve"> – </w:t>
      </w:r>
      <w:r>
        <w:rPr>
          <w:rFonts w:ascii="Arial" w:cs="Arial" w:eastAsia="Arial" w:hAnsi="Arial"/>
          <w:sz w:val="10"/>
          <w:szCs w:val="10"/>
          <w:i w:val="1"/>
          <w:iCs w:val="1"/>
          <w:color w:val="auto"/>
        </w:rPr>
        <w:t>Properties</w:t>
      </w:r>
      <w:r>
        <w:rPr>
          <w:rFonts w:ascii="Arial" w:cs="Arial" w:eastAsia="Arial" w:hAnsi="Arial"/>
          <w:sz w:val="10"/>
          <w:szCs w:val="10"/>
          <w:color w:val="auto"/>
        </w:rPr>
        <w:t xml:space="preserve"> under the heading “</w:t>
      </w:r>
      <w:r>
        <w:rPr>
          <w:rFonts w:ascii="Arial" w:cs="Arial" w:eastAsia="Arial" w:hAnsi="Arial"/>
          <w:sz w:val="10"/>
          <w:szCs w:val="10"/>
          <w:i w:val="1"/>
          <w:iCs w:val="1"/>
          <w:color w:val="auto"/>
        </w:rPr>
        <w:t>Investment and Development Property.”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771" w:right="640" w:bottom="1440" w:gutter="0" w:footer="0" w:header="0"/>
        </w:sectPr>
      </w:pPr>
    </w:p>
    <w:bookmarkStart w:id="31" w:name="page32"/>
    <w:bookmarkEnd w:id="31"/>
    <w:p>
      <w:pPr>
        <w:spacing w:after="0"/>
        <w:rPr>
          <w:sz w:val="20"/>
          <w:szCs w:val="20"/>
          <w:color w:val="auto"/>
        </w:rPr>
      </w:pPr>
      <w:r>
        <w:rPr>
          <w:rFonts w:ascii="Arial" w:cs="Arial" w:eastAsia="Arial" w:hAnsi="Arial"/>
          <w:sz w:val="10"/>
          <w:szCs w:val="10"/>
          <w:b w:val="1"/>
          <w:bCs w:val="1"/>
          <w:i w:val="1"/>
          <w:iCs w:val="1"/>
          <w:color w:val="auto"/>
        </w:rPr>
        <w:t>Corporate Matters</w:t>
      </w:r>
    </w:p>
    <w:p>
      <w:pPr>
        <w:spacing w:after="0" w:line="97" w:lineRule="exact"/>
        <w:rPr>
          <w:sz w:val="20"/>
          <w:szCs w:val="20"/>
          <w:color w:val="auto"/>
        </w:rPr>
      </w:pPr>
    </w:p>
    <w:p>
      <w:pPr>
        <w:spacing w:after="0" w:line="242" w:lineRule="auto"/>
        <w:rPr>
          <w:sz w:val="20"/>
          <w:szCs w:val="20"/>
          <w:color w:val="auto"/>
        </w:rPr>
      </w:pPr>
      <w:r>
        <w:rPr>
          <w:rFonts w:ascii="Arial" w:cs="Arial" w:eastAsia="Arial" w:hAnsi="Arial"/>
          <w:sz w:val="10"/>
          <w:szCs w:val="10"/>
          <w:color w:val="auto"/>
        </w:rPr>
        <w:t xml:space="preserve">Refer to </w:t>
      </w:r>
      <w:r>
        <w:rPr>
          <w:rFonts w:ascii="Arial" w:cs="Arial" w:eastAsia="Arial" w:hAnsi="Arial"/>
          <w:sz w:val="10"/>
          <w:szCs w:val="10"/>
          <w:i w:val="1"/>
          <w:iCs w:val="1"/>
          <w:color w:val="auto"/>
        </w:rPr>
        <w:t>Part I – Financial Information, Item 1 – Notes to Consolidated Financial Statements-- Note 17 – Stock-Based Compensation and Stock Repurchases</w:t>
      </w:r>
      <w:r>
        <w:rPr>
          <w:rFonts w:ascii="Arial" w:cs="Arial" w:eastAsia="Arial" w:hAnsi="Arial"/>
          <w:sz w:val="10"/>
          <w:szCs w:val="10"/>
          <w:color w:val="auto"/>
        </w:rPr>
        <w:t xml:space="preserve"> for details regarding our stock repurchase program and Board, Executive and Employee stock-based remuneration programs.</w:t>
      </w:r>
    </w:p>
    <w:p>
      <w:pPr>
        <w:spacing w:after="0" w:line="136"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664" w:right="700" w:bottom="1440" w:gutter="0" w:footer="0" w:header="0"/>
        </w:sectPr>
      </w:pPr>
    </w:p>
    <w:bookmarkStart w:id="32" w:name="page33"/>
    <w:bookmarkEnd w:id="32"/>
    <w:p>
      <w:pPr>
        <w:spacing w:after="0"/>
        <w:rPr>
          <w:sz w:val="20"/>
          <w:szCs w:val="20"/>
          <w:color w:val="auto"/>
        </w:rPr>
      </w:pPr>
      <w:r>
        <w:rPr>
          <w:rFonts w:ascii="Arial" w:cs="Arial" w:eastAsia="Arial" w:hAnsi="Arial"/>
          <w:sz w:val="8"/>
          <w:szCs w:val="8"/>
          <w:i w:val="1"/>
          <w:iCs w:val="1"/>
          <w:color w:val="auto"/>
        </w:rPr>
        <w:t>Please refer to our 2022 Form 10-K for more details on our cinema and real estate segments.</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The table below summarizes the results of operations for each of our principal business segments along with the non-segment information for the quarter and nine months ended September 30, 2023, and September 30, 2022, respectively: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00"/>
        </w:trPr>
        <w:tc>
          <w:tcPr>
            <w:tcW w:w="3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4"/>
          </w:tcPr>
          <w:p>
            <w:pPr>
              <w:ind w:left="760"/>
              <w:spacing w:after="0"/>
              <w:rPr>
                <w:sz w:val="20"/>
                <w:szCs w:val="20"/>
                <w:color w:val="auto"/>
              </w:rPr>
            </w:pPr>
            <w:r>
              <w:rPr>
                <w:rFonts w:ascii="Arial" w:cs="Arial" w:eastAsia="Arial" w:hAnsi="Arial"/>
                <w:sz w:val="8"/>
                <w:szCs w:val="8"/>
                <w:b w:val="1"/>
                <w:bCs w:val="1"/>
                <w:color w:val="auto"/>
              </w:rPr>
              <w:t>Quarter Ended</w:t>
            </w: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center"/>
              <w:ind w:left="179"/>
              <w:spacing w:after="0"/>
              <w:rPr>
                <w:sz w:val="20"/>
                <w:szCs w:val="20"/>
                <w:color w:val="auto"/>
              </w:rPr>
            </w:pPr>
            <w:r>
              <w:rPr>
                <w:rFonts w:ascii="Arial" w:cs="Arial" w:eastAsia="Arial" w:hAnsi="Arial"/>
                <w:sz w:val="8"/>
                <w:szCs w:val="8"/>
                <w:b w:val="1"/>
                <w:bCs w:val="1"/>
                <w:color w:val="auto"/>
                <w:w w:val="98"/>
              </w:rPr>
              <w:t>% Change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20" w:type="dxa"/>
            <w:vAlign w:val="bottom"/>
            <w:gridSpan w:val="5"/>
          </w:tcPr>
          <w:p>
            <w:pPr>
              <w:jc w:val="right"/>
              <w:ind w:right="900"/>
              <w:spacing w:after="0"/>
              <w:rPr>
                <w:sz w:val="20"/>
                <w:szCs w:val="20"/>
                <w:color w:val="auto"/>
              </w:rPr>
            </w:pPr>
            <w:r>
              <w:rPr>
                <w:rFonts w:ascii="Arial" w:cs="Arial" w:eastAsia="Arial" w:hAnsi="Arial"/>
                <w:sz w:val="8"/>
                <w:szCs w:val="8"/>
                <w:b w:val="1"/>
                <w:bCs w:val="1"/>
                <w:color w:val="auto"/>
              </w:rPr>
              <w:t>Nine Months Ended</w:t>
            </w:r>
          </w:p>
        </w:tc>
        <w:tc>
          <w:tcPr>
            <w:tcW w:w="920" w:type="dxa"/>
            <w:vAlign w:val="bottom"/>
          </w:tcPr>
          <w:p>
            <w:pPr>
              <w:jc w:val="center"/>
              <w:ind w:left="239"/>
              <w:spacing w:after="0"/>
              <w:rPr>
                <w:sz w:val="20"/>
                <w:szCs w:val="20"/>
                <w:color w:val="auto"/>
              </w:rPr>
            </w:pPr>
            <w:r>
              <w:rPr>
                <w:rFonts w:ascii="Arial" w:cs="Arial" w:eastAsia="Arial" w:hAnsi="Arial"/>
                <w:sz w:val="8"/>
                <w:szCs w:val="8"/>
                <w:b w:val="1"/>
                <w:bCs w:val="1"/>
                <w:color w:val="auto"/>
              </w:rPr>
              <w:t>% Change</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44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(Dollars in thousands)</w:t>
            </w:r>
          </w:p>
        </w:tc>
        <w:tc>
          <w:tcPr>
            <w:tcW w:w="18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gridSpan w:val="2"/>
          </w:tcPr>
          <w:p>
            <w:pPr>
              <w:jc w:val="right"/>
              <w:ind w:right="400"/>
              <w:spacing w:after="0" w:line="63" w:lineRule="exact"/>
              <w:rPr>
                <w:sz w:val="20"/>
                <w:szCs w:val="20"/>
                <w:color w:val="auto"/>
              </w:rPr>
            </w:pPr>
            <w:r>
              <w:rPr>
                <w:rFonts w:ascii="Arial" w:cs="Arial" w:eastAsia="Arial" w:hAnsi="Arial"/>
                <w:sz w:val="7"/>
                <w:szCs w:val="7"/>
                <w:b w:val="1"/>
                <w:bCs w:val="1"/>
                <w:color w:val="auto"/>
              </w:rPr>
              <w:t>September 30,</w:t>
            </w:r>
          </w:p>
        </w:tc>
        <w:tc>
          <w:tcPr>
            <w:tcW w:w="1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jc w:val="right"/>
              <w:ind w:right="279"/>
              <w:spacing w:after="0" w:line="63" w:lineRule="exact"/>
              <w:rPr>
                <w:sz w:val="20"/>
                <w:szCs w:val="20"/>
                <w:color w:val="auto"/>
              </w:rPr>
            </w:pPr>
            <w:r>
              <w:rPr>
                <w:rFonts w:ascii="Arial" w:cs="Arial" w:eastAsia="Arial" w:hAnsi="Arial"/>
                <w:sz w:val="7"/>
                <w:szCs w:val="7"/>
                <w:b w:val="1"/>
                <w:bCs w:val="1"/>
                <w:color w:val="auto"/>
              </w:rPr>
              <w:t>September 30,</w:t>
            </w:r>
          </w:p>
        </w:tc>
        <w:tc>
          <w:tcPr>
            <w:tcW w:w="80" w:type="dxa"/>
            <w:vAlign w:val="bottom"/>
          </w:tcPr>
          <w:p>
            <w:pPr>
              <w:spacing w:after="0"/>
              <w:rPr>
                <w:sz w:val="5"/>
                <w:szCs w:val="5"/>
                <w:color w:val="auto"/>
              </w:rPr>
            </w:pPr>
          </w:p>
        </w:tc>
        <w:tc>
          <w:tcPr>
            <w:tcW w:w="680" w:type="dxa"/>
            <w:vAlign w:val="bottom"/>
          </w:tcPr>
          <w:p>
            <w:pPr>
              <w:jc w:val="center"/>
              <w:ind w:left="179"/>
              <w:spacing w:after="0" w:line="63" w:lineRule="exact"/>
              <w:rPr>
                <w:sz w:val="20"/>
                <w:szCs w:val="20"/>
                <w:color w:val="auto"/>
              </w:rPr>
            </w:pPr>
            <w:r>
              <w:rPr>
                <w:rFonts w:ascii="Arial" w:cs="Arial" w:eastAsia="Arial" w:hAnsi="Arial"/>
                <w:sz w:val="7"/>
                <w:szCs w:val="7"/>
                <w:b w:val="1"/>
                <w:bCs w:val="1"/>
                <w:color w:val="auto"/>
              </w:rPr>
              <w:t>Fav/</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080" w:type="dxa"/>
            <w:vAlign w:val="bottom"/>
            <w:tcBorders>
              <w:top w:val="single" w:sz="8" w:color="auto"/>
            </w:tcBorders>
            <w:gridSpan w:val="2"/>
          </w:tcPr>
          <w:p>
            <w:pPr>
              <w:ind w:left="140"/>
              <w:spacing w:after="0" w:line="63" w:lineRule="exact"/>
              <w:rPr>
                <w:sz w:val="20"/>
                <w:szCs w:val="20"/>
                <w:color w:val="auto"/>
              </w:rPr>
            </w:pPr>
            <w:r>
              <w:rPr>
                <w:rFonts w:ascii="Arial" w:cs="Arial" w:eastAsia="Arial" w:hAnsi="Arial"/>
                <w:sz w:val="7"/>
                <w:szCs w:val="7"/>
                <w:b w:val="1"/>
                <w:bCs w:val="1"/>
                <w:color w:val="auto"/>
              </w:rPr>
              <w:t>September 30,</w:t>
            </w:r>
          </w:p>
        </w:tc>
        <w:tc>
          <w:tcPr>
            <w:tcW w:w="1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jc w:val="right"/>
              <w:ind w:right="259"/>
              <w:spacing w:after="0" w:line="63" w:lineRule="exact"/>
              <w:rPr>
                <w:sz w:val="20"/>
                <w:szCs w:val="20"/>
                <w:color w:val="auto"/>
              </w:rPr>
            </w:pPr>
            <w:r>
              <w:rPr>
                <w:rFonts w:ascii="Arial" w:cs="Arial" w:eastAsia="Arial" w:hAnsi="Arial"/>
                <w:sz w:val="7"/>
                <w:szCs w:val="7"/>
                <w:b w:val="1"/>
                <w:bCs w:val="1"/>
                <w:color w:val="auto"/>
              </w:rPr>
              <w:t>September 30,</w:t>
            </w:r>
          </w:p>
        </w:tc>
        <w:tc>
          <w:tcPr>
            <w:tcW w:w="80" w:type="dxa"/>
            <w:vAlign w:val="bottom"/>
          </w:tcPr>
          <w:p>
            <w:pPr>
              <w:spacing w:after="0"/>
              <w:rPr>
                <w:sz w:val="5"/>
                <w:szCs w:val="5"/>
                <w:color w:val="auto"/>
              </w:rPr>
            </w:pPr>
          </w:p>
        </w:tc>
        <w:tc>
          <w:tcPr>
            <w:tcW w:w="920" w:type="dxa"/>
            <w:vAlign w:val="bottom"/>
          </w:tcPr>
          <w:p>
            <w:pPr>
              <w:jc w:val="center"/>
              <w:ind w:left="239"/>
              <w:spacing w:after="0" w:line="63" w:lineRule="exact"/>
              <w:rPr>
                <w:sz w:val="20"/>
                <w:szCs w:val="20"/>
                <w:color w:val="auto"/>
              </w:rPr>
            </w:pPr>
            <w:r>
              <w:rPr>
                <w:rFonts w:ascii="Arial" w:cs="Arial" w:eastAsia="Arial" w:hAnsi="Arial"/>
                <w:sz w:val="7"/>
                <w:szCs w:val="7"/>
                <w:b w:val="1"/>
                <w:bCs w:val="1"/>
                <w:color w:val="auto"/>
              </w:rPr>
              <w:t>Fav/</w:t>
            </w: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3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jc w:val="right"/>
              <w:ind w:right="459"/>
              <w:spacing w:after="0"/>
              <w:rPr>
                <w:sz w:val="20"/>
                <w:szCs w:val="20"/>
                <w:color w:val="auto"/>
              </w:rPr>
            </w:pPr>
            <w:r>
              <w:rPr>
                <w:rFonts w:ascii="Arial" w:cs="Arial" w:eastAsia="Arial" w:hAnsi="Arial"/>
                <w:sz w:val="8"/>
                <w:szCs w:val="8"/>
                <w:b w:val="1"/>
                <w:bCs w:val="1"/>
                <w:color w:val="auto"/>
              </w:rPr>
              <w:t>2023</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jc w:val="right"/>
              <w:ind w:right="459"/>
              <w:spacing w:after="0"/>
              <w:rPr>
                <w:sz w:val="20"/>
                <w:szCs w:val="20"/>
                <w:color w:val="auto"/>
              </w:rPr>
            </w:pPr>
            <w:r>
              <w:rPr>
                <w:rFonts w:ascii="Arial" w:cs="Arial" w:eastAsia="Arial" w:hAnsi="Arial"/>
                <w:sz w:val="8"/>
                <w:szCs w:val="8"/>
                <w:b w:val="1"/>
                <w:bCs w:val="1"/>
                <w:color w:val="auto"/>
              </w:rPr>
              <w:t>2022</w:t>
            </w:r>
          </w:p>
        </w:tc>
        <w:tc>
          <w:tcPr>
            <w:tcW w:w="80" w:type="dxa"/>
            <w:vAlign w:val="bottom"/>
          </w:tcPr>
          <w:p>
            <w:pPr>
              <w:spacing w:after="0"/>
              <w:rPr>
                <w:sz w:val="8"/>
                <w:szCs w:val="8"/>
                <w:color w:val="auto"/>
              </w:rPr>
            </w:pPr>
          </w:p>
        </w:tc>
        <w:tc>
          <w:tcPr>
            <w:tcW w:w="680" w:type="dxa"/>
            <w:vAlign w:val="bottom"/>
          </w:tcPr>
          <w:p>
            <w:pPr>
              <w:jc w:val="center"/>
              <w:ind w:left="159"/>
              <w:spacing w:after="0"/>
              <w:rPr>
                <w:sz w:val="20"/>
                <w:szCs w:val="20"/>
                <w:color w:val="auto"/>
              </w:rPr>
            </w:pPr>
            <w:r>
              <w:rPr>
                <w:rFonts w:ascii="Arial" w:cs="Arial" w:eastAsia="Arial" w:hAnsi="Arial"/>
                <w:sz w:val="8"/>
                <w:szCs w:val="8"/>
                <w:b w:val="1"/>
                <w:bCs w:val="1"/>
                <w:color w:val="auto"/>
              </w:rPr>
              <w:t>​(Unfav)</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jc w:val="right"/>
              <w:ind w:right="459"/>
              <w:spacing w:after="0"/>
              <w:rPr>
                <w:sz w:val="20"/>
                <w:szCs w:val="20"/>
                <w:color w:val="auto"/>
              </w:rPr>
            </w:pPr>
            <w:r>
              <w:rPr>
                <w:rFonts w:ascii="Arial" w:cs="Arial" w:eastAsia="Arial" w:hAnsi="Arial"/>
                <w:sz w:val="8"/>
                <w:szCs w:val="8"/>
                <w:b w:val="1"/>
                <w:bCs w:val="1"/>
                <w:color w:val="auto"/>
              </w:rPr>
              <w:t>2023</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jc w:val="right"/>
              <w:ind w:right="459"/>
              <w:spacing w:after="0"/>
              <w:rPr>
                <w:sz w:val="20"/>
                <w:szCs w:val="20"/>
                <w:color w:val="auto"/>
              </w:rPr>
            </w:pPr>
            <w:r>
              <w:rPr>
                <w:rFonts w:ascii="Arial" w:cs="Arial" w:eastAsia="Arial" w:hAnsi="Arial"/>
                <w:sz w:val="8"/>
                <w:szCs w:val="8"/>
                <w:b w:val="1"/>
                <w:bCs w:val="1"/>
                <w:color w:val="auto"/>
              </w:rPr>
              <w:t>2022</w:t>
            </w:r>
          </w:p>
        </w:tc>
        <w:tc>
          <w:tcPr>
            <w:tcW w:w="80" w:type="dxa"/>
            <w:vAlign w:val="bottom"/>
          </w:tcPr>
          <w:p>
            <w:pPr>
              <w:spacing w:after="0"/>
              <w:rPr>
                <w:sz w:val="8"/>
                <w:szCs w:val="8"/>
                <w:color w:val="auto"/>
              </w:rPr>
            </w:pPr>
          </w:p>
        </w:tc>
        <w:tc>
          <w:tcPr>
            <w:tcW w:w="920" w:type="dxa"/>
            <w:vAlign w:val="bottom"/>
          </w:tcPr>
          <w:p>
            <w:pPr>
              <w:jc w:val="center"/>
              <w:ind w:left="239"/>
              <w:spacing w:after="0"/>
              <w:rPr>
                <w:sz w:val="20"/>
                <w:szCs w:val="20"/>
                <w:color w:val="auto"/>
              </w:rPr>
            </w:pPr>
            <w:r>
              <w:rPr>
                <w:rFonts w:ascii="Arial" w:cs="Arial" w:eastAsia="Arial" w:hAnsi="Arial"/>
                <w:sz w:val="8"/>
                <w:szCs w:val="8"/>
                <w:b w:val="1"/>
                <w:bCs w:val="1"/>
                <w:color w:val="auto"/>
              </w:rPr>
              <w:t>​(Unfav)</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360" w:type="dxa"/>
            <w:vAlign w:val="bottom"/>
            <w:tcBorders>
              <w:top w:val="single" w:sz="8" w:color="auto"/>
            </w:tcBorders>
            <w:shd w:val="clear" w:color="auto" w:fill="CCEEFF"/>
          </w:tcPr>
          <w:p>
            <w:pPr>
              <w:spacing w:after="0" w:line="78" w:lineRule="exact"/>
              <w:rPr>
                <w:sz w:val="20"/>
                <w:szCs w:val="20"/>
                <w:color w:val="auto"/>
              </w:rPr>
            </w:pPr>
            <w:r>
              <w:rPr>
                <w:rFonts w:ascii="Arial" w:cs="Arial" w:eastAsia="Arial" w:hAnsi="Arial"/>
                <w:sz w:val="8"/>
                <w:szCs w:val="8"/>
                <w:b w:val="1"/>
                <w:bCs w:val="1"/>
                <w:color w:val="auto"/>
              </w:rPr>
              <w:t>SEGMENT RESULTS</w:t>
            </w: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10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9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0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0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3440" w:type="dxa"/>
            <w:vAlign w:val="bottom"/>
            <w:gridSpan w:val="2"/>
          </w:tcPr>
          <w:p>
            <w:pPr>
              <w:ind w:left="280"/>
              <w:spacing w:after="0" w:line="83" w:lineRule="exact"/>
              <w:rPr>
                <w:sz w:val="20"/>
                <w:szCs w:val="20"/>
                <w:color w:val="auto"/>
              </w:rPr>
            </w:pPr>
            <w:r>
              <w:rPr>
                <w:rFonts w:ascii="Arial" w:cs="Arial" w:eastAsia="Arial" w:hAnsi="Arial"/>
                <w:sz w:val="8"/>
                <w:szCs w:val="8"/>
                <w:b w:val="1"/>
                <w:bCs w:val="1"/>
                <w:color w:val="auto"/>
              </w:rPr>
              <w:t>Revenue</w:t>
            </w: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360"/>
              <w:spacing w:after="0" w:line="83" w:lineRule="exact"/>
              <w:rPr>
                <w:sz w:val="20"/>
                <w:szCs w:val="20"/>
                <w:color w:val="auto"/>
              </w:rPr>
            </w:pPr>
            <w:r>
              <w:rPr>
                <w:rFonts w:ascii="Arial" w:cs="Arial" w:eastAsia="Arial" w:hAnsi="Arial"/>
                <w:sz w:val="8"/>
                <w:szCs w:val="8"/>
                <w:color w:val="auto"/>
              </w:rPr>
              <w:t>Cinema exhibition</w:t>
            </w:r>
          </w:p>
        </w:tc>
        <w:tc>
          <w:tcPr>
            <w:tcW w:w="18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w w:val="88"/>
              </w:rPr>
              <w:t>$</w:t>
            </w: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62,688</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48,358</w:t>
            </w: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19"/>
              <w:spacing w:after="0" w:line="83" w:lineRule="exact"/>
              <w:rPr>
                <w:sz w:val="20"/>
                <w:szCs w:val="20"/>
                <w:color w:val="auto"/>
              </w:rPr>
            </w:pPr>
            <w:r>
              <w:rPr>
                <w:rFonts w:ascii="Arial" w:cs="Arial" w:eastAsia="Arial" w:hAnsi="Arial"/>
                <w:sz w:val="8"/>
                <w:szCs w:val="8"/>
                <w:color w:val="auto"/>
              </w:rPr>
              <w:t>30</w:t>
            </w:r>
          </w:p>
        </w:tc>
        <w:tc>
          <w:tcPr>
            <w:tcW w:w="22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240" w:type="dxa"/>
            <w:vAlign w:val="bottom"/>
            <w:gridSpan w:val="2"/>
            <w:shd w:val="clear" w:color="auto" w:fill="CCEEFF"/>
          </w:tcPr>
          <w:p>
            <w:pPr>
              <w:jc w:val="right"/>
              <w:ind w:right="94"/>
              <w:spacing w:after="0" w:line="83" w:lineRule="exact"/>
              <w:rPr>
                <w:sz w:val="20"/>
                <w:szCs w:val="20"/>
                <w:color w:val="auto"/>
              </w:rPr>
            </w:pPr>
            <w:r>
              <w:rPr>
                <w:rFonts w:ascii="Arial" w:cs="Arial" w:eastAsia="Arial" w:hAnsi="Arial"/>
                <w:sz w:val="8"/>
                <w:szCs w:val="8"/>
                <w:color w:val="auto"/>
              </w:rPr>
              <w:t>$</w:t>
            </w: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165,731</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147,476</w:t>
            </w: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12</w:t>
            </w:r>
          </w:p>
        </w:tc>
        <w:tc>
          <w:tcPr>
            <w:tcW w:w="26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tcPr>
          <w:p>
            <w:pPr>
              <w:ind w:left="360"/>
              <w:spacing w:after="0" w:line="83" w:lineRule="exact"/>
              <w:rPr>
                <w:sz w:val="20"/>
                <w:szCs w:val="20"/>
                <w:color w:val="auto"/>
              </w:rPr>
            </w:pPr>
            <w:r>
              <w:rPr>
                <w:rFonts w:ascii="Arial" w:cs="Arial" w:eastAsia="Arial" w:hAnsi="Arial"/>
                <w:sz w:val="8"/>
                <w:szCs w:val="8"/>
                <w:color w:val="auto"/>
              </w:rPr>
              <w:t>Real estate</w:t>
            </w:r>
          </w:p>
        </w:tc>
        <w:tc>
          <w:tcPr>
            <w:tcW w:w="18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5,056</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jc w:val="right"/>
              <w:spacing w:after="0" w:line="83" w:lineRule="exact"/>
              <w:rPr>
                <w:sz w:val="20"/>
                <w:szCs w:val="20"/>
                <w:color w:val="auto"/>
              </w:rPr>
            </w:pPr>
            <w:r>
              <w:rPr>
                <w:rFonts w:ascii="Arial" w:cs="Arial" w:eastAsia="Arial" w:hAnsi="Arial"/>
                <w:sz w:val="8"/>
                <w:szCs w:val="8"/>
                <w:color w:val="auto"/>
              </w:rPr>
              <w:t>4,070</w:t>
            </w:r>
          </w:p>
        </w:tc>
        <w:tc>
          <w:tcPr>
            <w:tcW w:w="80" w:type="dxa"/>
            <w:vAlign w:val="bottom"/>
          </w:tcPr>
          <w:p>
            <w:pPr>
              <w:spacing w:after="0"/>
              <w:rPr>
                <w:sz w:val="7"/>
                <w:szCs w:val="7"/>
                <w:color w:val="auto"/>
              </w:rPr>
            </w:pPr>
          </w:p>
        </w:tc>
        <w:tc>
          <w:tcPr>
            <w:tcW w:w="680" w:type="dxa"/>
            <w:vAlign w:val="bottom"/>
          </w:tcPr>
          <w:p>
            <w:pPr>
              <w:jc w:val="right"/>
              <w:ind w:right="19"/>
              <w:spacing w:after="0" w:line="83" w:lineRule="exact"/>
              <w:rPr>
                <w:sz w:val="20"/>
                <w:szCs w:val="20"/>
                <w:color w:val="auto"/>
              </w:rPr>
            </w:pPr>
            <w:r>
              <w:rPr>
                <w:rFonts w:ascii="Arial" w:cs="Arial" w:eastAsia="Arial" w:hAnsi="Arial"/>
                <w:sz w:val="8"/>
                <w:szCs w:val="8"/>
                <w:color w:val="auto"/>
              </w:rPr>
              <w:t>24</w:t>
            </w:r>
          </w:p>
        </w:tc>
        <w:tc>
          <w:tcPr>
            <w:tcW w:w="220" w:type="dxa"/>
            <w:vAlign w:val="bottom"/>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15,338</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12,265</w:t>
            </w:r>
          </w:p>
        </w:tc>
        <w:tc>
          <w:tcPr>
            <w:tcW w:w="80" w:type="dxa"/>
            <w:vAlign w:val="bottom"/>
          </w:tcPr>
          <w:p>
            <w:pPr>
              <w:spacing w:after="0"/>
              <w:rPr>
                <w:sz w:val="7"/>
                <w:szCs w:val="7"/>
                <w:color w:val="auto"/>
              </w:rPr>
            </w:pPr>
          </w:p>
        </w:tc>
        <w:tc>
          <w:tcPr>
            <w:tcW w:w="920" w:type="dxa"/>
            <w:vAlign w:val="bottom"/>
          </w:tcPr>
          <w:p>
            <w:pPr>
              <w:jc w:val="right"/>
              <w:ind w:right="39"/>
              <w:spacing w:after="0" w:line="83" w:lineRule="exact"/>
              <w:rPr>
                <w:sz w:val="20"/>
                <w:szCs w:val="20"/>
                <w:color w:val="auto"/>
              </w:rPr>
            </w:pPr>
            <w:r>
              <w:rPr>
                <w:rFonts w:ascii="Arial" w:cs="Arial" w:eastAsia="Arial" w:hAnsi="Arial"/>
                <w:sz w:val="8"/>
                <w:szCs w:val="8"/>
                <w:color w:val="auto"/>
              </w:rPr>
              <w:t>25</w:t>
            </w:r>
          </w:p>
        </w:tc>
        <w:tc>
          <w:tcPr>
            <w:tcW w:w="260" w:type="dxa"/>
            <w:vAlign w:val="bottom"/>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360"/>
              <w:spacing w:after="0" w:line="83" w:lineRule="exact"/>
              <w:rPr>
                <w:sz w:val="20"/>
                <w:szCs w:val="20"/>
                <w:color w:val="auto"/>
              </w:rPr>
            </w:pPr>
            <w:r>
              <w:rPr>
                <w:rFonts w:ascii="Arial" w:cs="Arial" w:eastAsia="Arial" w:hAnsi="Arial"/>
                <w:sz w:val="8"/>
                <w:szCs w:val="8"/>
                <w:color w:val="auto"/>
              </w:rPr>
              <w:t>Inter-segment elimination</w:t>
            </w:r>
          </w:p>
        </w:tc>
        <w:tc>
          <w:tcPr>
            <w:tcW w:w="18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jc w:val="right"/>
              <w:spacing w:after="0" w:line="83" w:lineRule="exact"/>
              <w:rPr>
                <w:sz w:val="20"/>
                <w:szCs w:val="20"/>
                <w:color w:val="auto"/>
              </w:rPr>
            </w:pPr>
            <w:r>
              <w:rPr>
                <w:rFonts w:ascii="Arial" w:cs="Arial" w:eastAsia="Arial" w:hAnsi="Arial"/>
                <w:sz w:val="8"/>
                <w:szCs w:val="8"/>
                <w:color w:val="auto"/>
              </w:rPr>
              <w:t>(1,181)</w:t>
            </w: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jc w:val="right"/>
              <w:spacing w:after="0" w:line="83" w:lineRule="exact"/>
              <w:rPr>
                <w:sz w:val="20"/>
                <w:szCs w:val="20"/>
                <w:color w:val="auto"/>
              </w:rPr>
            </w:pPr>
            <w:r>
              <w:rPr>
                <w:rFonts w:ascii="Arial" w:cs="Arial" w:eastAsia="Arial" w:hAnsi="Arial"/>
                <w:sz w:val="8"/>
                <w:szCs w:val="8"/>
                <w:color w:val="auto"/>
              </w:rPr>
              <w:t>(1,232)</w:t>
            </w:r>
          </w:p>
        </w:tc>
        <w:tc>
          <w:tcPr>
            <w:tcW w:w="8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jc w:val="right"/>
              <w:ind w:right="19"/>
              <w:spacing w:after="0" w:line="83" w:lineRule="exact"/>
              <w:rPr>
                <w:sz w:val="20"/>
                <w:szCs w:val="20"/>
                <w:color w:val="auto"/>
              </w:rPr>
            </w:pPr>
            <w:r>
              <w:rPr>
                <w:rFonts w:ascii="Arial" w:cs="Arial" w:eastAsia="Arial" w:hAnsi="Arial"/>
                <w:sz w:val="8"/>
                <w:szCs w:val="8"/>
                <w:color w:val="auto"/>
              </w:rPr>
              <w:t>4</w:t>
            </w:r>
          </w:p>
        </w:tc>
        <w:tc>
          <w:tcPr>
            <w:tcW w:w="220" w:type="dxa"/>
            <w:vAlign w:val="bottom"/>
            <w:tcBorders>
              <w:bottom w:val="single" w:sz="8" w:color="auto"/>
            </w:tcBorders>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jc w:val="right"/>
              <w:spacing w:after="0" w:line="83" w:lineRule="exact"/>
              <w:rPr>
                <w:sz w:val="20"/>
                <w:szCs w:val="20"/>
                <w:color w:val="auto"/>
              </w:rPr>
            </w:pPr>
            <w:r>
              <w:rPr>
                <w:rFonts w:ascii="Arial" w:cs="Arial" w:eastAsia="Arial" w:hAnsi="Arial"/>
                <w:sz w:val="8"/>
                <w:szCs w:val="8"/>
                <w:color w:val="auto"/>
              </w:rPr>
              <w:t>(3,644)</w:t>
            </w:r>
          </w:p>
        </w:tc>
        <w:tc>
          <w:tcPr>
            <w:tcW w:w="8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jc w:val="right"/>
              <w:spacing w:after="0" w:line="83" w:lineRule="exact"/>
              <w:rPr>
                <w:sz w:val="20"/>
                <w:szCs w:val="20"/>
                <w:color w:val="auto"/>
              </w:rPr>
            </w:pPr>
            <w:r>
              <w:rPr>
                <w:rFonts w:ascii="Arial" w:cs="Arial" w:eastAsia="Arial" w:hAnsi="Arial"/>
                <w:sz w:val="8"/>
                <w:szCs w:val="8"/>
                <w:color w:val="auto"/>
              </w:rPr>
              <w:t>(3,833)</w:t>
            </w:r>
          </w:p>
        </w:tc>
        <w:tc>
          <w:tcPr>
            <w:tcW w:w="80" w:type="dxa"/>
            <w:vAlign w:val="bottom"/>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5</w:t>
            </w:r>
          </w:p>
        </w:tc>
        <w:tc>
          <w:tcPr>
            <w:tcW w:w="260" w:type="dxa"/>
            <w:vAlign w:val="bottom"/>
            <w:tcBorders>
              <w:bottom w:val="single" w:sz="8" w:color="auto"/>
            </w:tcBorders>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8"/>
        </w:trPr>
        <w:tc>
          <w:tcPr>
            <w:tcW w:w="3440" w:type="dxa"/>
            <w:vAlign w:val="bottom"/>
            <w:gridSpan w:val="2"/>
          </w:tcPr>
          <w:p>
            <w:pPr>
              <w:ind w:left="360"/>
              <w:spacing w:after="0" w:line="78" w:lineRule="exact"/>
              <w:rPr>
                <w:sz w:val="20"/>
                <w:szCs w:val="20"/>
                <w:color w:val="auto"/>
              </w:rPr>
            </w:pPr>
            <w:r>
              <w:rPr>
                <w:rFonts w:ascii="Arial" w:cs="Arial" w:eastAsia="Arial" w:hAnsi="Arial"/>
                <w:sz w:val="8"/>
                <w:szCs w:val="8"/>
                <w:color w:val="auto"/>
              </w:rPr>
              <w:t>Total revenue</w:t>
            </w:r>
          </w:p>
        </w:tc>
        <w:tc>
          <w:tcPr>
            <w:tcW w:w="180" w:type="dxa"/>
            <w:vAlign w:val="bottom"/>
          </w:tcPr>
          <w:p>
            <w:pPr>
              <w:spacing w:after="0"/>
              <w:rPr>
                <w:sz w:val="6"/>
                <w:szCs w:val="6"/>
                <w:color w:val="auto"/>
              </w:rPr>
            </w:pPr>
          </w:p>
        </w:tc>
        <w:tc>
          <w:tcPr>
            <w:tcW w:w="1000" w:type="dxa"/>
            <w:vAlign w:val="bottom"/>
          </w:tcPr>
          <w:p>
            <w:pPr>
              <w:jc w:val="right"/>
              <w:spacing w:after="0" w:line="78" w:lineRule="exact"/>
              <w:rPr>
                <w:sz w:val="20"/>
                <w:szCs w:val="20"/>
                <w:color w:val="auto"/>
              </w:rPr>
            </w:pPr>
            <w:r>
              <w:rPr>
                <w:rFonts w:ascii="Arial" w:cs="Arial" w:eastAsia="Arial" w:hAnsi="Arial"/>
                <w:sz w:val="8"/>
                <w:szCs w:val="8"/>
                <w:color w:val="auto"/>
              </w:rPr>
              <w:t>66,563</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jc w:val="right"/>
              <w:spacing w:after="0" w:line="78" w:lineRule="exact"/>
              <w:rPr>
                <w:sz w:val="20"/>
                <w:szCs w:val="20"/>
                <w:color w:val="auto"/>
              </w:rPr>
            </w:pPr>
            <w:r>
              <w:rPr>
                <w:rFonts w:ascii="Arial" w:cs="Arial" w:eastAsia="Arial" w:hAnsi="Arial"/>
                <w:sz w:val="8"/>
                <w:szCs w:val="8"/>
                <w:color w:val="auto"/>
              </w:rPr>
              <w:t>51,196</w:t>
            </w:r>
          </w:p>
        </w:tc>
        <w:tc>
          <w:tcPr>
            <w:tcW w:w="80" w:type="dxa"/>
            <w:vAlign w:val="bottom"/>
          </w:tcPr>
          <w:p>
            <w:pPr>
              <w:spacing w:after="0"/>
              <w:rPr>
                <w:sz w:val="6"/>
                <w:szCs w:val="6"/>
                <w:color w:val="auto"/>
              </w:rPr>
            </w:pPr>
          </w:p>
        </w:tc>
        <w:tc>
          <w:tcPr>
            <w:tcW w:w="680" w:type="dxa"/>
            <w:vAlign w:val="bottom"/>
          </w:tcPr>
          <w:p>
            <w:pPr>
              <w:jc w:val="right"/>
              <w:ind w:right="39"/>
              <w:spacing w:after="0" w:line="78" w:lineRule="exact"/>
              <w:rPr>
                <w:sz w:val="20"/>
                <w:szCs w:val="20"/>
                <w:color w:val="auto"/>
              </w:rPr>
            </w:pPr>
            <w:r>
              <w:rPr>
                <w:rFonts w:ascii="Arial" w:cs="Arial" w:eastAsia="Arial" w:hAnsi="Arial"/>
                <w:sz w:val="8"/>
                <w:szCs w:val="8"/>
                <w:color w:val="auto"/>
              </w:rPr>
              <w:t>30</w:t>
            </w:r>
          </w:p>
        </w:tc>
        <w:tc>
          <w:tcPr>
            <w:tcW w:w="220" w:type="dxa"/>
            <w:vAlign w:val="bottom"/>
          </w:tcPr>
          <w:p>
            <w:pPr>
              <w:jc w:val="right"/>
              <w:ind w:right="79"/>
              <w:spacing w:after="0" w:line="7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jc w:val="right"/>
              <w:spacing w:after="0" w:line="78" w:lineRule="exact"/>
              <w:rPr>
                <w:sz w:val="20"/>
                <w:szCs w:val="20"/>
                <w:color w:val="auto"/>
              </w:rPr>
            </w:pPr>
            <w:r>
              <w:rPr>
                <w:rFonts w:ascii="Arial" w:cs="Arial" w:eastAsia="Arial" w:hAnsi="Arial"/>
                <w:sz w:val="8"/>
                <w:szCs w:val="8"/>
                <w:color w:val="auto"/>
              </w:rPr>
              <w:t>177,425</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jc w:val="right"/>
              <w:spacing w:after="0" w:line="78" w:lineRule="exact"/>
              <w:rPr>
                <w:sz w:val="20"/>
                <w:szCs w:val="20"/>
                <w:color w:val="auto"/>
              </w:rPr>
            </w:pPr>
            <w:r>
              <w:rPr>
                <w:rFonts w:ascii="Arial" w:cs="Arial" w:eastAsia="Arial" w:hAnsi="Arial"/>
                <w:sz w:val="8"/>
                <w:szCs w:val="8"/>
                <w:color w:val="auto"/>
              </w:rPr>
              <w:t>155,908</w:t>
            </w:r>
          </w:p>
        </w:tc>
        <w:tc>
          <w:tcPr>
            <w:tcW w:w="80" w:type="dxa"/>
            <w:vAlign w:val="bottom"/>
          </w:tcPr>
          <w:p>
            <w:pPr>
              <w:spacing w:after="0"/>
              <w:rPr>
                <w:sz w:val="6"/>
                <w:szCs w:val="6"/>
                <w:color w:val="auto"/>
              </w:rPr>
            </w:pPr>
          </w:p>
        </w:tc>
        <w:tc>
          <w:tcPr>
            <w:tcW w:w="920" w:type="dxa"/>
            <w:vAlign w:val="bottom"/>
          </w:tcPr>
          <w:p>
            <w:pPr>
              <w:jc w:val="right"/>
              <w:ind w:right="39"/>
              <w:spacing w:after="0" w:line="78" w:lineRule="exact"/>
              <w:rPr>
                <w:sz w:val="20"/>
                <w:szCs w:val="20"/>
                <w:color w:val="auto"/>
              </w:rPr>
            </w:pPr>
            <w:r>
              <w:rPr>
                <w:rFonts w:ascii="Arial" w:cs="Arial" w:eastAsia="Arial" w:hAnsi="Arial"/>
                <w:sz w:val="8"/>
                <w:szCs w:val="8"/>
                <w:color w:val="auto"/>
              </w:rPr>
              <w:t>14</w:t>
            </w:r>
          </w:p>
        </w:tc>
        <w:tc>
          <w:tcPr>
            <w:tcW w:w="260" w:type="dxa"/>
            <w:vAlign w:val="bottom"/>
          </w:tcPr>
          <w:p>
            <w:pPr>
              <w:jc w:val="right"/>
              <w:ind w:right="79"/>
              <w:spacing w:after="0" w:line="7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280"/>
              <w:spacing w:after="0" w:line="83" w:lineRule="exact"/>
              <w:rPr>
                <w:sz w:val="20"/>
                <w:szCs w:val="20"/>
                <w:color w:val="auto"/>
              </w:rPr>
            </w:pPr>
            <w:r>
              <w:rPr>
                <w:rFonts w:ascii="Arial" w:cs="Arial" w:eastAsia="Arial" w:hAnsi="Arial"/>
                <w:sz w:val="8"/>
                <w:szCs w:val="8"/>
                <w:b w:val="1"/>
                <w:bCs w:val="1"/>
                <w:color w:val="auto"/>
              </w:rPr>
              <w:t>Operating expense</w:t>
            </w:r>
          </w:p>
        </w:tc>
        <w:tc>
          <w:tcPr>
            <w:tcW w:w="1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440" w:type="dxa"/>
            <w:vAlign w:val="bottom"/>
            <w:gridSpan w:val="2"/>
          </w:tcPr>
          <w:p>
            <w:pPr>
              <w:ind w:left="360"/>
              <w:spacing w:after="0" w:line="83" w:lineRule="exact"/>
              <w:rPr>
                <w:sz w:val="20"/>
                <w:szCs w:val="20"/>
                <w:color w:val="auto"/>
              </w:rPr>
            </w:pPr>
            <w:r>
              <w:rPr>
                <w:rFonts w:ascii="Arial" w:cs="Arial" w:eastAsia="Arial" w:hAnsi="Arial"/>
                <w:sz w:val="8"/>
                <w:szCs w:val="8"/>
                <w:color w:val="auto"/>
              </w:rPr>
              <w:t>Cinema exhibition</w:t>
            </w:r>
          </w:p>
        </w:tc>
        <w:tc>
          <w:tcPr>
            <w:tcW w:w="18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(54,459)</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jc w:val="right"/>
              <w:spacing w:after="0" w:line="83" w:lineRule="exact"/>
              <w:rPr>
                <w:sz w:val="20"/>
                <w:szCs w:val="20"/>
                <w:color w:val="auto"/>
              </w:rPr>
            </w:pPr>
            <w:r>
              <w:rPr>
                <w:rFonts w:ascii="Arial" w:cs="Arial" w:eastAsia="Arial" w:hAnsi="Arial"/>
                <w:sz w:val="8"/>
                <w:szCs w:val="8"/>
                <w:color w:val="auto"/>
              </w:rPr>
              <w:t>(46,540)</w:t>
            </w:r>
          </w:p>
        </w:tc>
        <w:tc>
          <w:tcPr>
            <w:tcW w:w="80" w:type="dxa"/>
            <w:vAlign w:val="bottom"/>
          </w:tcPr>
          <w:p>
            <w:pPr>
              <w:spacing w:after="0"/>
              <w:rPr>
                <w:sz w:val="7"/>
                <w:szCs w:val="7"/>
                <w:color w:val="auto"/>
              </w:rPr>
            </w:pPr>
          </w:p>
        </w:tc>
        <w:tc>
          <w:tcPr>
            <w:tcW w:w="680" w:type="dxa"/>
            <w:vAlign w:val="bottom"/>
          </w:tcPr>
          <w:p>
            <w:pPr>
              <w:jc w:val="right"/>
              <w:ind w:right="39"/>
              <w:spacing w:after="0" w:line="83" w:lineRule="exact"/>
              <w:rPr>
                <w:sz w:val="20"/>
                <w:szCs w:val="20"/>
                <w:color w:val="auto"/>
              </w:rPr>
            </w:pPr>
            <w:r>
              <w:rPr>
                <w:rFonts w:ascii="Arial" w:cs="Arial" w:eastAsia="Arial" w:hAnsi="Arial"/>
                <w:sz w:val="8"/>
                <w:szCs w:val="8"/>
                <w:color w:val="auto"/>
              </w:rPr>
              <w:t>(17)</w:t>
            </w:r>
          </w:p>
        </w:tc>
        <w:tc>
          <w:tcPr>
            <w:tcW w:w="220" w:type="dxa"/>
            <w:vAlign w:val="bottom"/>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(149,941)</w:t>
            </w:r>
          </w:p>
        </w:tc>
        <w:tc>
          <w:tcPr>
            <w:tcW w:w="160" w:type="dxa"/>
            <w:vAlign w:val="bottom"/>
          </w:tcPr>
          <w:p>
            <w:pPr>
              <w:spacing w:after="0"/>
              <w:rPr>
                <w:sz w:val="7"/>
                <w:szCs w:val="7"/>
                <w:color w:val="auto"/>
              </w:rPr>
            </w:pPr>
          </w:p>
        </w:tc>
        <w:tc>
          <w:tcPr>
            <w:tcW w:w="108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(138,412)</w:t>
            </w:r>
          </w:p>
        </w:tc>
        <w:tc>
          <w:tcPr>
            <w:tcW w:w="920" w:type="dxa"/>
            <w:vAlign w:val="bottom"/>
          </w:tcPr>
          <w:p>
            <w:pPr>
              <w:jc w:val="right"/>
              <w:ind w:right="19"/>
              <w:spacing w:after="0" w:line="83" w:lineRule="exact"/>
              <w:rPr>
                <w:sz w:val="20"/>
                <w:szCs w:val="20"/>
                <w:color w:val="auto"/>
              </w:rPr>
            </w:pPr>
            <w:r>
              <w:rPr>
                <w:rFonts w:ascii="Arial" w:cs="Arial" w:eastAsia="Arial" w:hAnsi="Arial"/>
                <w:sz w:val="8"/>
                <w:szCs w:val="8"/>
                <w:color w:val="auto"/>
              </w:rPr>
              <w:t>(8)</w:t>
            </w:r>
          </w:p>
        </w:tc>
        <w:tc>
          <w:tcPr>
            <w:tcW w:w="260" w:type="dxa"/>
            <w:vAlign w:val="bottom"/>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360"/>
              <w:spacing w:after="0" w:line="83" w:lineRule="exact"/>
              <w:rPr>
                <w:sz w:val="20"/>
                <w:szCs w:val="20"/>
                <w:color w:val="auto"/>
              </w:rPr>
            </w:pPr>
            <w:r>
              <w:rPr>
                <w:rFonts w:ascii="Arial" w:cs="Arial" w:eastAsia="Arial" w:hAnsi="Arial"/>
                <w:sz w:val="8"/>
                <w:szCs w:val="8"/>
                <w:color w:val="auto"/>
              </w:rPr>
              <w:t>Real estate</w:t>
            </w:r>
          </w:p>
        </w:tc>
        <w:tc>
          <w:tcPr>
            <w:tcW w:w="18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(2,281)</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(2,352)</w:t>
            </w: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19"/>
              <w:spacing w:after="0" w:line="83" w:lineRule="exact"/>
              <w:rPr>
                <w:sz w:val="20"/>
                <w:szCs w:val="20"/>
                <w:color w:val="auto"/>
              </w:rPr>
            </w:pPr>
            <w:r>
              <w:rPr>
                <w:rFonts w:ascii="Arial" w:cs="Arial" w:eastAsia="Arial" w:hAnsi="Arial"/>
                <w:sz w:val="8"/>
                <w:szCs w:val="8"/>
                <w:color w:val="auto"/>
              </w:rPr>
              <w:t>3</w:t>
            </w:r>
          </w:p>
        </w:tc>
        <w:tc>
          <w:tcPr>
            <w:tcW w:w="22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(6,600)</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(6,715)</w:t>
            </w: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2</w:t>
            </w:r>
          </w:p>
        </w:tc>
        <w:tc>
          <w:tcPr>
            <w:tcW w:w="26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tcBorders>
              <w:bottom w:val="single" w:sz="8" w:color="CCEEFF"/>
            </w:tcBorders>
            <w:gridSpan w:val="2"/>
          </w:tcPr>
          <w:p>
            <w:pPr>
              <w:ind w:left="360"/>
              <w:spacing w:after="0" w:line="83" w:lineRule="exact"/>
              <w:rPr>
                <w:sz w:val="20"/>
                <w:szCs w:val="20"/>
                <w:color w:val="auto"/>
              </w:rPr>
            </w:pPr>
            <w:r>
              <w:rPr>
                <w:rFonts w:ascii="Arial" w:cs="Arial" w:eastAsia="Arial" w:hAnsi="Arial"/>
                <w:sz w:val="8"/>
                <w:szCs w:val="8"/>
                <w:color w:val="auto"/>
              </w:rPr>
              <w:t>Inter-segment elimination</w:t>
            </w:r>
          </w:p>
        </w:tc>
        <w:tc>
          <w:tcPr>
            <w:tcW w:w="1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spacing w:after="0" w:line="83" w:lineRule="exact"/>
              <w:rPr>
                <w:sz w:val="20"/>
                <w:szCs w:val="20"/>
                <w:color w:val="auto"/>
              </w:rPr>
            </w:pPr>
            <w:r>
              <w:rPr>
                <w:rFonts w:ascii="Arial" w:cs="Arial" w:eastAsia="Arial" w:hAnsi="Arial"/>
                <w:sz w:val="8"/>
                <w:szCs w:val="8"/>
                <w:color w:val="auto"/>
              </w:rPr>
              <w:t>1,181</w:t>
            </w: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spacing w:after="0" w:line="83" w:lineRule="exact"/>
              <w:rPr>
                <w:sz w:val="20"/>
                <w:szCs w:val="20"/>
                <w:color w:val="auto"/>
              </w:rPr>
            </w:pPr>
            <w:r>
              <w:rPr>
                <w:rFonts w:ascii="Arial" w:cs="Arial" w:eastAsia="Arial" w:hAnsi="Arial"/>
                <w:sz w:val="8"/>
                <w:szCs w:val="8"/>
                <w:color w:val="auto"/>
              </w:rPr>
              <w:t>1,232</w:t>
            </w:r>
          </w:p>
        </w:tc>
        <w:tc>
          <w:tcPr>
            <w:tcW w:w="8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jc w:val="right"/>
              <w:ind w:right="19"/>
              <w:spacing w:after="0" w:line="83" w:lineRule="exact"/>
              <w:rPr>
                <w:sz w:val="20"/>
                <w:szCs w:val="20"/>
                <w:color w:val="auto"/>
              </w:rPr>
            </w:pPr>
            <w:r>
              <w:rPr>
                <w:rFonts w:ascii="Arial" w:cs="Arial" w:eastAsia="Arial" w:hAnsi="Arial"/>
                <w:sz w:val="8"/>
                <w:szCs w:val="8"/>
                <w:color w:val="auto"/>
              </w:rPr>
              <w:t>(4)</w:t>
            </w:r>
          </w:p>
        </w:tc>
        <w:tc>
          <w:tcPr>
            <w:tcW w:w="220" w:type="dxa"/>
            <w:vAlign w:val="bottom"/>
            <w:tcBorders>
              <w:bottom w:val="single" w:sz="8" w:color="auto"/>
            </w:tcBorders>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spacing w:after="0" w:line="83" w:lineRule="exact"/>
              <w:rPr>
                <w:sz w:val="20"/>
                <w:szCs w:val="20"/>
                <w:color w:val="auto"/>
              </w:rPr>
            </w:pPr>
            <w:r>
              <w:rPr>
                <w:rFonts w:ascii="Arial" w:cs="Arial" w:eastAsia="Arial" w:hAnsi="Arial"/>
                <w:sz w:val="8"/>
                <w:szCs w:val="8"/>
                <w:color w:val="auto"/>
              </w:rPr>
              <w:t>3,644</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spacing w:after="0" w:line="83" w:lineRule="exact"/>
              <w:rPr>
                <w:sz w:val="20"/>
                <w:szCs w:val="20"/>
                <w:color w:val="auto"/>
              </w:rPr>
            </w:pPr>
            <w:r>
              <w:rPr>
                <w:rFonts w:ascii="Arial" w:cs="Arial" w:eastAsia="Arial" w:hAnsi="Arial"/>
                <w:sz w:val="8"/>
                <w:szCs w:val="8"/>
                <w:color w:val="auto"/>
              </w:rPr>
              <w:t>3,833</w:t>
            </w:r>
          </w:p>
        </w:tc>
        <w:tc>
          <w:tcPr>
            <w:tcW w:w="80" w:type="dxa"/>
            <w:vAlign w:val="bottom"/>
            <w:tcBorders>
              <w:bottom w:val="single" w:sz="8" w:color="CCEEFF"/>
            </w:tcBorders>
          </w:tcPr>
          <w:p>
            <w:pPr>
              <w:spacing w:after="0"/>
              <w:rPr>
                <w:sz w:val="7"/>
                <w:szCs w:val="7"/>
                <w:color w:val="auto"/>
              </w:rPr>
            </w:pPr>
          </w:p>
        </w:tc>
        <w:tc>
          <w:tcPr>
            <w:tcW w:w="920" w:type="dxa"/>
            <w:vAlign w:val="bottom"/>
            <w:tcBorders>
              <w:bottom w:val="single" w:sz="8" w:color="auto"/>
            </w:tcBorders>
          </w:tcPr>
          <w:p>
            <w:pPr>
              <w:jc w:val="right"/>
              <w:ind w:right="19"/>
              <w:spacing w:after="0" w:line="83" w:lineRule="exact"/>
              <w:rPr>
                <w:sz w:val="20"/>
                <w:szCs w:val="20"/>
                <w:color w:val="auto"/>
              </w:rPr>
            </w:pPr>
            <w:r>
              <w:rPr>
                <w:rFonts w:ascii="Arial" w:cs="Arial" w:eastAsia="Arial" w:hAnsi="Arial"/>
                <w:sz w:val="8"/>
                <w:szCs w:val="8"/>
                <w:color w:val="auto"/>
              </w:rPr>
              <w:t>(5)</w:t>
            </w:r>
          </w:p>
        </w:tc>
        <w:tc>
          <w:tcPr>
            <w:tcW w:w="260" w:type="dxa"/>
            <w:vAlign w:val="bottom"/>
            <w:tcBorders>
              <w:bottom w:val="single" w:sz="8" w:color="auto"/>
            </w:tcBorders>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0"/>
        </w:trPr>
        <w:tc>
          <w:tcPr>
            <w:tcW w:w="3440" w:type="dxa"/>
            <w:vAlign w:val="bottom"/>
            <w:gridSpan w:val="2"/>
            <w:shd w:val="clear" w:color="auto" w:fill="CCEEFF"/>
          </w:tcPr>
          <w:p>
            <w:pPr>
              <w:ind w:left="360"/>
              <w:spacing w:after="0" w:line="70" w:lineRule="exact"/>
              <w:rPr>
                <w:sz w:val="20"/>
                <w:szCs w:val="20"/>
                <w:color w:val="auto"/>
              </w:rPr>
            </w:pPr>
            <w:r>
              <w:rPr>
                <w:rFonts w:ascii="Arial" w:cs="Arial" w:eastAsia="Arial" w:hAnsi="Arial"/>
                <w:sz w:val="8"/>
                <w:szCs w:val="8"/>
                <w:color w:val="auto"/>
              </w:rPr>
              <w:t>Total operating expense</w:t>
            </w: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jc w:val="right"/>
              <w:spacing w:after="0" w:line="70" w:lineRule="exact"/>
              <w:rPr>
                <w:sz w:val="20"/>
                <w:szCs w:val="20"/>
                <w:color w:val="auto"/>
              </w:rPr>
            </w:pPr>
            <w:r>
              <w:rPr>
                <w:rFonts w:ascii="Arial" w:cs="Arial" w:eastAsia="Arial" w:hAnsi="Arial"/>
                <w:sz w:val="8"/>
                <w:szCs w:val="8"/>
                <w:color w:val="auto"/>
              </w:rPr>
              <w:t>(55,559)</w:t>
            </w: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jc w:val="right"/>
              <w:spacing w:after="0" w:line="70" w:lineRule="exact"/>
              <w:rPr>
                <w:sz w:val="20"/>
                <w:szCs w:val="20"/>
                <w:color w:val="auto"/>
              </w:rPr>
            </w:pPr>
            <w:r>
              <w:rPr>
                <w:rFonts w:ascii="Arial" w:cs="Arial" w:eastAsia="Arial" w:hAnsi="Arial"/>
                <w:sz w:val="8"/>
                <w:szCs w:val="8"/>
                <w:color w:val="auto"/>
              </w:rPr>
              <w:t>(47,660)</w:t>
            </w: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jc w:val="right"/>
              <w:ind w:right="39"/>
              <w:spacing w:after="0" w:line="70" w:lineRule="exact"/>
              <w:rPr>
                <w:sz w:val="20"/>
                <w:szCs w:val="20"/>
                <w:color w:val="auto"/>
              </w:rPr>
            </w:pPr>
            <w:r>
              <w:rPr>
                <w:rFonts w:ascii="Arial" w:cs="Arial" w:eastAsia="Arial" w:hAnsi="Arial"/>
                <w:sz w:val="8"/>
                <w:szCs w:val="8"/>
                <w:color w:val="auto"/>
              </w:rPr>
              <w:t>(17)</w:t>
            </w:r>
          </w:p>
        </w:tc>
        <w:tc>
          <w:tcPr>
            <w:tcW w:w="220" w:type="dxa"/>
            <w:vAlign w:val="bottom"/>
            <w:shd w:val="clear" w:color="auto" w:fill="CCEEFF"/>
          </w:tcPr>
          <w:p>
            <w:pPr>
              <w:jc w:val="right"/>
              <w:ind w:right="79"/>
              <w:spacing w:after="0" w:line="7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jc w:val="right"/>
              <w:spacing w:after="0" w:line="70" w:lineRule="exact"/>
              <w:rPr>
                <w:sz w:val="20"/>
                <w:szCs w:val="20"/>
                <w:color w:val="auto"/>
              </w:rPr>
            </w:pPr>
            <w:r>
              <w:rPr>
                <w:rFonts w:ascii="Arial" w:cs="Arial" w:eastAsia="Arial" w:hAnsi="Arial"/>
                <w:sz w:val="8"/>
                <w:szCs w:val="8"/>
                <w:color w:val="auto"/>
              </w:rPr>
              <w:t>(152,897)</w:t>
            </w: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jc w:val="right"/>
              <w:spacing w:after="0" w:line="70" w:lineRule="exact"/>
              <w:rPr>
                <w:sz w:val="20"/>
                <w:szCs w:val="20"/>
                <w:color w:val="auto"/>
              </w:rPr>
            </w:pPr>
            <w:r>
              <w:rPr>
                <w:rFonts w:ascii="Arial" w:cs="Arial" w:eastAsia="Arial" w:hAnsi="Arial"/>
                <w:sz w:val="8"/>
                <w:szCs w:val="8"/>
                <w:color w:val="auto"/>
              </w:rPr>
              <w:t>(141,294)</w:t>
            </w: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jc w:val="right"/>
              <w:ind w:right="19"/>
              <w:spacing w:after="0" w:line="70" w:lineRule="exact"/>
              <w:rPr>
                <w:sz w:val="20"/>
                <w:szCs w:val="20"/>
                <w:color w:val="auto"/>
              </w:rPr>
            </w:pPr>
            <w:r>
              <w:rPr>
                <w:rFonts w:ascii="Arial" w:cs="Arial" w:eastAsia="Arial" w:hAnsi="Arial"/>
                <w:sz w:val="8"/>
                <w:szCs w:val="8"/>
                <w:color w:val="auto"/>
              </w:rPr>
              <w:t>(8)</w:t>
            </w:r>
          </w:p>
        </w:tc>
        <w:tc>
          <w:tcPr>
            <w:tcW w:w="260" w:type="dxa"/>
            <w:vAlign w:val="bottom"/>
            <w:shd w:val="clear" w:color="auto" w:fill="CCEEFF"/>
          </w:tcPr>
          <w:p>
            <w:pPr>
              <w:jc w:val="right"/>
              <w:ind w:right="79"/>
              <w:spacing w:after="0" w:line="7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tcPr>
          <w:p>
            <w:pPr>
              <w:ind w:left="280"/>
              <w:spacing w:after="0" w:line="83" w:lineRule="exact"/>
              <w:rPr>
                <w:sz w:val="20"/>
                <w:szCs w:val="20"/>
                <w:color w:val="auto"/>
              </w:rPr>
            </w:pPr>
            <w:r>
              <w:rPr>
                <w:rFonts w:ascii="Arial" w:cs="Arial" w:eastAsia="Arial" w:hAnsi="Arial"/>
                <w:sz w:val="8"/>
                <w:szCs w:val="8"/>
                <w:b w:val="1"/>
                <w:bCs w:val="1"/>
                <w:color w:val="auto"/>
              </w:rPr>
              <w:t>Depreciation and amortization</w:t>
            </w: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360"/>
              <w:spacing w:after="0" w:line="83" w:lineRule="exact"/>
              <w:rPr>
                <w:sz w:val="20"/>
                <w:szCs w:val="20"/>
                <w:color w:val="auto"/>
              </w:rPr>
            </w:pPr>
            <w:r>
              <w:rPr>
                <w:rFonts w:ascii="Arial" w:cs="Arial" w:eastAsia="Arial" w:hAnsi="Arial"/>
                <w:sz w:val="8"/>
                <w:szCs w:val="8"/>
                <w:color w:val="auto"/>
              </w:rPr>
              <w:t>Cinema exhibition</w:t>
            </w:r>
          </w:p>
        </w:tc>
        <w:tc>
          <w:tcPr>
            <w:tcW w:w="18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(2,784)</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(3,161)</w:t>
            </w: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19"/>
              <w:spacing w:after="0" w:line="83" w:lineRule="exact"/>
              <w:rPr>
                <w:sz w:val="20"/>
                <w:szCs w:val="20"/>
                <w:color w:val="auto"/>
              </w:rPr>
            </w:pPr>
            <w:r>
              <w:rPr>
                <w:rFonts w:ascii="Arial" w:cs="Arial" w:eastAsia="Arial" w:hAnsi="Arial"/>
                <w:sz w:val="8"/>
                <w:szCs w:val="8"/>
                <w:color w:val="auto"/>
              </w:rPr>
              <w:t>12</w:t>
            </w:r>
          </w:p>
        </w:tc>
        <w:tc>
          <w:tcPr>
            <w:tcW w:w="22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(8,551)</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(10,057)</w:t>
            </w: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15</w:t>
            </w:r>
          </w:p>
        </w:tc>
        <w:tc>
          <w:tcPr>
            <w:tcW w:w="26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tcBorders>
              <w:bottom w:val="single" w:sz="8" w:color="CCEEFF"/>
            </w:tcBorders>
            <w:gridSpan w:val="2"/>
          </w:tcPr>
          <w:p>
            <w:pPr>
              <w:ind w:left="360"/>
              <w:spacing w:after="0" w:line="83" w:lineRule="exact"/>
              <w:rPr>
                <w:sz w:val="20"/>
                <w:szCs w:val="20"/>
                <w:color w:val="auto"/>
              </w:rPr>
            </w:pPr>
            <w:r>
              <w:rPr>
                <w:rFonts w:ascii="Arial" w:cs="Arial" w:eastAsia="Arial" w:hAnsi="Arial"/>
                <w:sz w:val="8"/>
                <w:szCs w:val="8"/>
                <w:color w:val="auto"/>
              </w:rPr>
              <w:t>Real estate</w:t>
            </w:r>
          </w:p>
        </w:tc>
        <w:tc>
          <w:tcPr>
            <w:tcW w:w="1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spacing w:after="0" w:line="83" w:lineRule="exact"/>
              <w:rPr>
                <w:sz w:val="20"/>
                <w:szCs w:val="20"/>
                <w:color w:val="auto"/>
              </w:rPr>
            </w:pPr>
            <w:r>
              <w:rPr>
                <w:rFonts w:ascii="Arial" w:cs="Arial" w:eastAsia="Arial" w:hAnsi="Arial"/>
                <w:sz w:val="8"/>
                <w:szCs w:val="8"/>
                <w:color w:val="auto"/>
              </w:rPr>
              <w:t>(1,624)</w:t>
            </w: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spacing w:after="0" w:line="83" w:lineRule="exact"/>
              <w:rPr>
                <w:sz w:val="20"/>
                <w:szCs w:val="20"/>
                <w:color w:val="auto"/>
              </w:rPr>
            </w:pPr>
            <w:r>
              <w:rPr>
                <w:rFonts w:ascii="Arial" w:cs="Arial" w:eastAsia="Arial" w:hAnsi="Arial"/>
                <w:sz w:val="8"/>
                <w:szCs w:val="8"/>
                <w:color w:val="auto"/>
              </w:rPr>
              <w:t>(1,591)</w:t>
            </w:r>
          </w:p>
        </w:tc>
        <w:tc>
          <w:tcPr>
            <w:tcW w:w="8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jc w:val="right"/>
              <w:ind w:right="19"/>
              <w:spacing w:after="0" w:line="83" w:lineRule="exact"/>
              <w:rPr>
                <w:sz w:val="20"/>
                <w:szCs w:val="20"/>
                <w:color w:val="auto"/>
              </w:rPr>
            </w:pPr>
            <w:r>
              <w:rPr>
                <w:rFonts w:ascii="Arial" w:cs="Arial" w:eastAsia="Arial" w:hAnsi="Arial"/>
                <w:sz w:val="8"/>
                <w:szCs w:val="8"/>
                <w:color w:val="auto"/>
              </w:rPr>
              <w:t>(2)</w:t>
            </w:r>
          </w:p>
        </w:tc>
        <w:tc>
          <w:tcPr>
            <w:tcW w:w="220" w:type="dxa"/>
            <w:vAlign w:val="bottom"/>
            <w:tcBorders>
              <w:bottom w:val="single" w:sz="8" w:color="auto"/>
            </w:tcBorders>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spacing w:after="0" w:line="83" w:lineRule="exact"/>
              <w:rPr>
                <w:sz w:val="20"/>
                <w:szCs w:val="20"/>
                <w:color w:val="auto"/>
              </w:rPr>
            </w:pPr>
            <w:r>
              <w:rPr>
                <w:rFonts w:ascii="Arial" w:cs="Arial" w:eastAsia="Arial" w:hAnsi="Arial"/>
                <w:sz w:val="8"/>
                <w:szCs w:val="8"/>
                <w:color w:val="auto"/>
              </w:rPr>
              <w:t>(4,830)</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spacing w:after="0" w:line="83" w:lineRule="exact"/>
              <w:rPr>
                <w:sz w:val="20"/>
                <w:szCs w:val="20"/>
                <w:color w:val="auto"/>
              </w:rPr>
            </w:pPr>
            <w:r>
              <w:rPr>
                <w:rFonts w:ascii="Arial" w:cs="Arial" w:eastAsia="Arial" w:hAnsi="Arial"/>
                <w:sz w:val="8"/>
                <w:szCs w:val="8"/>
                <w:color w:val="auto"/>
              </w:rPr>
              <w:t>(4,920)</w:t>
            </w:r>
          </w:p>
        </w:tc>
        <w:tc>
          <w:tcPr>
            <w:tcW w:w="80" w:type="dxa"/>
            <w:vAlign w:val="bottom"/>
            <w:tcBorders>
              <w:bottom w:val="single" w:sz="8" w:color="CCEEFF"/>
            </w:tcBorders>
          </w:tcPr>
          <w:p>
            <w:pPr>
              <w:spacing w:after="0"/>
              <w:rPr>
                <w:sz w:val="7"/>
                <w:szCs w:val="7"/>
                <w:color w:val="auto"/>
              </w:rPr>
            </w:pPr>
          </w:p>
        </w:tc>
        <w:tc>
          <w:tcPr>
            <w:tcW w:w="920" w:type="dxa"/>
            <w:vAlign w:val="bottom"/>
            <w:tcBorders>
              <w:bottom w:val="single" w:sz="8" w:color="auto"/>
            </w:tcBorders>
          </w:tcPr>
          <w:p>
            <w:pPr>
              <w:jc w:val="right"/>
              <w:ind w:right="39"/>
              <w:spacing w:after="0" w:line="83" w:lineRule="exact"/>
              <w:rPr>
                <w:sz w:val="20"/>
                <w:szCs w:val="20"/>
                <w:color w:val="auto"/>
              </w:rPr>
            </w:pPr>
            <w:r>
              <w:rPr>
                <w:rFonts w:ascii="Arial" w:cs="Arial" w:eastAsia="Arial" w:hAnsi="Arial"/>
                <w:sz w:val="8"/>
                <w:szCs w:val="8"/>
                <w:color w:val="auto"/>
              </w:rPr>
              <w:t>2</w:t>
            </w:r>
          </w:p>
        </w:tc>
        <w:tc>
          <w:tcPr>
            <w:tcW w:w="260" w:type="dxa"/>
            <w:vAlign w:val="bottom"/>
            <w:tcBorders>
              <w:bottom w:val="single" w:sz="8" w:color="auto"/>
            </w:tcBorders>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0"/>
        </w:trPr>
        <w:tc>
          <w:tcPr>
            <w:tcW w:w="3440" w:type="dxa"/>
            <w:vAlign w:val="bottom"/>
            <w:gridSpan w:val="2"/>
            <w:shd w:val="clear" w:color="auto" w:fill="CCEEFF"/>
          </w:tcPr>
          <w:p>
            <w:pPr>
              <w:ind w:left="360"/>
              <w:spacing w:after="0" w:line="70" w:lineRule="exact"/>
              <w:rPr>
                <w:sz w:val="20"/>
                <w:szCs w:val="20"/>
                <w:color w:val="auto"/>
              </w:rPr>
            </w:pPr>
            <w:r>
              <w:rPr>
                <w:rFonts w:ascii="Arial" w:cs="Arial" w:eastAsia="Arial" w:hAnsi="Arial"/>
                <w:sz w:val="8"/>
                <w:szCs w:val="8"/>
                <w:color w:val="auto"/>
              </w:rPr>
              <w:t>Total depreciation and amortization</w:t>
            </w: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jc w:val="right"/>
              <w:spacing w:after="0" w:line="70" w:lineRule="exact"/>
              <w:rPr>
                <w:sz w:val="20"/>
                <w:szCs w:val="20"/>
                <w:color w:val="auto"/>
              </w:rPr>
            </w:pPr>
            <w:r>
              <w:rPr>
                <w:rFonts w:ascii="Arial" w:cs="Arial" w:eastAsia="Arial" w:hAnsi="Arial"/>
                <w:sz w:val="8"/>
                <w:szCs w:val="8"/>
                <w:color w:val="auto"/>
              </w:rPr>
              <w:t>(4,408)</w:t>
            </w: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jc w:val="right"/>
              <w:spacing w:after="0" w:line="70" w:lineRule="exact"/>
              <w:rPr>
                <w:sz w:val="20"/>
                <w:szCs w:val="20"/>
                <w:color w:val="auto"/>
              </w:rPr>
            </w:pPr>
            <w:r>
              <w:rPr>
                <w:rFonts w:ascii="Arial" w:cs="Arial" w:eastAsia="Arial" w:hAnsi="Arial"/>
                <w:sz w:val="8"/>
                <w:szCs w:val="8"/>
                <w:color w:val="auto"/>
              </w:rPr>
              <w:t>(4,752)</w:t>
            </w: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jc w:val="right"/>
              <w:ind w:right="19"/>
              <w:spacing w:after="0" w:line="70" w:lineRule="exact"/>
              <w:rPr>
                <w:sz w:val="20"/>
                <w:szCs w:val="20"/>
                <w:color w:val="auto"/>
              </w:rPr>
            </w:pPr>
            <w:r>
              <w:rPr>
                <w:rFonts w:ascii="Arial" w:cs="Arial" w:eastAsia="Arial" w:hAnsi="Arial"/>
                <w:sz w:val="8"/>
                <w:szCs w:val="8"/>
                <w:color w:val="auto"/>
              </w:rPr>
              <w:t>7</w:t>
            </w:r>
          </w:p>
        </w:tc>
        <w:tc>
          <w:tcPr>
            <w:tcW w:w="220" w:type="dxa"/>
            <w:vAlign w:val="bottom"/>
            <w:shd w:val="clear" w:color="auto" w:fill="CCEEFF"/>
          </w:tcPr>
          <w:p>
            <w:pPr>
              <w:jc w:val="right"/>
              <w:ind w:right="79"/>
              <w:spacing w:after="0" w:line="7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jc w:val="right"/>
              <w:spacing w:after="0" w:line="70" w:lineRule="exact"/>
              <w:rPr>
                <w:sz w:val="20"/>
                <w:szCs w:val="20"/>
                <w:color w:val="auto"/>
              </w:rPr>
            </w:pPr>
            <w:r>
              <w:rPr>
                <w:rFonts w:ascii="Arial" w:cs="Arial" w:eastAsia="Arial" w:hAnsi="Arial"/>
                <w:sz w:val="8"/>
                <w:szCs w:val="8"/>
                <w:color w:val="auto"/>
              </w:rPr>
              <w:t>(13,381)</w:t>
            </w: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jc w:val="right"/>
              <w:spacing w:after="0" w:line="70" w:lineRule="exact"/>
              <w:rPr>
                <w:sz w:val="20"/>
                <w:szCs w:val="20"/>
                <w:color w:val="auto"/>
              </w:rPr>
            </w:pPr>
            <w:r>
              <w:rPr>
                <w:rFonts w:ascii="Arial" w:cs="Arial" w:eastAsia="Arial" w:hAnsi="Arial"/>
                <w:sz w:val="8"/>
                <w:szCs w:val="8"/>
                <w:color w:val="auto"/>
              </w:rPr>
              <w:t>(14,977)</w:t>
            </w: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jc w:val="right"/>
              <w:ind w:right="39"/>
              <w:spacing w:after="0" w:line="70" w:lineRule="exact"/>
              <w:rPr>
                <w:sz w:val="20"/>
                <w:szCs w:val="20"/>
                <w:color w:val="auto"/>
              </w:rPr>
            </w:pPr>
            <w:r>
              <w:rPr>
                <w:rFonts w:ascii="Arial" w:cs="Arial" w:eastAsia="Arial" w:hAnsi="Arial"/>
                <w:sz w:val="8"/>
                <w:szCs w:val="8"/>
                <w:color w:val="auto"/>
              </w:rPr>
              <w:t>11</w:t>
            </w:r>
          </w:p>
        </w:tc>
        <w:tc>
          <w:tcPr>
            <w:tcW w:w="260" w:type="dxa"/>
            <w:vAlign w:val="bottom"/>
            <w:shd w:val="clear" w:color="auto" w:fill="CCEEFF"/>
          </w:tcPr>
          <w:p>
            <w:pPr>
              <w:jc w:val="right"/>
              <w:ind w:right="79"/>
              <w:spacing w:after="0" w:line="7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tcPr>
          <w:p>
            <w:pPr>
              <w:ind w:left="280"/>
              <w:spacing w:after="0" w:line="83" w:lineRule="exact"/>
              <w:rPr>
                <w:sz w:val="20"/>
                <w:szCs w:val="20"/>
                <w:color w:val="auto"/>
              </w:rPr>
            </w:pPr>
            <w:r>
              <w:rPr>
                <w:rFonts w:ascii="Arial" w:cs="Arial" w:eastAsia="Arial" w:hAnsi="Arial"/>
                <w:sz w:val="8"/>
                <w:szCs w:val="8"/>
                <w:b w:val="1"/>
                <w:bCs w:val="1"/>
                <w:color w:val="auto"/>
              </w:rPr>
              <w:t>General and administrative expense</w:t>
            </w: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360"/>
              <w:spacing w:after="0" w:line="83" w:lineRule="exact"/>
              <w:rPr>
                <w:sz w:val="20"/>
                <w:szCs w:val="20"/>
                <w:color w:val="auto"/>
              </w:rPr>
            </w:pPr>
            <w:r>
              <w:rPr>
                <w:rFonts w:ascii="Arial" w:cs="Arial" w:eastAsia="Arial" w:hAnsi="Arial"/>
                <w:sz w:val="8"/>
                <w:szCs w:val="8"/>
                <w:color w:val="auto"/>
              </w:rPr>
              <w:t>Cinema exhibition</w:t>
            </w:r>
          </w:p>
        </w:tc>
        <w:tc>
          <w:tcPr>
            <w:tcW w:w="18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(1,050)</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(794)</w:t>
            </w: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(32)</w:t>
            </w:r>
          </w:p>
        </w:tc>
        <w:tc>
          <w:tcPr>
            <w:tcW w:w="22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(2,983)</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(3,360)</w:t>
            </w: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11</w:t>
            </w:r>
          </w:p>
        </w:tc>
        <w:tc>
          <w:tcPr>
            <w:tcW w:w="26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tcBorders>
              <w:bottom w:val="single" w:sz="8" w:color="CCEEFF"/>
            </w:tcBorders>
            <w:gridSpan w:val="2"/>
          </w:tcPr>
          <w:p>
            <w:pPr>
              <w:ind w:left="360"/>
              <w:spacing w:after="0" w:line="83" w:lineRule="exact"/>
              <w:rPr>
                <w:sz w:val="20"/>
                <w:szCs w:val="20"/>
                <w:color w:val="auto"/>
              </w:rPr>
            </w:pPr>
            <w:r>
              <w:rPr>
                <w:rFonts w:ascii="Arial" w:cs="Arial" w:eastAsia="Arial" w:hAnsi="Arial"/>
                <w:sz w:val="8"/>
                <w:szCs w:val="8"/>
                <w:color w:val="auto"/>
              </w:rPr>
              <w:t>Real estate</w:t>
            </w:r>
          </w:p>
        </w:tc>
        <w:tc>
          <w:tcPr>
            <w:tcW w:w="1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spacing w:after="0" w:line="83" w:lineRule="exact"/>
              <w:rPr>
                <w:sz w:val="20"/>
                <w:szCs w:val="20"/>
                <w:color w:val="auto"/>
              </w:rPr>
            </w:pPr>
            <w:r>
              <w:rPr>
                <w:rFonts w:ascii="Arial" w:cs="Arial" w:eastAsia="Arial" w:hAnsi="Arial"/>
                <w:sz w:val="8"/>
                <w:szCs w:val="8"/>
                <w:color w:val="auto"/>
              </w:rPr>
              <w:t>(231)</w:t>
            </w: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spacing w:after="0" w:line="83" w:lineRule="exact"/>
              <w:rPr>
                <w:sz w:val="20"/>
                <w:szCs w:val="20"/>
                <w:color w:val="auto"/>
              </w:rPr>
            </w:pPr>
            <w:r>
              <w:rPr>
                <w:rFonts w:ascii="Arial" w:cs="Arial" w:eastAsia="Arial" w:hAnsi="Arial"/>
                <w:sz w:val="8"/>
                <w:szCs w:val="8"/>
                <w:color w:val="auto"/>
              </w:rPr>
              <w:t>(272)</w:t>
            </w:r>
          </w:p>
        </w:tc>
        <w:tc>
          <w:tcPr>
            <w:tcW w:w="8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jc w:val="right"/>
              <w:ind w:right="19"/>
              <w:spacing w:after="0" w:line="83" w:lineRule="exact"/>
              <w:rPr>
                <w:sz w:val="20"/>
                <w:szCs w:val="20"/>
                <w:color w:val="auto"/>
              </w:rPr>
            </w:pPr>
            <w:r>
              <w:rPr>
                <w:rFonts w:ascii="Arial" w:cs="Arial" w:eastAsia="Arial" w:hAnsi="Arial"/>
                <w:sz w:val="8"/>
                <w:szCs w:val="8"/>
                <w:color w:val="auto"/>
              </w:rPr>
              <w:t>15</w:t>
            </w:r>
          </w:p>
        </w:tc>
        <w:tc>
          <w:tcPr>
            <w:tcW w:w="220" w:type="dxa"/>
            <w:vAlign w:val="bottom"/>
            <w:tcBorders>
              <w:bottom w:val="single" w:sz="8" w:color="auto"/>
            </w:tcBorders>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spacing w:after="0" w:line="83" w:lineRule="exact"/>
              <w:rPr>
                <w:sz w:val="20"/>
                <w:szCs w:val="20"/>
                <w:color w:val="auto"/>
              </w:rPr>
            </w:pPr>
            <w:r>
              <w:rPr>
                <w:rFonts w:ascii="Arial" w:cs="Arial" w:eastAsia="Arial" w:hAnsi="Arial"/>
                <w:sz w:val="8"/>
                <w:szCs w:val="8"/>
                <w:color w:val="auto"/>
              </w:rPr>
              <w:t>(696)</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spacing w:after="0" w:line="83" w:lineRule="exact"/>
              <w:rPr>
                <w:sz w:val="20"/>
                <w:szCs w:val="20"/>
                <w:color w:val="auto"/>
              </w:rPr>
            </w:pPr>
            <w:r>
              <w:rPr>
                <w:rFonts w:ascii="Arial" w:cs="Arial" w:eastAsia="Arial" w:hAnsi="Arial"/>
                <w:sz w:val="8"/>
                <w:szCs w:val="8"/>
                <w:color w:val="auto"/>
              </w:rPr>
              <w:t>(755)</w:t>
            </w:r>
          </w:p>
        </w:tc>
        <w:tc>
          <w:tcPr>
            <w:tcW w:w="80" w:type="dxa"/>
            <w:vAlign w:val="bottom"/>
            <w:tcBorders>
              <w:bottom w:val="single" w:sz="8" w:color="CCEEFF"/>
            </w:tcBorders>
          </w:tcPr>
          <w:p>
            <w:pPr>
              <w:spacing w:after="0"/>
              <w:rPr>
                <w:sz w:val="7"/>
                <w:szCs w:val="7"/>
                <w:color w:val="auto"/>
              </w:rPr>
            </w:pPr>
          </w:p>
        </w:tc>
        <w:tc>
          <w:tcPr>
            <w:tcW w:w="920" w:type="dxa"/>
            <w:vAlign w:val="bottom"/>
            <w:tcBorders>
              <w:bottom w:val="single" w:sz="8" w:color="auto"/>
            </w:tcBorders>
          </w:tcPr>
          <w:p>
            <w:pPr>
              <w:jc w:val="right"/>
              <w:ind w:right="39"/>
              <w:spacing w:after="0" w:line="83" w:lineRule="exact"/>
              <w:rPr>
                <w:sz w:val="20"/>
                <w:szCs w:val="20"/>
                <w:color w:val="auto"/>
              </w:rPr>
            </w:pPr>
            <w:r>
              <w:rPr>
                <w:rFonts w:ascii="Arial" w:cs="Arial" w:eastAsia="Arial" w:hAnsi="Arial"/>
                <w:sz w:val="8"/>
                <w:szCs w:val="8"/>
                <w:color w:val="auto"/>
              </w:rPr>
              <w:t>8</w:t>
            </w:r>
          </w:p>
        </w:tc>
        <w:tc>
          <w:tcPr>
            <w:tcW w:w="260" w:type="dxa"/>
            <w:vAlign w:val="bottom"/>
            <w:tcBorders>
              <w:bottom w:val="single" w:sz="8" w:color="auto"/>
            </w:tcBorders>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0"/>
        </w:trPr>
        <w:tc>
          <w:tcPr>
            <w:tcW w:w="3440" w:type="dxa"/>
            <w:vAlign w:val="bottom"/>
            <w:gridSpan w:val="2"/>
            <w:shd w:val="clear" w:color="auto" w:fill="CCEEFF"/>
          </w:tcPr>
          <w:p>
            <w:pPr>
              <w:ind w:left="360"/>
              <w:spacing w:after="0" w:line="70" w:lineRule="exact"/>
              <w:rPr>
                <w:sz w:val="20"/>
                <w:szCs w:val="20"/>
                <w:color w:val="auto"/>
              </w:rPr>
            </w:pPr>
            <w:r>
              <w:rPr>
                <w:rFonts w:ascii="Arial" w:cs="Arial" w:eastAsia="Arial" w:hAnsi="Arial"/>
                <w:sz w:val="8"/>
                <w:szCs w:val="8"/>
                <w:color w:val="auto"/>
              </w:rPr>
              <w:t>Total general and administrative expense</w:t>
            </w: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jc w:val="right"/>
              <w:spacing w:after="0" w:line="70" w:lineRule="exact"/>
              <w:rPr>
                <w:sz w:val="20"/>
                <w:szCs w:val="20"/>
                <w:color w:val="auto"/>
              </w:rPr>
            </w:pPr>
            <w:r>
              <w:rPr>
                <w:rFonts w:ascii="Arial" w:cs="Arial" w:eastAsia="Arial" w:hAnsi="Arial"/>
                <w:sz w:val="8"/>
                <w:szCs w:val="8"/>
                <w:color w:val="auto"/>
              </w:rPr>
              <w:t>(1,281)</w:t>
            </w: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jc w:val="right"/>
              <w:spacing w:after="0" w:line="70" w:lineRule="exact"/>
              <w:rPr>
                <w:sz w:val="20"/>
                <w:szCs w:val="20"/>
                <w:color w:val="auto"/>
              </w:rPr>
            </w:pPr>
            <w:r>
              <w:rPr>
                <w:rFonts w:ascii="Arial" w:cs="Arial" w:eastAsia="Arial" w:hAnsi="Arial"/>
                <w:sz w:val="8"/>
                <w:szCs w:val="8"/>
                <w:color w:val="auto"/>
              </w:rPr>
              <w:t>(1,066)</w:t>
            </w: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jc w:val="right"/>
              <w:ind w:right="39"/>
              <w:spacing w:after="0" w:line="70" w:lineRule="exact"/>
              <w:rPr>
                <w:sz w:val="20"/>
                <w:szCs w:val="20"/>
                <w:color w:val="auto"/>
              </w:rPr>
            </w:pPr>
            <w:r>
              <w:rPr>
                <w:rFonts w:ascii="Arial" w:cs="Arial" w:eastAsia="Arial" w:hAnsi="Arial"/>
                <w:sz w:val="8"/>
                <w:szCs w:val="8"/>
                <w:color w:val="auto"/>
              </w:rPr>
              <w:t>(20)</w:t>
            </w:r>
          </w:p>
        </w:tc>
        <w:tc>
          <w:tcPr>
            <w:tcW w:w="220" w:type="dxa"/>
            <w:vAlign w:val="bottom"/>
            <w:shd w:val="clear" w:color="auto" w:fill="CCEEFF"/>
          </w:tcPr>
          <w:p>
            <w:pPr>
              <w:jc w:val="right"/>
              <w:ind w:right="79"/>
              <w:spacing w:after="0" w:line="7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jc w:val="right"/>
              <w:spacing w:after="0" w:line="70" w:lineRule="exact"/>
              <w:rPr>
                <w:sz w:val="20"/>
                <w:szCs w:val="20"/>
                <w:color w:val="auto"/>
              </w:rPr>
            </w:pPr>
            <w:r>
              <w:rPr>
                <w:rFonts w:ascii="Arial" w:cs="Arial" w:eastAsia="Arial" w:hAnsi="Arial"/>
                <w:sz w:val="8"/>
                <w:szCs w:val="8"/>
                <w:color w:val="auto"/>
              </w:rPr>
              <w:t>(3,679)</w:t>
            </w: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jc w:val="right"/>
              <w:spacing w:after="0" w:line="70" w:lineRule="exact"/>
              <w:rPr>
                <w:sz w:val="20"/>
                <w:szCs w:val="20"/>
                <w:color w:val="auto"/>
              </w:rPr>
            </w:pPr>
            <w:r>
              <w:rPr>
                <w:rFonts w:ascii="Arial" w:cs="Arial" w:eastAsia="Arial" w:hAnsi="Arial"/>
                <w:sz w:val="8"/>
                <w:szCs w:val="8"/>
                <w:color w:val="auto"/>
              </w:rPr>
              <w:t>(4,115)</w:t>
            </w: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jc w:val="right"/>
              <w:ind w:right="39"/>
              <w:spacing w:after="0" w:line="70" w:lineRule="exact"/>
              <w:rPr>
                <w:sz w:val="20"/>
                <w:szCs w:val="20"/>
                <w:color w:val="auto"/>
              </w:rPr>
            </w:pPr>
            <w:r>
              <w:rPr>
                <w:rFonts w:ascii="Arial" w:cs="Arial" w:eastAsia="Arial" w:hAnsi="Arial"/>
                <w:sz w:val="8"/>
                <w:szCs w:val="8"/>
                <w:color w:val="auto"/>
              </w:rPr>
              <w:t>11</w:t>
            </w:r>
          </w:p>
        </w:tc>
        <w:tc>
          <w:tcPr>
            <w:tcW w:w="260" w:type="dxa"/>
            <w:vAlign w:val="bottom"/>
            <w:shd w:val="clear" w:color="auto" w:fill="CCEEFF"/>
          </w:tcPr>
          <w:p>
            <w:pPr>
              <w:jc w:val="right"/>
              <w:ind w:right="79"/>
              <w:spacing w:after="0" w:line="7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tcPr>
          <w:p>
            <w:pPr>
              <w:ind w:left="280"/>
              <w:spacing w:after="0" w:line="83" w:lineRule="exact"/>
              <w:rPr>
                <w:sz w:val="20"/>
                <w:szCs w:val="20"/>
                <w:color w:val="auto"/>
              </w:rPr>
            </w:pPr>
            <w:r>
              <w:rPr>
                <w:rFonts w:ascii="Arial" w:cs="Arial" w:eastAsia="Arial" w:hAnsi="Arial"/>
                <w:sz w:val="8"/>
                <w:szCs w:val="8"/>
                <w:b w:val="1"/>
                <w:bCs w:val="1"/>
                <w:color w:val="auto"/>
              </w:rPr>
              <w:t>Impairment expense</w:t>
            </w: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360"/>
              <w:spacing w:after="0" w:line="83" w:lineRule="exact"/>
              <w:rPr>
                <w:sz w:val="20"/>
                <w:szCs w:val="20"/>
                <w:color w:val="auto"/>
              </w:rPr>
            </w:pPr>
            <w:r>
              <w:rPr>
                <w:rFonts w:ascii="Arial" w:cs="Arial" w:eastAsia="Arial" w:hAnsi="Arial"/>
                <w:sz w:val="8"/>
                <w:szCs w:val="8"/>
                <w:color w:val="auto"/>
              </w:rPr>
              <w:t>Cinema exhibition</w:t>
            </w:r>
          </w:p>
        </w:tc>
        <w:tc>
          <w:tcPr>
            <w:tcW w:w="1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(1,549)</w:t>
            </w: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(&gt;100)</w:t>
            </w:r>
          </w:p>
        </w:tc>
        <w:tc>
          <w:tcPr>
            <w:tcW w:w="26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0"/>
        </w:trPr>
        <w:tc>
          <w:tcPr>
            <w:tcW w:w="3440" w:type="dxa"/>
            <w:vAlign w:val="bottom"/>
            <w:gridSpan w:val="2"/>
          </w:tcPr>
          <w:p>
            <w:pPr>
              <w:ind w:left="360"/>
              <w:spacing w:after="0" w:line="70" w:lineRule="exact"/>
              <w:rPr>
                <w:sz w:val="20"/>
                <w:szCs w:val="20"/>
                <w:color w:val="auto"/>
              </w:rPr>
            </w:pPr>
            <w:r>
              <w:rPr>
                <w:rFonts w:ascii="Arial" w:cs="Arial" w:eastAsia="Arial" w:hAnsi="Arial"/>
                <w:sz w:val="8"/>
                <w:szCs w:val="8"/>
                <w:color w:val="auto"/>
              </w:rPr>
              <w:t>Total impairment expense</w:t>
            </w:r>
          </w:p>
        </w:tc>
        <w:tc>
          <w:tcPr>
            <w:tcW w:w="18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jc w:val="right"/>
              <w:spacing w:after="0" w:line="7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jc w:val="right"/>
              <w:spacing w:after="0" w:line="7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680" w:type="dxa"/>
            <w:vAlign w:val="bottom"/>
            <w:tcBorders>
              <w:top w:val="single" w:sz="8" w:color="auto"/>
            </w:tcBorders>
          </w:tcPr>
          <w:p>
            <w:pPr>
              <w:jc w:val="right"/>
              <w:ind w:right="39"/>
              <w:spacing w:after="0" w:line="70" w:lineRule="exact"/>
              <w:rPr>
                <w:sz w:val="20"/>
                <w:szCs w:val="20"/>
                <w:color w:val="auto"/>
              </w:rPr>
            </w:pPr>
            <w:r>
              <w:rPr>
                <w:rFonts w:ascii="Arial" w:cs="Arial" w:eastAsia="Arial" w:hAnsi="Arial"/>
                <w:sz w:val="8"/>
                <w:szCs w:val="8"/>
                <w:color w:val="auto"/>
              </w:rPr>
              <w:t>-</w:t>
            </w:r>
          </w:p>
        </w:tc>
        <w:tc>
          <w:tcPr>
            <w:tcW w:w="220" w:type="dxa"/>
            <w:vAlign w:val="bottom"/>
            <w:tcBorders>
              <w:top w:val="single" w:sz="8" w:color="auto"/>
            </w:tcBorders>
          </w:tcPr>
          <w:p>
            <w:pPr>
              <w:jc w:val="right"/>
              <w:ind w:right="79"/>
              <w:spacing w:after="0" w:line="7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jc w:val="right"/>
              <w:spacing w:after="0" w:line="7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top w:val="single" w:sz="8" w:color="auto"/>
            </w:tcBorders>
          </w:tcPr>
          <w:p>
            <w:pPr>
              <w:jc w:val="right"/>
              <w:spacing w:after="0" w:line="70" w:lineRule="exact"/>
              <w:rPr>
                <w:sz w:val="20"/>
                <w:szCs w:val="20"/>
                <w:color w:val="auto"/>
              </w:rPr>
            </w:pPr>
            <w:r>
              <w:rPr>
                <w:rFonts w:ascii="Arial" w:cs="Arial" w:eastAsia="Arial" w:hAnsi="Arial"/>
                <w:sz w:val="8"/>
                <w:szCs w:val="8"/>
                <w:color w:val="auto"/>
              </w:rPr>
              <w:t>(1,549)</w:t>
            </w:r>
          </w:p>
        </w:tc>
        <w:tc>
          <w:tcPr>
            <w:tcW w:w="80" w:type="dxa"/>
            <w:vAlign w:val="bottom"/>
          </w:tcPr>
          <w:p>
            <w:pPr>
              <w:spacing w:after="0"/>
              <w:rPr>
                <w:sz w:val="6"/>
                <w:szCs w:val="6"/>
                <w:color w:val="auto"/>
              </w:rPr>
            </w:pPr>
          </w:p>
        </w:tc>
        <w:tc>
          <w:tcPr>
            <w:tcW w:w="920" w:type="dxa"/>
            <w:vAlign w:val="bottom"/>
            <w:tcBorders>
              <w:top w:val="single" w:sz="8" w:color="auto"/>
            </w:tcBorders>
          </w:tcPr>
          <w:p>
            <w:pPr>
              <w:jc w:val="right"/>
              <w:ind w:right="39"/>
              <w:spacing w:after="0" w:line="70" w:lineRule="exact"/>
              <w:rPr>
                <w:sz w:val="20"/>
                <w:szCs w:val="20"/>
                <w:color w:val="auto"/>
              </w:rPr>
            </w:pPr>
            <w:r>
              <w:rPr>
                <w:rFonts w:ascii="Arial" w:cs="Arial" w:eastAsia="Arial" w:hAnsi="Arial"/>
                <w:sz w:val="8"/>
                <w:szCs w:val="8"/>
                <w:color w:val="auto"/>
              </w:rPr>
              <w:t>(&gt;100)</w:t>
            </w:r>
          </w:p>
        </w:tc>
        <w:tc>
          <w:tcPr>
            <w:tcW w:w="260" w:type="dxa"/>
            <w:vAlign w:val="bottom"/>
            <w:tcBorders>
              <w:top w:val="single" w:sz="8" w:color="auto"/>
            </w:tcBorders>
          </w:tcPr>
          <w:p>
            <w:pPr>
              <w:jc w:val="right"/>
              <w:ind w:right="79"/>
              <w:spacing w:after="0" w:line="7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280"/>
              <w:spacing w:after="0" w:line="83" w:lineRule="exact"/>
              <w:rPr>
                <w:sz w:val="20"/>
                <w:szCs w:val="20"/>
                <w:color w:val="auto"/>
              </w:rPr>
            </w:pPr>
            <w:r>
              <w:rPr>
                <w:rFonts w:ascii="Arial" w:cs="Arial" w:eastAsia="Arial" w:hAnsi="Arial"/>
                <w:sz w:val="8"/>
                <w:szCs w:val="8"/>
                <w:b w:val="1"/>
                <w:bCs w:val="1"/>
                <w:color w:val="auto"/>
              </w:rPr>
              <w:t>Segment operating income</w:t>
            </w:r>
          </w:p>
        </w:tc>
        <w:tc>
          <w:tcPr>
            <w:tcW w:w="1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440" w:type="dxa"/>
            <w:vAlign w:val="bottom"/>
            <w:gridSpan w:val="2"/>
          </w:tcPr>
          <w:p>
            <w:pPr>
              <w:ind w:left="360"/>
              <w:spacing w:after="0" w:line="83" w:lineRule="exact"/>
              <w:rPr>
                <w:sz w:val="20"/>
                <w:szCs w:val="20"/>
                <w:color w:val="auto"/>
              </w:rPr>
            </w:pPr>
            <w:r>
              <w:rPr>
                <w:rFonts w:ascii="Arial" w:cs="Arial" w:eastAsia="Arial" w:hAnsi="Arial"/>
                <w:sz w:val="8"/>
                <w:szCs w:val="8"/>
                <w:color w:val="auto"/>
              </w:rPr>
              <w:t>Cinema exhibition</w:t>
            </w:r>
          </w:p>
        </w:tc>
        <w:tc>
          <w:tcPr>
            <w:tcW w:w="18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4,395</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jc w:val="right"/>
              <w:spacing w:after="0" w:line="83" w:lineRule="exact"/>
              <w:rPr>
                <w:sz w:val="20"/>
                <w:szCs w:val="20"/>
                <w:color w:val="auto"/>
              </w:rPr>
            </w:pPr>
            <w:r>
              <w:rPr>
                <w:rFonts w:ascii="Arial" w:cs="Arial" w:eastAsia="Arial" w:hAnsi="Arial"/>
                <w:sz w:val="8"/>
                <w:szCs w:val="8"/>
                <w:color w:val="auto"/>
              </w:rPr>
              <w:t>(2,137)</w:t>
            </w:r>
          </w:p>
        </w:tc>
        <w:tc>
          <w:tcPr>
            <w:tcW w:w="80" w:type="dxa"/>
            <w:vAlign w:val="bottom"/>
          </w:tcPr>
          <w:p>
            <w:pPr>
              <w:spacing w:after="0"/>
              <w:rPr>
                <w:sz w:val="7"/>
                <w:szCs w:val="7"/>
                <w:color w:val="auto"/>
              </w:rPr>
            </w:pPr>
          </w:p>
        </w:tc>
        <w:tc>
          <w:tcPr>
            <w:tcW w:w="680" w:type="dxa"/>
            <w:vAlign w:val="bottom"/>
          </w:tcPr>
          <w:p>
            <w:pPr>
              <w:jc w:val="right"/>
              <w:ind w:right="39"/>
              <w:spacing w:after="0" w:line="83" w:lineRule="exact"/>
              <w:rPr>
                <w:sz w:val="20"/>
                <w:szCs w:val="20"/>
                <w:color w:val="auto"/>
              </w:rPr>
            </w:pPr>
            <w:r>
              <w:rPr>
                <w:rFonts w:ascii="Arial" w:cs="Arial" w:eastAsia="Arial" w:hAnsi="Arial"/>
                <w:sz w:val="8"/>
                <w:szCs w:val="8"/>
                <w:color w:val="auto"/>
              </w:rPr>
              <w:t>&gt;100</w:t>
            </w:r>
          </w:p>
        </w:tc>
        <w:tc>
          <w:tcPr>
            <w:tcW w:w="220" w:type="dxa"/>
            <w:vAlign w:val="bottom"/>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4,256</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(5,902)</w:t>
            </w:r>
          </w:p>
        </w:tc>
        <w:tc>
          <w:tcPr>
            <w:tcW w:w="80" w:type="dxa"/>
            <w:vAlign w:val="bottom"/>
          </w:tcPr>
          <w:p>
            <w:pPr>
              <w:spacing w:after="0"/>
              <w:rPr>
                <w:sz w:val="7"/>
                <w:szCs w:val="7"/>
                <w:color w:val="auto"/>
              </w:rPr>
            </w:pPr>
          </w:p>
        </w:tc>
        <w:tc>
          <w:tcPr>
            <w:tcW w:w="920" w:type="dxa"/>
            <w:vAlign w:val="bottom"/>
          </w:tcPr>
          <w:p>
            <w:pPr>
              <w:jc w:val="right"/>
              <w:ind w:right="39"/>
              <w:spacing w:after="0" w:line="83" w:lineRule="exact"/>
              <w:rPr>
                <w:sz w:val="20"/>
                <w:szCs w:val="20"/>
                <w:color w:val="auto"/>
              </w:rPr>
            </w:pPr>
            <w:r>
              <w:rPr>
                <w:rFonts w:ascii="Arial" w:cs="Arial" w:eastAsia="Arial" w:hAnsi="Arial"/>
                <w:sz w:val="8"/>
                <w:szCs w:val="8"/>
                <w:color w:val="auto"/>
              </w:rPr>
              <w:t>&gt;100</w:t>
            </w:r>
          </w:p>
        </w:tc>
        <w:tc>
          <w:tcPr>
            <w:tcW w:w="260" w:type="dxa"/>
            <w:vAlign w:val="bottom"/>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360"/>
              <w:spacing w:after="0" w:line="83" w:lineRule="exact"/>
              <w:rPr>
                <w:sz w:val="20"/>
                <w:szCs w:val="20"/>
                <w:color w:val="auto"/>
              </w:rPr>
            </w:pPr>
            <w:r>
              <w:rPr>
                <w:rFonts w:ascii="Arial" w:cs="Arial" w:eastAsia="Arial" w:hAnsi="Arial"/>
                <w:sz w:val="8"/>
                <w:szCs w:val="8"/>
                <w:color w:val="auto"/>
              </w:rPr>
              <w:t>Real estate</w:t>
            </w:r>
          </w:p>
        </w:tc>
        <w:tc>
          <w:tcPr>
            <w:tcW w:w="1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920</w:t>
            </w: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(145)</w:t>
            </w: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&gt;100</w:t>
            </w:r>
          </w:p>
        </w:tc>
        <w:tc>
          <w:tcPr>
            <w:tcW w:w="22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3,212</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(125)</w:t>
            </w: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&gt;100</w:t>
            </w:r>
          </w:p>
        </w:tc>
        <w:tc>
          <w:tcPr>
            <w:tcW w:w="26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0"/>
        </w:trPr>
        <w:tc>
          <w:tcPr>
            <w:tcW w:w="3440" w:type="dxa"/>
            <w:vAlign w:val="bottom"/>
            <w:tcBorders>
              <w:bottom w:val="single" w:sz="8" w:color="CCEEFF"/>
            </w:tcBorders>
            <w:gridSpan w:val="2"/>
          </w:tcPr>
          <w:p>
            <w:pPr>
              <w:ind w:left="280"/>
              <w:spacing w:after="0" w:line="70" w:lineRule="exact"/>
              <w:rPr>
                <w:sz w:val="20"/>
                <w:szCs w:val="20"/>
                <w:color w:val="auto"/>
              </w:rPr>
            </w:pPr>
            <w:r>
              <w:rPr>
                <w:rFonts w:ascii="Arial" w:cs="Arial" w:eastAsia="Arial" w:hAnsi="Arial"/>
                <w:sz w:val="8"/>
                <w:szCs w:val="8"/>
                <w:b w:val="1"/>
                <w:bCs w:val="1"/>
                <w:color w:val="auto"/>
              </w:rPr>
              <w:t>Total segment operating income (loss)</w:t>
            </w:r>
          </w:p>
        </w:tc>
        <w:tc>
          <w:tcPr>
            <w:tcW w:w="180" w:type="dxa"/>
            <w:vAlign w:val="bottom"/>
            <w:tcBorders>
              <w:top w:val="single" w:sz="8" w:color="auto"/>
              <w:bottom w:val="single" w:sz="8" w:color="auto"/>
            </w:tcBorders>
          </w:tcPr>
          <w:p>
            <w:pPr>
              <w:jc w:val="right"/>
              <w:ind w:right="79"/>
              <w:spacing w:after="0" w:line="70" w:lineRule="exact"/>
              <w:rPr>
                <w:sz w:val="20"/>
                <w:szCs w:val="20"/>
                <w:color w:val="auto"/>
              </w:rPr>
            </w:pPr>
            <w:r>
              <w:rPr>
                <w:rFonts w:ascii="Arial" w:cs="Arial" w:eastAsia="Arial" w:hAnsi="Arial"/>
                <w:sz w:val="8"/>
                <w:szCs w:val="8"/>
                <w:b w:val="1"/>
                <w:bCs w:val="1"/>
                <w:color w:val="auto"/>
                <w:w w:val="88"/>
              </w:rPr>
              <w:t>$</w:t>
            </w:r>
          </w:p>
        </w:tc>
        <w:tc>
          <w:tcPr>
            <w:tcW w:w="100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color w:val="auto"/>
              </w:rPr>
              <w:t>5,315</w:t>
            </w:r>
          </w:p>
        </w:tc>
        <w:tc>
          <w:tcPr>
            <w:tcW w:w="100" w:type="dxa"/>
            <w:vAlign w:val="bottom"/>
            <w:tcBorders>
              <w:bottom w:val="single" w:sz="8" w:color="CCEEFF"/>
            </w:tcBorders>
          </w:tcPr>
          <w:p>
            <w:pPr>
              <w:spacing w:after="0"/>
              <w:rPr>
                <w:sz w:val="6"/>
                <w:szCs w:val="6"/>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100" w:type="dxa"/>
            <w:vAlign w:val="bottom"/>
            <w:tcBorders>
              <w:top w:val="single" w:sz="8" w:color="auto"/>
              <w:bottom w:val="single" w:sz="8" w:color="auto"/>
            </w:tcBorders>
          </w:tcPr>
          <w:p>
            <w:pPr>
              <w:spacing w:after="0"/>
              <w:rPr>
                <w:sz w:val="6"/>
                <w:szCs w:val="6"/>
                <w:color w:val="auto"/>
              </w:rPr>
            </w:pPr>
          </w:p>
        </w:tc>
        <w:tc>
          <w:tcPr>
            <w:tcW w:w="92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color w:val="auto"/>
              </w:rPr>
              <w:t>(2,282)</w:t>
            </w:r>
          </w:p>
        </w:tc>
        <w:tc>
          <w:tcPr>
            <w:tcW w:w="80" w:type="dxa"/>
            <w:vAlign w:val="bottom"/>
            <w:tcBorders>
              <w:bottom w:val="single" w:sz="8" w:color="CCEEFF"/>
            </w:tcBorders>
          </w:tcPr>
          <w:p>
            <w:pPr>
              <w:spacing w:after="0"/>
              <w:rPr>
                <w:sz w:val="6"/>
                <w:szCs w:val="6"/>
                <w:color w:val="auto"/>
              </w:rPr>
            </w:pPr>
          </w:p>
        </w:tc>
        <w:tc>
          <w:tcPr>
            <w:tcW w:w="680" w:type="dxa"/>
            <w:vAlign w:val="bottom"/>
            <w:tcBorders>
              <w:top w:val="single" w:sz="8" w:color="auto"/>
              <w:bottom w:val="single" w:sz="8" w:color="auto"/>
            </w:tcBorders>
          </w:tcPr>
          <w:p>
            <w:pPr>
              <w:jc w:val="right"/>
              <w:ind w:right="39"/>
              <w:spacing w:after="0" w:line="70" w:lineRule="exact"/>
              <w:rPr>
                <w:sz w:val="20"/>
                <w:szCs w:val="20"/>
                <w:color w:val="auto"/>
              </w:rPr>
            </w:pPr>
            <w:r>
              <w:rPr>
                <w:rFonts w:ascii="Arial" w:cs="Arial" w:eastAsia="Arial" w:hAnsi="Arial"/>
                <w:sz w:val="8"/>
                <w:szCs w:val="8"/>
                <w:color w:val="auto"/>
              </w:rPr>
              <w:t>&gt;100</w:t>
            </w:r>
          </w:p>
        </w:tc>
        <w:tc>
          <w:tcPr>
            <w:tcW w:w="220" w:type="dxa"/>
            <w:vAlign w:val="bottom"/>
            <w:tcBorders>
              <w:top w:val="single" w:sz="8" w:color="auto"/>
              <w:bottom w:val="single" w:sz="8" w:color="auto"/>
            </w:tcBorders>
          </w:tcPr>
          <w:p>
            <w:pPr>
              <w:jc w:val="right"/>
              <w:ind w:right="79"/>
              <w:spacing w:after="0" w:line="70" w:lineRule="exact"/>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tcPr>
          <w:p>
            <w:pPr>
              <w:spacing w:after="0"/>
              <w:rPr>
                <w:sz w:val="6"/>
                <w:szCs w:val="6"/>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100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color w:val="auto"/>
              </w:rPr>
              <w:t>7,468</w:t>
            </w:r>
          </w:p>
        </w:tc>
        <w:tc>
          <w:tcPr>
            <w:tcW w:w="80" w:type="dxa"/>
            <w:vAlign w:val="bottom"/>
            <w:tcBorders>
              <w:bottom w:val="single" w:sz="8" w:color="CCEEFF"/>
            </w:tcBorders>
          </w:tcPr>
          <w:p>
            <w:pPr>
              <w:spacing w:after="0"/>
              <w:rPr>
                <w:sz w:val="6"/>
                <w:szCs w:val="6"/>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100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color w:val="auto"/>
              </w:rPr>
              <w:t>(6,027)</w:t>
            </w:r>
          </w:p>
        </w:tc>
        <w:tc>
          <w:tcPr>
            <w:tcW w:w="80" w:type="dxa"/>
            <w:vAlign w:val="bottom"/>
            <w:tcBorders>
              <w:bottom w:val="single" w:sz="8" w:color="CCEEFF"/>
            </w:tcBorders>
          </w:tcPr>
          <w:p>
            <w:pPr>
              <w:spacing w:after="0"/>
              <w:rPr>
                <w:sz w:val="6"/>
                <w:szCs w:val="6"/>
                <w:color w:val="auto"/>
              </w:rPr>
            </w:pPr>
          </w:p>
        </w:tc>
        <w:tc>
          <w:tcPr>
            <w:tcW w:w="920" w:type="dxa"/>
            <w:vAlign w:val="bottom"/>
            <w:tcBorders>
              <w:top w:val="single" w:sz="8" w:color="auto"/>
              <w:bottom w:val="single" w:sz="8" w:color="auto"/>
            </w:tcBorders>
          </w:tcPr>
          <w:p>
            <w:pPr>
              <w:jc w:val="right"/>
              <w:ind w:right="39"/>
              <w:spacing w:after="0" w:line="70" w:lineRule="exact"/>
              <w:rPr>
                <w:sz w:val="20"/>
                <w:szCs w:val="20"/>
                <w:color w:val="auto"/>
              </w:rPr>
            </w:pPr>
            <w:r>
              <w:rPr>
                <w:rFonts w:ascii="Arial" w:cs="Arial" w:eastAsia="Arial" w:hAnsi="Arial"/>
                <w:sz w:val="8"/>
                <w:szCs w:val="8"/>
                <w:color w:val="auto"/>
              </w:rPr>
              <w:t>&gt;100</w:t>
            </w:r>
          </w:p>
        </w:tc>
        <w:tc>
          <w:tcPr>
            <w:tcW w:w="260" w:type="dxa"/>
            <w:vAlign w:val="bottom"/>
            <w:tcBorders>
              <w:top w:val="single" w:sz="8" w:color="auto"/>
              <w:bottom w:val="single" w:sz="8" w:color="auto"/>
            </w:tcBorders>
          </w:tcPr>
          <w:p>
            <w:pPr>
              <w:jc w:val="right"/>
              <w:ind w:right="79"/>
              <w:spacing w:after="0" w:line="7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0"/>
        </w:trPr>
        <w:tc>
          <w:tcPr>
            <w:tcW w:w="3440" w:type="dxa"/>
            <w:vAlign w:val="bottom"/>
            <w:gridSpan w:val="2"/>
            <w:shd w:val="clear" w:color="auto" w:fill="CCEEFF"/>
          </w:tcPr>
          <w:p>
            <w:pPr>
              <w:spacing w:after="0" w:line="70" w:lineRule="exact"/>
              <w:rPr>
                <w:sz w:val="20"/>
                <w:szCs w:val="20"/>
                <w:color w:val="auto"/>
              </w:rPr>
            </w:pPr>
            <w:r>
              <w:rPr>
                <w:rFonts w:ascii="Arial" w:cs="Arial" w:eastAsia="Arial" w:hAnsi="Arial"/>
                <w:sz w:val="8"/>
                <w:szCs w:val="8"/>
                <w:b w:val="1"/>
                <w:bCs w:val="1"/>
                <w:color w:val="auto"/>
              </w:rPr>
              <w:t>NON-SEGMENT RESULTS</w:t>
            </w: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3440" w:type="dxa"/>
            <w:vAlign w:val="bottom"/>
            <w:gridSpan w:val="2"/>
          </w:tcPr>
          <w:p>
            <w:pPr>
              <w:ind w:left="340"/>
              <w:spacing w:after="0" w:line="83" w:lineRule="exact"/>
              <w:rPr>
                <w:sz w:val="20"/>
                <w:szCs w:val="20"/>
                <w:color w:val="auto"/>
              </w:rPr>
            </w:pPr>
            <w:r>
              <w:rPr>
                <w:rFonts w:ascii="Arial" w:cs="Arial" w:eastAsia="Arial" w:hAnsi="Arial"/>
                <w:sz w:val="8"/>
                <w:szCs w:val="8"/>
                <w:color w:val="auto"/>
              </w:rPr>
              <w:t>Depreciation and amortization expense</w:t>
            </w:r>
          </w:p>
        </w:tc>
        <w:tc>
          <w:tcPr>
            <w:tcW w:w="18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(172)</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jc w:val="right"/>
              <w:spacing w:after="0" w:line="83" w:lineRule="exact"/>
              <w:rPr>
                <w:sz w:val="20"/>
                <w:szCs w:val="20"/>
                <w:color w:val="auto"/>
              </w:rPr>
            </w:pPr>
            <w:r>
              <w:rPr>
                <w:rFonts w:ascii="Arial" w:cs="Arial" w:eastAsia="Arial" w:hAnsi="Arial"/>
                <w:sz w:val="8"/>
                <w:szCs w:val="8"/>
                <w:color w:val="auto"/>
              </w:rPr>
              <w:t>(258)</w:t>
            </w:r>
          </w:p>
        </w:tc>
        <w:tc>
          <w:tcPr>
            <w:tcW w:w="80" w:type="dxa"/>
            <w:vAlign w:val="bottom"/>
          </w:tcPr>
          <w:p>
            <w:pPr>
              <w:spacing w:after="0"/>
              <w:rPr>
                <w:sz w:val="7"/>
                <w:szCs w:val="7"/>
                <w:color w:val="auto"/>
              </w:rPr>
            </w:pPr>
          </w:p>
        </w:tc>
        <w:tc>
          <w:tcPr>
            <w:tcW w:w="680" w:type="dxa"/>
            <w:vAlign w:val="bottom"/>
          </w:tcPr>
          <w:p>
            <w:pPr>
              <w:jc w:val="right"/>
              <w:ind w:right="19"/>
              <w:spacing w:after="0" w:line="83" w:lineRule="exact"/>
              <w:rPr>
                <w:sz w:val="20"/>
                <w:szCs w:val="20"/>
                <w:color w:val="auto"/>
              </w:rPr>
            </w:pPr>
            <w:r>
              <w:rPr>
                <w:rFonts w:ascii="Arial" w:cs="Arial" w:eastAsia="Arial" w:hAnsi="Arial"/>
                <w:sz w:val="8"/>
                <w:szCs w:val="8"/>
                <w:color w:val="auto"/>
              </w:rPr>
              <w:t>33</w:t>
            </w:r>
          </w:p>
        </w:tc>
        <w:tc>
          <w:tcPr>
            <w:tcW w:w="220" w:type="dxa"/>
            <w:vAlign w:val="bottom"/>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(527)</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(804)</w:t>
            </w:r>
          </w:p>
        </w:tc>
        <w:tc>
          <w:tcPr>
            <w:tcW w:w="80" w:type="dxa"/>
            <w:vAlign w:val="bottom"/>
          </w:tcPr>
          <w:p>
            <w:pPr>
              <w:spacing w:after="0"/>
              <w:rPr>
                <w:sz w:val="7"/>
                <w:szCs w:val="7"/>
                <w:color w:val="auto"/>
              </w:rPr>
            </w:pPr>
          </w:p>
        </w:tc>
        <w:tc>
          <w:tcPr>
            <w:tcW w:w="920" w:type="dxa"/>
            <w:vAlign w:val="bottom"/>
          </w:tcPr>
          <w:p>
            <w:pPr>
              <w:jc w:val="right"/>
              <w:ind w:right="39"/>
              <w:spacing w:after="0" w:line="83" w:lineRule="exact"/>
              <w:rPr>
                <w:sz w:val="20"/>
                <w:szCs w:val="20"/>
                <w:color w:val="auto"/>
              </w:rPr>
            </w:pPr>
            <w:r>
              <w:rPr>
                <w:rFonts w:ascii="Arial" w:cs="Arial" w:eastAsia="Arial" w:hAnsi="Arial"/>
                <w:sz w:val="8"/>
                <w:szCs w:val="8"/>
                <w:color w:val="auto"/>
              </w:rPr>
              <w:t>34</w:t>
            </w:r>
          </w:p>
        </w:tc>
        <w:tc>
          <w:tcPr>
            <w:tcW w:w="260" w:type="dxa"/>
            <w:vAlign w:val="bottom"/>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340"/>
              <w:spacing w:after="0" w:line="83" w:lineRule="exact"/>
              <w:rPr>
                <w:sz w:val="20"/>
                <w:szCs w:val="20"/>
                <w:color w:val="auto"/>
              </w:rPr>
            </w:pPr>
            <w:r>
              <w:rPr>
                <w:rFonts w:ascii="Arial" w:cs="Arial" w:eastAsia="Arial" w:hAnsi="Arial"/>
                <w:sz w:val="8"/>
                <w:szCs w:val="8"/>
                <w:color w:val="auto"/>
              </w:rPr>
              <w:t>General and administrative expense</w:t>
            </w:r>
          </w:p>
        </w:tc>
        <w:tc>
          <w:tcPr>
            <w:tcW w:w="18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(4,124)</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(4,190)</w:t>
            </w: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19"/>
              <w:spacing w:after="0" w:line="83" w:lineRule="exact"/>
              <w:rPr>
                <w:sz w:val="20"/>
                <w:szCs w:val="20"/>
                <w:color w:val="auto"/>
              </w:rPr>
            </w:pPr>
            <w:r>
              <w:rPr>
                <w:rFonts w:ascii="Arial" w:cs="Arial" w:eastAsia="Arial" w:hAnsi="Arial"/>
                <w:sz w:val="8"/>
                <w:szCs w:val="8"/>
                <w:color w:val="auto"/>
              </w:rPr>
              <w:t>2</w:t>
            </w:r>
          </w:p>
        </w:tc>
        <w:tc>
          <w:tcPr>
            <w:tcW w:w="22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(12,014)</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(13,249)</w:t>
            </w: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9</w:t>
            </w:r>
          </w:p>
        </w:tc>
        <w:tc>
          <w:tcPr>
            <w:tcW w:w="26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tcPr>
          <w:p>
            <w:pPr>
              <w:ind w:left="340"/>
              <w:spacing w:after="0" w:line="83" w:lineRule="exact"/>
              <w:rPr>
                <w:sz w:val="20"/>
                <w:szCs w:val="20"/>
                <w:color w:val="auto"/>
              </w:rPr>
            </w:pPr>
            <w:r>
              <w:rPr>
                <w:rFonts w:ascii="Arial" w:cs="Arial" w:eastAsia="Arial" w:hAnsi="Arial"/>
                <w:sz w:val="8"/>
                <w:szCs w:val="8"/>
                <w:color w:val="auto"/>
              </w:rPr>
              <w:t>Interest expense, net</w:t>
            </w:r>
          </w:p>
        </w:tc>
        <w:tc>
          <w:tcPr>
            <w:tcW w:w="18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(5,072)</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jc w:val="right"/>
              <w:spacing w:after="0" w:line="83" w:lineRule="exact"/>
              <w:rPr>
                <w:sz w:val="20"/>
                <w:szCs w:val="20"/>
                <w:color w:val="auto"/>
              </w:rPr>
            </w:pPr>
            <w:r>
              <w:rPr>
                <w:rFonts w:ascii="Arial" w:cs="Arial" w:eastAsia="Arial" w:hAnsi="Arial"/>
                <w:sz w:val="8"/>
                <w:szCs w:val="8"/>
                <w:color w:val="auto"/>
              </w:rPr>
              <w:t>(3,694)</w:t>
            </w:r>
          </w:p>
        </w:tc>
        <w:tc>
          <w:tcPr>
            <w:tcW w:w="80" w:type="dxa"/>
            <w:vAlign w:val="bottom"/>
          </w:tcPr>
          <w:p>
            <w:pPr>
              <w:spacing w:after="0"/>
              <w:rPr>
                <w:sz w:val="7"/>
                <w:szCs w:val="7"/>
                <w:color w:val="auto"/>
              </w:rPr>
            </w:pPr>
          </w:p>
        </w:tc>
        <w:tc>
          <w:tcPr>
            <w:tcW w:w="680" w:type="dxa"/>
            <w:vAlign w:val="bottom"/>
          </w:tcPr>
          <w:p>
            <w:pPr>
              <w:jc w:val="right"/>
              <w:ind w:right="39"/>
              <w:spacing w:after="0" w:line="83" w:lineRule="exact"/>
              <w:rPr>
                <w:sz w:val="20"/>
                <w:szCs w:val="20"/>
                <w:color w:val="auto"/>
              </w:rPr>
            </w:pPr>
            <w:r>
              <w:rPr>
                <w:rFonts w:ascii="Arial" w:cs="Arial" w:eastAsia="Arial" w:hAnsi="Arial"/>
                <w:sz w:val="8"/>
                <w:szCs w:val="8"/>
                <w:color w:val="auto"/>
              </w:rPr>
              <w:t>(37)</w:t>
            </w:r>
          </w:p>
        </w:tc>
        <w:tc>
          <w:tcPr>
            <w:tcW w:w="220" w:type="dxa"/>
            <w:vAlign w:val="bottom"/>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(14,063)</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(10,242)</w:t>
            </w:r>
          </w:p>
        </w:tc>
        <w:tc>
          <w:tcPr>
            <w:tcW w:w="80" w:type="dxa"/>
            <w:vAlign w:val="bottom"/>
          </w:tcPr>
          <w:p>
            <w:pPr>
              <w:spacing w:after="0"/>
              <w:rPr>
                <w:sz w:val="7"/>
                <w:szCs w:val="7"/>
                <w:color w:val="auto"/>
              </w:rPr>
            </w:pPr>
          </w:p>
        </w:tc>
        <w:tc>
          <w:tcPr>
            <w:tcW w:w="920" w:type="dxa"/>
            <w:vAlign w:val="bottom"/>
          </w:tcPr>
          <w:p>
            <w:pPr>
              <w:jc w:val="right"/>
              <w:ind w:right="39"/>
              <w:spacing w:after="0" w:line="83" w:lineRule="exact"/>
              <w:rPr>
                <w:sz w:val="20"/>
                <w:szCs w:val="20"/>
                <w:color w:val="auto"/>
              </w:rPr>
            </w:pPr>
            <w:r>
              <w:rPr>
                <w:rFonts w:ascii="Arial" w:cs="Arial" w:eastAsia="Arial" w:hAnsi="Arial"/>
                <w:sz w:val="8"/>
                <w:szCs w:val="8"/>
                <w:color w:val="auto"/>
              </w:rPr>
              <w:t>(37)</w:t>
            </w:r>
          </w:p>
        </w:tc>
        <w:tc>
          <w:tcPr>
            <w:tcW w:w="260" w:type="dxa"/>
            <w:vAlign w:val="bottom"/>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340"/>
              <w:spacing w:after="0" w:line="83" w:lineRule="exact"/>
              <w:rPr>
                <w:sz w:val="20"/>
                <w:szCs w:val="20"/>
                <w:color w:val="auto"/>
              </w:rPr>
            </w:pPr>
            <w:r>
              <w:rPr>
                <w:rFonts w:ascii="Arial" w:cs="Arial" w:eastAsia="Arial" w:hAnsi="Arial"/>
                <w:sz w:val="8"/>
                <w:szCs w:val="8"/>
                <w:color w:val="auto"/>
              </w:rPr>
              <w:t>Equity earnings of unconsolidated joint ventures</w:t>
            </w:r>
          </w:p>
        </w:tc>
        <w:tc>
          <w:tcPr>
            <w:tcW w:w="1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217</w:t>
            </w: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61</w:t>
            </w:r>
          </w:p>
        </w:tc>
        <w:tc>
          <w:tcPr>
            <w:tcW w:w="68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&gt;100</w:t>
            </w:r>
          </w:p>
        </w:tc>
        <w:tc>
          <w:tcPr>
            <w:tcW w:w="22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443</w:t>
            </w:r>
          </w:p>
        </w:tc>
        <w:tc>
          <w:tcPr>
            <w:tcW w:w="16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233</w:t>
            </w:r>
          </w:p>
        </w:tc>
        <w:tc>
          <w:tcPr>
            <w:tcW w:w="92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90</w:t>
            </w:r>
          </w:p>
        </w:tc>
        <w:tc>
          <w:tcPr>
            <w:tcW w:w="26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tcPr>
          <w:p>
            <w:pPr>
              <w:ind w:left="340"/>
              <w:spacing w:after="0" w:line="83" w:lineRule="exact"/>
              <w:rPr>
                <w:sz w:val="20"/>
                <w:szCs w:val="20"/>
                <w:color w:val="auto"/>
              </w:rPr>
            </w:pPr>
            <w:r>
              <w:rPr>
                <w:rFonts w:ascii="Arial" w:cs="Arial" w:eastAsia="Arial" w:hAnsi="Arial"/>
                <w:sz w:val="8"/>
                <w:szCs w:val="8"/>
                <w:color w:val="auto"/>
              </w:rPr>
              <w:t>Gain (loss) on sale of assets</w:t>
            </w:r>
          </w:p>
        </w:tc>
        <w:tc>
          <w:tcPr>
            <w:tcW w:w="180" w:type="dxa"/>
            <w:vAlign w:val="bottom"/>
          </w:tcPr>
          <w:p>
            <w:pPr>
              <w:spacing w:after="0"/>
              <w:rPr>
                <w:sz w:val="7"/>
                <w:szCs w:val="7"/>
                <w:color w:val="auto"/>
              </w:rPr>
            </w:pPr>
          </w:p>
        </w:tc>
        <w:tc>
          <w:tcPr>
            <w:tcW w:w="1100" w:type="dxa"/>
            <w:vAlign w:val="bottom"/>
            <w:gridSpan w:val="2"/>
          </w:tcPr>
          <w:p>
            <w:pPr>
              <w:jc w:val="right"/>
              <w:ind w:right="100"/>
              <w:spacing w:after="0" w:line="83"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jc w:val="right"/>
              <w:spacing w:after="0" w:line="83" w:lineRule="exact"/>
              <w:rPr>
                <w:sz w:val="20"/>
                <w:szCs w:val="20"/>
                <w:color w:val="auto"/>
              </w:rPr>
            </w:pPr>
            <w:r>
              <w:rPr>
                <w:rFonts w:ascii="Arial" w:cs="Arial" w:eastAsia="Arial" w:hAnsi="Arial"/>
                <w:sz w:val="8"/>
                <w:szCs w:val="8"/>
                <w:color w:val="auto"/>
              </w:rPr>
              <w:t>(59)</w:t>
            </w:r>
          </w:p>
        </w:tc>
        <w:tc>
          <w:tcPr>
            <w:tcW w:w="80" w:type="dxa"/>
            <w:vAlign w:val="bottom"/>
          </w:tcPr>
          <w:p>
            <w:pPr>
              <w:spacing w:after="0"/>
              <w:rPr>
                <w:sz w:val="7"/>
                <w:szCs w:val="7"/>
                <w:color w:val="auto"/>
              </w:rPr>
            </w:pPr>
          </w:p>
        </w:tc>
        <w:tc>
          <w:tcPr>
            <w:tcW w:w="680" w:type="dxa"/>
            <w:vAlign w:val="bottom"/>
          </w:tcPr>
          <w:p>
            <w:pPr>
              <w:jc w:val="right"/>
              <w:ind w:right="19"/>
              <w:spacing w:after="0" w:line="83" w:lineRule="exact"/>
              <w:rPr>
                <w:sz w:val="20"/>
                <w:szCs w:val="20"/>
                <w:color w:val="auto"/>
              </w:rPr>
            </w:pPr>
            <w:r>
              <w:rPr>
                <w:rFonts w:ascii="Arial" w:cs="Arial" w:eastAsia="Arial" w:hAnsi="Arial"/>
                <w:sz w:val="8"/>
                <w:szCs w:val="8"/>
                <w:color w:val="auto"/>
              </w:rPr>
              <w:t>(&gt;100)</w:t>
            </w:r>
          </w:p>
        </w:tc>
        <w:tc>
          <w:tcPr>
            <w:tcW w:w="220" w:type="dxa"/>
            <w:vAlign w:val="bottom"/>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1000" w:type="dxa"/>
            <w:vAlign w:val="bottom"/>
          </w:tcPr>
          <w:p>
            <w:pPr>
              <w:jc w:val="right"/>
              <w:spacing w:after="0" w:line="83" w:lineRule="exact"/>
              <w:rPr>
                <w:sz w:val="20"/>
                <w:szCs w:val="20"/>
                <w:color w:val="auto"/>
              </w:rPr>
            </w:pPr>
            <w:r>
              <w:rPr>
                <w:rFonts w:ascii="Arial" w:cs="Arial" w:eastAsia="Arial" w:hAnsi="Arial"/>
                <w:sz w:val="8"/>
                <w:szCs w:val="8"/>
                <w:color w:val="auto"/>
              </w:rPr>
              <w:t>(59)</w:t>
            </w:r>
          </w:p>
        </w:tc>
        <w:tc>
          <w:tcPr>
            <w:tcW w:w="80" w:type="dxa"/>
            <w:vAlign w:val="bottom"/>
          </w:tcPr>
          <w:p>
            <w:pPr>
              <w:spacing w:after="0"/>
              <w:rPr>
                <w:sz w:val="7"/>
                <w:szCs w:val="7"/>
                <w:color w:val="auto"/>
              </w:rPr>
            </w:pPr>
          </w:p>
        </w:tc>
        <w:tc>
          <w:tcPr>
            <w:tcW w:w="920" w:type="dxa"/>
            <w:vAlign w:val="bottom"/>
          </w:tcPr>
          <w:p>
            <w:pPr>
              <w:jc w:val="right"/>
              <w:ind w:right="19"/>
              <w:spacing w:after="0" w:line="83" w:lineRule="exact"/>
              <w:rPr>
                <w:sz w:val="20"/>
                <w:szCs w:val="20"/>
                <w:color w:val="auto"/>
              </w:rPr>
            </w:pPr>
            <w:r>
              <w:rPr>
                <w:rFonts w:ascii="Arial" w:cs="Arial" w:eastAsia="Arial" w:hAnsi="Arial"/>
                <w:sz w:val="8"/>
                <w:szCs w:val="8"/>
                <w:color w:val="auto"/>
              </w:rPr>
              <w:t>100</w:t>
            </w:r>
          </w:p>
        </w:tc>
        <w:tc>
          <w:tcPr>
            <w:tcW w:w="260" w:type="dxa"/>
            <w:vAlign w:val="bottom"/>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340"/>
              <w:spacing w:after="0" w:line="83" w:lineRule="exact"/>
              <w:rPr>
                <w:sz w:val="20"/>
                <w:szCs w:val="20"/>
                <w:color w:val="auto"/>
              </w:rPr>
            </w:pPr>
            <w:r>
              <w:rPr>
                <w:rFonts w:ascii="Arial" w:cs="Arial" w:eastAsia="Arial" w:hAnsi="Arial"/>
                <w:sz w:val="8"/>
                <w:szCs w:val="8"/>
                <w:color w:val="auto"/>
              </w:rPr>
              <w:t>Other income (expense)</w:t>
            </w:r>
          </w:p>
        </w:tc>
        <w:tc>
          <w:tcPr>
            <w:tcW w:w="1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267</w:t>
            </w: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5,455</w:t>
            </w: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(95)</w:t>
            </w:r>
          </w:p>
        </w:tc>
        <w:tc>
          <w:tcPr>
            <w:tcW w:w="22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356</w:t>
            </w: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8,445</w:t>
            </w: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(96)</w:t>
            </w:r>
          </w:p>
        </w:tc>
        <w:tc>
          <w:tcPr>
            <w:tcW w:w="260" w:type="dxa"/>
            <w:vAlign w:val="bottom"/>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0"/>
        </w:trPr>
        <w:tc>
          <w:tcPr>
            <w:tcW w:w="3440" w:type="dxa"/>
            <w:vAlign w:val="bottom"/>
            <w:gridSpan w:val="2"/>
          </w:tcPr>
          <w:p>
            <w:pPr>
              <w:ind w:left="280"/>
              <w:spacing w:after="0" w:line="70" w:lineRule="exact"/>
              <w:rPr>
                <w:sz w:val="20"/>
                <w:szCs w:val="20"/>
                <w:color w:val="auto"/>
              </w:rPr>
            </w:pPr>
            <w:r>
              <w:rPr>
                <w:rFonts w:ascii="Arial" w:cs="Arial" w:eastAsia="Arial" w:hAnsi="Arial"/>
                <w:sz w:val="8"/>
                <w:szCs w:val="8"/>
                <w:color w:val="auto"/>
              </w:rPr>
              <w:t>Income before income taxes</w:t>
            </w:r>
          </w:p>
        </w:tc>
        <w:tc>
          <w:tcPr>
            <w:tcW w:w="18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jc w:val="right"/>
              <w:spacing w:after="0" w:line="70" w:lineRule="exact"/>
              <w:rPr>
                <w:sz w:val="20"/>
                <w:szCs w:val="20"/>
                <w:color w:val="auto"/>
              </w:rPr>
            </w:pPr>
            <w:r>
              <w:rPr>
                <w:rFonts w:ascii="Arial" w:cs="Arial" w:eastAsia="Arial" w:hAnsi="Arial"/>
                <w:sz w:val="8"/>
                <w:szCs w:val="8"/>
                <w:color w:val="auto"/>
              </w:rPr>
              <w:t>(3,569)</w:t>
            </w: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jc w:val="right"/>
              <w:spacing w:after="0" w:line="70" w:lineRule="exact"/>
              <w:rPr>
                <w:sz w:val="20"/>
                <w:szCs w:val="20"/>
                <w:color w:val="auto"/>
              </w:rPr>
            </w:pPr>
            <w:r>
              <w:rPr>
                <w:rFonts w:ascii="Arial" w:cs="Arial" w:eastAsia="Arial" w:hAnsi="Arial"/>
                <w:sz w:val="8"/>
                <w:szCs w:val="8"/>
                <w:color w:val="auto"/>
              </w:rPr>
              <w:t>(4,967)</w:t>
            </w:r>
          </w:p>
        </w:tc>
        <w:tc>
          <w:tcPr>
            <w:tcW w:w="80" w:type="dxa"/>
            <w:vAlign w:val="bottom"/>
          </w:tcPr>
          <w:p>
            <w:pPr>
              <w:spacing w:after="0"/>
              <w:rPr>
                <w:sz w:val="6"/>
                <w:szCs w:val="6"/>
                <w:color w:val="auto"/>
              </w:rPr>
            </w:pPr>
          </w:p>
        </w:tc>
        <w:tc>
          <w:tcPr>
            <w:tcW w:w="680" w:type="dxa"/>
            <w:vAlign w:val="bottom"/>
            <w:tcBorders>
              <w:top w:val="single" w:sz="8" w:color="auto"/>
            </w:tcBorders>
          </w:tcPr>
          <w:p>
            <w:pPr>
              <w:jc w:val="right"/>
              <w:ind w:right="19"/>
              <w:spacing w:after="0" w:line="70" w:lineRule="exact"/>
              <w:rPr>
                <w:sz w:val="20"/>
                <w:szCs w:val="20"/>
                <w:color w:val="auto"/>
              </w:rPr>
            </w:pPr>
            <w:r>
              <w:rPr>
                <w:rFonts w:ascii="Arial" w:cs="Arial" w:eastAsia="Arial" w:hAnsi="Arial"/>
                <w:sz w:val="8"/>
                <w:szCs w:val="8"/>
                <w:color w:val="auto"/>
              </w:rPr>
              <w:t>28</w:t>
            </w:r>
          </w:p>
        </w:tc>
        <w:tc>
          <w:tcPr>
            <w:tcW w:w="220" w:type="dxa"/>
            <w:vAlign w:val="bottom"/>
            <w:tcBorders>
              <w:top w:val="single" w:sz="8" w:color="auto"/>
            </w:tcBorders>
          </w:tcPr>
          <w:p>
            <w:pPr>
              <w:jc w:val="right"/>
              <w:ind w:right="79"/>
              <w:spacing w:after="0" w:line="7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jc w:val="right"/>
              <w:spacing w:after="0" w:line="70" w:lineRule="exact"/>
              <w:rPr>
                <w:sz w:val="20"/>
                <w:szCs w:val="20"/>
                <w:color w:val="auto"/>
              </w:rPr>
            </w:pPr>
            <w:r>
              <w:rPr>
                <w:rFonts w:ascii="Arial" w:cs="Arial" w:eastAsia="Arial" w:hAnsi="Arial"/>
                <w:sz w:val="8"/>
                <w:szCs w:val="8"/>
                <w:color w:val="auto"/>
              </w:rPr>
              <w:t>(18,337)</w:t>
            </w:r>
          </w:p>
        </w:tc>
        <w:tc>
          <w:tcPr>
            <w:tcW w:w="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jc w:val="right"/>
              <w:spacing w:after="0" w:line="70" w:lineRule="exact"/>
              <w:rPr>
                <w:sz w:val="20"/>
                <w:szCs w:val="20"/>
                <w:color w:val="auto"/>
              </w:rPr>
            </w:pPr>
            <w:r>
              <w:rPr>
                <w:rFonts w:ascii="Arial" w:cs="Arial" w:eastAsia="Arial" w:hAnsi="Arial"/>
                <w:sz w:val="8"/>
                <w:szCs w:val="8"/>
                <w:color w:val="auto"/>
              </w:rPr>
              <w:t>(21,703)</w:t>
            </w:r>
          </w:p>
        </w:tc>
        <w:tc>
          <w:tcPr>
            <w:tcW w:w="80" w:type="dxa"/>
            <w:vAlign w:val="bottom"/>
          </w:tcPr>
          <w:p>
            <w:pPr>
              <w:spacing w:after="0"/>
              <w:rPr>
                <w:sz w:val="6"/>
                <w:szCs w:val="6"/>
                <w:color w:val="auto"/>
              </w:rPr>
            </w:pPr>
          </w:p>
        </w:tc>
        <w:tc>
          <w:tcPr>
            <w:tcW w:w="920" w:type="dxa"/>
            <w:vAlign w:val="bottom"/>
            <w:tcBorders>
              <w:top w:val="single" w:sz="8" w:color="auto"/>
            </w:tcBorders>
          </w:tcPr>
          <w:p>
            <w:pPr>
              <w:jc w:val="right"/>
              <w:ind w:right="39"/>
              <w:spacing w:after="0" w:line="70" w:lineRule="exact"/>
              <w:rPr>
                <w:sz w:val="20"/>
                <w:szCs w:val="20"/>
                <w:color w:val="auto"/>
              </w:rPr>
            </w:pPr>
            <w:r>
              <w:rPr>
                <w:rFonts w:ascii="Arial" w:cs="Arial" w:eastAsia="Arial" w:hAnsi="Arial"/>
                <w:sz w:val="8"/>
                <w:szCs w:val="8"/>
                <w:color w:val="auto"/>
              </w:rPr>
              <w:t>16</w:t>
            </w:r>
          </w:p>
        </w:tc>
        <w:tc>
          <w:tcPr>
            <w:tcW w:w="260" w:type="dxa"/>
            <w:vAlign w:val="bottom"/>
            <w:tcBorders>
              <w:top w:val="single" w:sz="8" w:color="auto"/>
            </w:tcBorders>
          </w:tcPr>
          <w:p>
            <w:pPr>
              <w:jc w:val="right"/>
              <w:ind w:right="79"/>
              <w:spacing w:after="0" w:line="7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340"/>
              <w:spacing w:after="0" w:line="83" w:lineRule="exact"/>
              <w:rPr>
                <w:sz w:val="20"/>
                <w:szCs w:val="20"/>
                <w:color w:val="auto"/>
              </w:rPr>
            </w:pPr>
            <w:r>
              <w:rPr>
                <w:rFonts w:ascii="Arial" w:cs="Arial" w:eastAsia="Arial" w:hAnsi="Arial"/>
                <w:sz w:val="8"/>
                <w:szCs w:val="8"/>
                <w:color w:val="auto"/>
              </w:rPr>
              <w:t>Income tax benefit (expense)</w:t>
            </w:r>
          </w:p>
        </w:tc>
        <w:tc>
          <w:tcPr>
            <w:tcW w:w="18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jc w:val="right"/>
              <w:spacing w:after="0" w:line="83" w:lineRule="exact"/>
              <w:rPr>
                <w:sz w:val="20"/>
                <w:szCs w:val="20"/>
                <w:color w:val="auto"/>
              </w:rPr>
            </w:pPr>
            <w:r>
              <w:rPr>
                <w:rFonts w:ascii="Arial" w:cs="Arial" w:eastAsia="Arial" w:hAnsi="Arial"/>
                <w:sz w:val="8"/>
                <w:szCs w:val="8"/>
                <w:color w:val="auto"/>
              </w:rPr>
              <w:t>(896)</w:t>
            </w: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jc w:val="right"/>
              <w:spacing w:after="0" w:line="83" w:lineRule="exact"/>
              <w:rPr>
                <w:sz w:val="20"/>
                <w:szCs w:val="20"/>
                <w:color w:val="auto"/>
              </w:rPr>
            </w:pPr>
            <w:r>
              <w:rPr>
                <w:rFonts w:ascii="Arial" w:cs="Arial" w:eastAsia="Arial" w:hAnsi="Arial"/>
                <w:sz w:val="8"/>
                <w:szCs w:val="8"/>
                <w:color w:val="auto"/>
              </w:rPr>
              <w:t>(332)</w:t>
            </w:r>
          </w:p>
        </w:tc>
        <w:tc>
          <w:tcPr>
            <w:tcW w:w="8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jc w:val="right"/>
              <w:ind w:right="19"/>
              <w:spacing w:after="0" w:line="83" w:lineRule="exact"/>
              <w:rPr>
                <w:sz w:val="20"/>
                <w:szCs w:val="20"/>
                <w:color w:val="auto"/>
              </w:rPr>
            </w:pPr>
            <w:r>
              <w:rPr>
                <w:rFonts w:ascii="Arial" w:cs="Arial" w:eastAsia="Arial" w:hAnsi="Arial"/>
                <w:sz w:val="8"/>
                <w:szCs w:val="8"/>
                <w:color w:val="auto"/>
              </w:rPr>
              <w:t>(&gt;100)</w:t>
            </w:r>
          </w:p>
        </w:tc>
        <w:tc>
          <w:tcPr>
            <w:tcW w:w="220" w:type="dxa"/>
            <w:vAlign w:val="bottom"/>
            <w:tcBorders>
              <w:bottom w:val="single" w:sz="8" w:color="auto"/>
            </w:tcBorders>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jc w:val="right"/>
              <w:spacing w:after="0" w:line="83" w:lineRule="exact"/>
              <w:rPr>
                <w:sz w:val="20"/>
                <w:szCs w:val="20"/>
                <w:color w:val="auto"/>
              </w:rPr>
            </w:pPr>
            <w:r>
              <w:rPr>
                <w:rFonts w:ascii="Arial" w:cs="Arial" w:eastAsia="Arial" w:hAnsi="Arial"/>
                <w:sz w:val="8"/>
                <w:szCs w:val="8"/>
                <w:color w:val="auto"/>
              </w:rPr>
              <w:t>(313)</w:t>
            </w:r>
          </w:p>
        </w:tc>
        <w:tc>
          <w:tcPr>
            <w:tcW w:w="8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jc w:val="right"/>
              <w:spacing w:after="0" w:line="83" w:lineRule="exact"/>
              <w:rPr>
                <w:sz w:val="20"/>
                <w:szCs w:val="20"/>
                <w:color w:val="auto"/>
              </w:rPr>
            </w:pPr>
            <w:r>
              <w:rPr>
                <w:rFonts w:ascii="Arial" w:cs="Arial" w:eastAsia="Arial" w:hAnsi="Arial"/>
                <w:sz w:val="8"/>
                <w:szCs w:val="8"/>
                <w:color w:val="auto"/>
              </w:rPr>
              <w:t>(1,492)</w:t>
            </w:r>
          </w:p>
        </w:tc>
        <w:tc>
          <w:tcPr>
            <w:tcW w:w="80" w:type="dxa"/>
            <w:vAlign w:val="bottom"/>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79</w:t>
            </w:r>
          </w:p>
        </w:tc>
        <w:tc>
          <w:tcPr>
            <w:tcW w:w="260" w:type="dxa"/>
            <w:vAlign w:val="bottom"/>
            <w:tcBorders>
              <w:bottom w:val="single" w:sz="8" w:color="auto"/>
            </w:tcBorders>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0"/>
        </w:trPr>
        <w:tc>
          <w:tcPr>
            <w:tcW w:w="3440" w:type="dxa"/>
            <w:vAlign w:val="bottom"/>
            <w:gridSpan w:val="2"/>
          </w:tcPr>
          <w:p>
            <w:pPr>
              <w:spacing w:after="0" w:line="70" w:lineRule="exact"/>
              <w:rPr>
                <w:sz w:val="20"/>
                <w:szCs w:val="20"/>
                <w:color w:val="auto"/>
              </w:rPr>
            </w:pPr>
            <w:r>
              <w:rPr>
                <w:rFonts w:ascii="Arial" w:cs="Arial" w:eastAsia="Arial" w:hAnsi="Arial"/>
                <w:sz w:val="8"/>
                <w:szCs w:val="8"/>
                <w:b w:val="1"/>
                <w:bCs w:val="1"/>
                <w:color w:val="auto"/>
              </w:rPr>
              <w:t>Net income (loss)</w:t>
            </w:r>
          </w:p>
        </w:tc>
        <w:tc>
          <w:tcPr>
            <w:tcW w:w="180" w:type="dxa"/>
            <w:vAlign w:val="bottom"/>
          </w:tcPr>
          <w:p>
            <w:pPr>
              <w:spacing w:after="0"/>
              <w:rPr>
                <w:sz w:val="6"/>
                <w:szCs w:val="6"/>
                <w:color w:val="auto"/>
              </w:rPr>
            </w:pPr>
          </w:p>
        </w:tc>
        <w:tc>
          <w:tcPr>
            <w:tcW w:w="1000" w:type="dxa"/>
            <w:vAlign w:val="bottom"/>
          </w:tcPr>
          <w:p>
            <w:pPr>
              <w:jc w:val="right"/>
              <w:spacing w:after="0" w:line="70" w:lineRule="exact"/>
              <w:rPr>
                <w:sz w:val="20"/>
                <w:szCs w:val="20"/>
                <w:color w:val="auto"/>
              </w:rPr>
            </w:pPr>
            <w:r>
              <w:rPr>
                <w:rFonts w:ascii="Arial" w:cs="Arial" w:eastAsia="Arial" w:hAnsi="Arial"/>
                <w:sz w:val="8"/>
                <w:szCs w:val="8"/>
                <w:color w:val="auto"/>
              </w:rPr>
              <w:t>(4,465)</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jc w:val="right"/>
              <w:spacing w:after="0" w:line="70" w:lineRule="exact"/>
              <w:rPr>
                <w:sz w:val="20"/>
                <w:szCs w:val="20"/>
                <w:color w:val="auto"/>
              </w:rPr>
            </w:pPr>
            <w:r>
              <w:rPr>
                <w:rFonts w:ascii="Arial" w:cs="Arial" w:eastAsia="Arial" w:hAnsi="Arial"/>
                <w:sz w:val="8"/>
                <w:szCs w:val="8"/>
                <w:color w:val="auto"/>
              </w:rPr>
              <w:t>(5,299)</w:t>
            </w:r>
          </w:p>
        </w:tc>
        <w:tc>
          <w:tcPr>
            <w:tcW w:w="80" w:type="dxa"/>
            <w:vAlign w:val="bottom"/>
          </w:tcPr>
          <w:p>
            <w:pPr>
              <w:spacing w:after="0"/>
              <w:rPr>
                <w:sz w:val="6"/>
                <w:szCs w:val="6"/>
                <w:color w:val="auto"/>
              </w:rPr>
            </w:pPr>
          </w:p>
        </w:tc>
        <w:tc>
          <w:tcPr>
            <w:tcW w:w="680" w:type="dxa"/>
            <w:vAlign w:val="bottom"/>
          </w:tcPr>
          <w:p>
            <w:pPr>
              <w:jc w:val="right"/>
              <w:ind w:right="19"/>
              <w:spacing w:after="0" w:line="70" w:lineRule="exact"/>
              <w:rPr>
                <w:sz w:val="20"/>
                <w:szCs w:val="20"/>
                <w:color w:val="auto"/>
              </w:rPr>
            </w:pPr>
            <w:r>
              <w:rPr>
                <w:rFonts w:ascii="Arial" w:cs="Arial" w:eastAsia="Arial" w:hAnsi="Arial"/>
                <w:sz w:val="8"/>
                <w:szCs w:val="8"/>
                <w:color w:val="auto"/>
              </w:rPr>
              <w:t>16</w:t>
            </w:r>
          </w:p>
        </w:tc>
        <w:tc>
          <w:tcPr>
            <w:tcW w:w="220" w:type="dxa"/>
            <w:vAlign w:val="bottom"/>
          </w:tcPr>
          <w:p>
            <w:pPr>
              <w:jc w:val="right"/>
              <w:ind w:right="79"/>
              <w:spacing w:after="0" w:line="70" w:lineRule="exact"/>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jc w:val="right"/>
              <w:spacing w:after="0" w:line="70" w:lineRule="exact"/>
              <w:rPr>
                <w:sz w:val="20"/>
                <w:szCs w:val="20"/>
                <w:color w:val="auto"/>
              </w:rPr>
            </w:pPr>
            <w:r>
              <w:rPr>
                <w:rFonts w:ascii="Arial" w:cs="Arial" w:eastAsia="Arial" w:hAnsi="Arial"/>
                <w:sz w:val="8"/>
                <w:szCs w:val="8"/>
                <w:color w:val="auto"/>
              </w:rPr>
              <w:t>(18,650)</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jc w:val="right"/>
              <w:spacing w:after="0" w:line="70" w:lineRule="exact"/>
              <w:rPr>
                <w:sz w:val="20"/>
                <w:szCs w:val="20"/>
                <w:color w:val="auto"/>
              </w:rPr>
            </w:pPr>
            <w:r>
              <w:rPr>
                <w:rFonts w:ascii="Arial" w:cs="Arial" w:eastAsia="Arial" w:hAnsi="Arial"/>
                <w:sz w:val="8"/>
                <w:szCs w:val="8"/>
                <w:color w:val="auto"/>
              </w:rPr>
              <w:t>(23,195)</w:t>
            </w:r>
          </w:p>
        </w:tc>
        <w:tc>
          <w:tcPr>
            <w:tcW w:w="80" w:type="dxa"/>
            <w:vAlign w:val="bottom"/>
          </w:tcPr>
          <w:p>
            <w:pPr>
              <w:spacing w:after="0"/>
              <w:rPr>
                <w:sz w:val="6"/>
                <w:szCs w:val="6"/>
                <w:color w:val="auto"/>
              </w:rPr>
            </w:pPr>
          </w:p>
        </w:tc>
        <w:tc>
          <w:tcPr>
            <w:tcW w:w="920" w:type="dxa"/>
            <w:vAlign w:val="bottom"/>
          </w:tcPr>
          <w:p>
            <w:pPr>
              <w:jc w:val="right"/>
              <w:ind w:right="39"/>
              <w:spacing w:after="0" w:line="70" w:lineRule="exact"/>
              <w:rPr>
                <w:sz w:val="20"/>
                <w:szCs w:val="20"/>
                <w:color w:val="auto"/>
              </w:rPr>
            </w:pPr>
            <w:r>
              <w:rPr>
                <w:rFonts w:ascii="Arial" w:cs="Arial" w:eastAsia="Arial" w:hAnsi="Arial"/>
                <w:sz w:val="8"/>
                <w:szCs w:val="8"/>
                <w:color w:val="auto"/>
              </w:rPr>
              <w:t>20</w:t>
            </w:r>
          </w:p>
        </w:tc>
        <w:tc>
          <w:tcPr>
            <w:tcW w:w="260" w:type="dxa"/>
            <w:vAlign w:val="bottom"/>
          </w:tcPr>
          <w:p>
            <w:pPr>
              <w:jc w:val="right"/>
              <w:ind w:right="79"/>
              <w:spacing w:after="0" w:line="7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3440" w:type="dxa"/>
            <w:vAlign w:val="bottom"/>
            <w:gridSpan w:val="2"/>
            <w:shd w:val="clear" w:color="auto" w:fill="CCEEFF"/>
          </w:tcPr>
          <w:p>
            <w:pPr>
              <w:ind w:left="280"/>
              <w:spacing w:after="0" w:line="83" w:lineRule="exact"/>
              <w:rPr>
                <w:sz w:val="20"/>
                <w:szCs w:val="20"/>
                <w:color w:val="auto"/>
              </w:rPr>
            </w:pPr>
            <w:r>
              <w:rPr>
                <w:rFonts w:ascii="Arial" w:cs="Arial" w:eastAsia="Arial" w:hAnsi="Arial"/>
                <w:sz w:val="8"/>
                <w:szCs w:val="8"/>
                <w:color w:val="auto"/>
              </w:rPr>
              <w:t>Less: net income (loss) attributable to noncontrolling interests</w:t>
            </w:r>
          </w:p>
        </w:tc>
        <w:tc>
          <w:tcPr>
            <w:tcW w:w="18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jc w:val="right"/>
              <w:spacing w:after="0" w:line="83" w:lineRule="exact"/>
              <w:rPr>
                <w:sz w:val="20"/>
                <w:szCs w:val="20"/>
                <w:color w:val="auto"/>
              </w:rPr>
            </w:pPr>
            <w:r>
              <w:rPr>
                <w:rFonts w:ascii="Arial" w:cs="Arial" w:eastAsia="Arial" w:hAnsi="Arial"/>
                <w:sz w:val="8"/>
                <w:szCs w:val="8"/>
                <w:color w:val="auto"/>
              </w:rPr>
              <w:t>(65)</w:t>
            </w: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jc w:val="right"/>
              <w:spacing w:after="0" w:line="83" w:lineRule="exact"/>
              <w:rPr>
                <w:sz w:val="20"/>
                <w:szCs w:val="20"/>
                <w:color w:val="auto"/>
              </w:rPr>
            </w:pPr>
            <w:r>
              <w:rPr>
                <w:rFonts w:ascii="Arial" w:cs="Arial" w:eastAsia="Arial" w:hAnsi="Arial"/>
                <w:sz w:val="8"/>
                <w:szCs w:val="8"/>
                <w:color w:val="auto"/>
              </w:rPr>
              <w:t>(122)</w:t>
            </w:r>
          </w:p>
        </w:tc>
        <w:tc>
          <w:tcPr>
            <w:tcW w:w="8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jc w:val="right"/>
              <w:ind w:right="19"/>
              <w:spacing w:after="0" w:line="83" w:lineRule="exact"/>
              <w:rPr>
                <w:sz w:val="20"/>
                <w:szCs w:val="20"/>
                <w:color w:val="auto"/>
              </w:rPr>
            </w:pPr>
            <w:r>
              <w:rPr>
                <w:rFonts w:ascii="Arial" w:cs="Arial" w:eastAsia="Arial" w:hAnsi="Arial"/>
                <w:sz w:val="8"/>
                <w:szCs w:val="8"/>
                <w:color w:val="auto"/>
              </w:rPr>
              <w:t>47</w:t>
            </w:r>
          </w:p>
        </w:tc>
        <w:tc>
          <w:tcPr>
            <w:tcW w:w="220" w:type="dxa"/>
            <w:vAlign w:val="bottom"/>
            <w:tcBorders>
              <w:bottom w:val="single" w:sz="8" w:color="auto"/>
            </w:tcBorders>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jc w:val="right"/>
              <w:spacing w:after="0" w:line="83" w:lineRule="exact"/>
              <w:rPr>
                <w:sz w:val="20"/>
                <w:szCs w:val="20"/>
                <w:color w:val="auto"/>
              </w:rPr>
            </w:pPr>
            <w:r>
              <w:rPr>
                <w:rFonts w:ascii="Arial" w:cs="Arial" w:eastAsia="Arial" w:hAnsi="Arial"/>
                <w:sz w:val="8"/>
                <w:szCs w:val="8"/>
                <w:color w:val="auto"/>
              </w:rPr>
              <w:t>(361)</w:t>
            </w:r>
          </w:p>
        </w:tc>
        <w:tc>
          <w:tcPr>
            <w:tcW w:w="8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jc w:val="right"/>
              <w:spacing w:after="0" w:line="83" w:lineRule="exact"/>
              <w:rPr>
                <w:sz w:val="20"/>
                <w:szCs w:val="20"/>
                <w:color w:val="auto"/>
              </w:rPr>
            </w:pPr>
            <w:r>
              <w:rPr>
                <w:rFonts w:ascii="Arial" w:cs="Arial" w:eastAsia="Arial" w:hAnsi="Arial"/>
                <w:sz w:val="8"/>
                <w:szCs w:val="8"/>
                <w:color w:val="auto"/>
              </w:rPr>
              <w:t>(228)</w:t>
            </w:r>
          </w:p>
        </w:tc>
        <w:tc>
          <w:tcPr>
            <w:tcW w:w="80" w:type="dxa"/>
            <w:vAlign w:val="bottom"/>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jc w:val="right"/>
              <w:ind w:right="39"/>
              <w:spacing w:after="0" w:line="83" w:lineRule="exact"/>
              <w:rPr>
                <w:sz w:val="20"/>
                <w:szCs w:val="20"/>
                <w:color w:val="auto"/>
              </w:rPr>
            </w:pPr>
            <w:r>
              <w:rPr>
                <w:rFonts w:ascii="Arial" w:cs="Arial" w:eastAsia="Arial" w:hAnsi="Arial"/>
                <w:sz w:val="8"/>
                <w:szCs w:val="8"/>
                <w:color w:val="auto"/>
              </w:rPr>
              <w:t>(58)</w:t>
            </w:r>
          </w:p>
        </w:tc>
        <w:tc>
          <w:tcPr>
            <w:tcW w:w="260" w:type="dxa"/>
            <w:vAlign w:val="bottom"/>
            <w:tcBorders>
              <w:bottom w:val="single" w:sz="8" w:color="auto"/>
            </w:tcBorders>
            <w:shd w:val="clear" w:color="auto" w:fill="CCEEFF"/>
          </w:tcPr>
          <w:p>
            <w:pPr>
              <w:jc w:val="right"/>
              <w:ind w:right="79"/>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0"/>
        </w:trPr>
        <w:tc>
          <w:tcPr>
            <w:tcW w:w="3440" w:type="dxa"/>
            <w:vAlign w:val="bottom"/>
            <w:tcBorders>
              <w:bottom w:val="single" w:sz="8" w:color="CCEEFF"/>
            </w:tcBorders>
            <w:gridSpan w:val="2"/>
          </w:tcPr>
          <w:p>
            <w:pPr>
              <w:spacing w:after="0" w:line="70" w:lineRule="exact"/>
              <w:rPr>
                <w:sz w:val="20"/>
                <w:szCs w:val="20"/>
                <w:color w:val="auto"/>
              </w:rPr>
            </w:pPr>
            <w:r>
              <w:rPr>
                <w:rFonts w:ascii="Arial" w:cs="Arial" w:eastAsia="Arial" w:hAnsi="Arial"/>
                <w:sz w:val="8"/>
                <w:szCs w:val="8"/>
                <w:b w:val="1"/>
                <w:bCs w:val="1"/>
                <w:color w:val="auto"/>
              </w:rPr>
              <w:t>Net income (loss) attributable to Reading International, Inc.</w:t>
            </w:r>
          </w:p>
        </w:tc>
        <w:tc>
          <w:tcPr>
            <w:tcW w:w="180" w:type="dxa"/>
            <w:vAlign w:val="bottom"/>
            <w:tcBorders>
              <w:bottom w:val="single" w:sz="8" w:color="auto"/>
            </w:tcBorders>
          </w:tcPr>
          <w:p>
            <w:pPr>
              <w:jc w:val="right"/>
              <w:ind w:right="79"/>
              <w:spacing w:after="0" w:line="70" w:lineRule="exact"/>
              <w:rPr>
                <w:sz w:val="20"/>
                <w:szCs w:val="20"/>
                <w:color w:val="auto"/>
              </w:rPr>
            </w:pPr>
            <w:r>
              <w:rPr>
                <w:rFonts w:ascii="Arial" w:cs="Arial" w:eastAsia="Arial" w:hAnsi="Arial"/>
                <w:sz w:val="8"/>
                <w:szCs w:val="8"/>
                <w:b w:val="1"/>
                <w:bCs w:val="1"/>
                <w:color w:val="auto"/>
                <w:w w:val="88"/>
              </w:rPr>
              <w:t>$</w:t>
            </w:r>
          </w:p>
        </w:tc>
        <w:tc>
          <w:tcPr>
            <w:tcW w:w="1000" w:type="dxa"/>
            <w:vAlign w:val="bottom"/>
            <w:tcBorders>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(4,400)</w:t>
            </w: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(5,177)</w:t>
            </w:r>
          </w:p>
        </w:tc>
        <w:tc>
          <w:tcPr>
            <w:tcW w:w="8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jc w:val="right"/>
              <w:ind w:right="19"/>
              <w:spacing w:after="0" w:line="70" w:lineRule="exact"/>
              <w:rPr>
                <w:sz w:val="20"/>
                <w:szCs w:val="20"/>
                <w:color w:val="auto"/>
              </w:rPr>
            </w:pPr>
            <w:r>
              <w:rPr>
                <w:rFonts w:ascii="Arial" w:cs="Arial" w:eastAsia="Arial" w:hAnsi="Arial"/>
                <w:sz w:val="8"/>
                <w:szCs w:val="8"/>
                <w:b w:val="1"/>
                <w:bCs w:val="1"/>
                <w:color w:val="auto"/>
              </w:rPr>
              <w:t>15</w:t>
            </w:r>
          </w:p>
        </w:tc>
        <w:tc>
          <w:tcPr>
            <w:tcW w:w="220" w:type="dxa"/>
            <w:vAlign w:val="bottom"/>
            <w:tcBorders>
              <w:bottom w:val="single" w:sz="8" w:color="auto"/>
            </w:tcBorders>
          </w:tcPr>
          <w:p>
            <w:pPr>
              <w:jc w:val="right"/>
              <w:ind w:right="79"/>
              <w:spacing w:after="0" w:line="70" w:lineRule="exact"/>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1000" w:type="dxa"/>
            <w:vAlign w:val="bottom"/>
            <w:tcBorders>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(18,289)</w:t>
            </w: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1000" w:type="dxa"/>
            <w:vAlign w:val="bottom"/>
            <w:tcBorders>
              <w:bottom w:val="single" w:sz="8" w:color="auto"/>
            </w:tcBorders>
          </w:tcPr>
          <w:p>
            <w:pPr>
              <w:jc w:val="right"/>
              <w:spacing w:after="0" w:line="70" w:lineRule="exact"/>
              <w:rPr>
                <w:sz w:val="20"/>
                <w:szCs w:val="20"/>
                <w:color w:val="auto"/>
              </w:rPr>
            </w:pPr>
            <w:r>
              <w:rPr>
                <w:rFonts w:ascii="Arial" w:cs="Arial" w:eastAsia="Arial" w:hAnsi="Arial"/>
                <w:sz w:val="8"/>
                <w:szCs w:val="8"/>
                <w:b w:val="1"/>
                <w:bCs w:val="1"/>
                <w:color w:val="auto"/>
              </w:rPr>
              <w:t>(22,967)</w:t>
            </w:r>
          </w:p>
        </w:tc>
        <w:tc>
          <w:tcPr>
            <w:tcW w:w="8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jc w:val="right"/>
              <w:ind w:right="39"/>
              <w:spacing w:after="0" w:line="70" w:lineRule="exact"/>
              <w:rPr>
                <w:sz w:val="20"/>
                <w:szCs w:val="20"/>
                <w:color w:val="auto"/>
              </w:rPr>
            </w:pPr>
            <w:r>
              <w:rPr>
                <w:rFonts w:ascii="Arial" w:cs="Arial" w:eastAsia="Arial" w:hAnsi="Arial"/>
                <w:sz w:val="8"/>
                <w:szCs w:val="8"/>
                <w:b w:val="1"/>
                <w:bCs w:val="1"/>
                <w:color w:val="auto"/>
              </w:rPr>
              <w:t>20</w:t>
            </w:r>
          </w:p>
        </w:tc>
        <w:tc>
          <w:tcPr>
            <w:tcW w:w="260" w:type="dxa"/>
            <w:vAlign w:val="bottom"/>
            <w:tcBorders>
              <w:bottom w:val="single" w:sz="8" w:color="auto"/>
            </w:tcBorders>
          </w:tcPr>
          <w:p>
            <w:pPr>
              <w:jc w:val="right"/>
              <w:ind w:right="79"/>
              <w:spacing w:after="0" w:line="70" w:lineRule="exact"/>
              <w:rPr>
                <w:sz w:val="20"/>
                <w:szCs w:val="20"/>
                <w:color w:val="auto"/>
              </w:rPr>
            </w:pP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78"/>
        </w:trPr>
        <w:tc>
          <w:tcPr>
            <w:tcW w:w="3440" w:type="dxa"/>
            <w:vAlign w:val="bottom"/>
            <w:tcBorders>
              <w:bottom w:val="single" w:sz="8" w:color="CCEEFF"/>
            </w:tcBorders>
            <w:gridSpan w:val="2"/>
            <w:shd w:val="clear" w:color="auto" w:fill="CCEEFF"/>
          </w:tcPr>
          <w:p>
            <w:pPr>
              <w:spacing w:after="0" w:line="78" w:lineRule="exact"/>
              <w:rPr>
                <w:sz w:val="20"/>
                <w:szCs w:val="20"/>
                <w:color w:val="auto"/>
              </w:rPr>
            </w:pPr>
            <w:r>
              <w:rPr>
                <w:rFonts w:ascii="Arial" w:cs="Arial" w:eastAsia="Arial" w:hAnsi="Arial"/>
                <w:sz w:val="8"/>
                <w:szCs w:val="8"/>
                <w:b w:val="1"/>
                <w:bCs w:val="1"/>
                <w:color w:val="auto"/>
              </w:rPr>
              <w:t>Basic earnings (loss) per share</w:t>
            </w:r>
          </w:p>
        </w:tc>
        <w:tc>
          <w:tcPr>
            <w:tcW w:w="180" w:type="dxa"/>
            <w:vAlign w:val="bottom"/>
            <w:tcBorders>
              <w:bottom w:val="single" w:sz="8" w:color="auto"/>
            </w:tcBorders>
            <w:shd w:val="clear" w:color="auto" w:fill="CCEEFF"/>
          </w:tcPr>
          <w:p>
            <w:pPr>
              <w:jc w:val="right"/>
              <w:ind w:right="79"/>
              <w:spacing w:after="0" w:line="78" w:lineRule="exact"/>
              <w:rPr>
                <w:sz w:val="20"/>
                <w:szCs w:val="20"/>
                <w:color w:val="auto"/>
              </w:rPr>
            </w:pPr>
            <w:r>
              <w:rPr>
                <w:rFonts w:ascii="Arial" w:cs="Arial" w:eastAsia="Arial" w:hAnsi="Arial"/>
                <w:sz w:val="8"/>
                <w:szCs w:val="8"/>
                <w:b w:val="1"/>
                <w:bCs w:val="1"/>
                <w:color w:val="auto"/>
                <w:w w:val="88"/>
              </w:rPr>
              <w:t>$</w:t>
            </w:r>
          </w:p>
        </w:tc>
        <w:tc>
          <w:tcPr>
            <w:tcW w:w="1000" w:type="dxa"/>
            <w:vAlign w:val="bottom"/>
            <w:tcBorders>
              <w:bottom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b w:val="1"/>
                <w:bCs w:val="1"/>
                <w:color w:val="auto"/>
              </w:rPr>
              <w:t>(0.20)</w:t>
            </w:r>
          </w:p>
        </w:tc>
        <w:tc>
          <w:tcPr>
            <w:tcW w:w="10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b w:val="1"/>
                <w:bCs w:val="1"/>
                <w:color w:val="auto"/>
              </w:rPr>
              <w:t>(0.23)</w:t>
            </w:r>
          </w:p>
        </w:tc>
        <w:tc>
          <w:tcPr>
            <w:tcW w:w="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jc w:val="right"/>
              <w:ind w:right="19"/>
              <w:spacing w:after="0" w:line="78" w:lineRule="exact"/>
              <w:rPr>
                <w:sz w:val="20"/>
                <w:szCs w:val="20"/>
                <w:color w:val="auto"/>
              </w:rPr>
            </w:pPr>
            <w:r>
              <w:rPr>
                <w:rFonts w:ascii="Arial" w:cs="Arial" w:eastAsia="Arial" w:hAnsi="Arial"/>
                <w:sz w:val="8"/>
                <w:szCs w:val="8"/>
                <w:b w:val="1"/>
                <w:bCs w:val="1"/>
                <w:color w:val="auto"/>
              </w:rPr>
              <w:t>13</w:t>
            </w:r>
          </w:p>
        </w:tc>
        <w:tc>
          <w:tcPr>
            <w:tcW w:w="220" w:type="dxa"/>
            <w:vAlign w:val="bottom"/>
            <w:tcBorders>
              <w:bottom w:val="single" w:sz="8" w:color="auto"/>
            </w:tcBorders>
            <w:shd w:val="clear" w:color="auto" w:fill="CCEEFF"/>
          </w:tcPr>
          <w:p>
            <w:pPr>
              <w:jc w:val="right"/>
              <w:ind w:right="79"/>
              <w:spacing w:after="0" w:line="78" w:lineRule="exact"/>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1000" w:type="dxa"/>
            <w:vAlign w:val="bottom"/>
            <w:tcBorders>
              <w:bottom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b w:val="1"/>
                <w:bCs w:val="1"/>
                <w:color w:val="auto"/>
              </w:rPr>
              <w:t>(0.82)</w:t>
            </w:r>
          </w:p>
        </w:tc>
        <w:tc>
          <w:tcPr>
            <w:tcW w:w="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1000" w:type="dxa"/>
            <w:vAlign w:val="bottom"/>
            <w:tcBorders>
              <w:bottom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b w:val="1"/>
                <w:bCs w:val="1"/>
                <w:color w:val="auto"/>
              </w:rPr>
              <w:t>(1.04)</w:t>
            </w:r>
          </w:p>
        </w:tc>
        <w:tc>
          <w:tcPr>
            <w:tcW w:w="8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jc w:val="right"/>
              <w:ind w:right="39"/>
              <w:spacing w:after="0" w:line="78" w:lineRule="exact"/>
              <w:rPr>
                <w:sz w:val="20"/>
                <w:szCs w:val="20"/>
                <w:color w:val="auto"/>
              </w:rPr>
            </w:pPr>
            <w:r>
              <w:rPr>
                <w:rFonts w:ascii="Arial" w:cs="Arial" w:eastAsia="Arial" w:hAnsi="Arial"/>
                <w:sz w:val="8"/>
                <w:szCs w:val="8"/>
                <w:b w:val="1"/>
                <w:bCs w:val="1"/>
                <w:color w:val="auto"/>
              </w:rPr>
              <w:t>21</w:t>
            </w:r>
          </w:p>
        </w:tc>
        <w:tc>
          <w:tcPr>
            <w:tcW w:w="260" w:type="dxa"/>
            <w:vAlign w:val="bottom"/>
            <w:tcBorders>
              <w:bottom w:val="single" w:sz="8" w:color="auto"/>
            </w:tcBorders>
            <w:shd w:val="clear" w:color="auto" w:fill="CCEEFF"/>
          </w:tcPr>
          <w:p>
            <w:pPr>
              <w:jc w:val="right"/>
              <w:ind w:right="79"/>
              <w:spacing w:after="0" w:line="78" w:lineRule="exact"/>
              <w:rPr>
                <w:sz w:val="20"/>
                <w:szCs w:val="20"/>
                <w:color w:val="auto"/>
              </w:rPr>
            </w:pP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Consolidated and Non-Segment Results:</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u w:val="single" w:color="auto"/>
          <w:color w:val="auto"/>
        </w:rPr>
        <w:t>Third Quarter and Nine Months Net Results</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u w:val="single" w:color="auto"/>
          <w:color w:val="auto"/>
        </w:rPr>
        <w:t>Revenue</w:t>
      </w:r>
    </w:p>
    <w:p>
      <w:pPr>
        <w:spacing w:after="0" w:line="101" w:lineRule="exact"/>
        <w:rPr>
          <w:sz w:val="20"/>
          <w:szCs w:val="20"/>
          <w:color w:val="auto"/>
        </w:rPr>
      </w:pPr>
    </w:p>
    <w:p>
      <w:pPr>
        <w:ind w:right="60"/>
        <w:spacing w:after="0" w:line="237" w:lineRule="auto"/>
        <w:rPr>
          <w:sz w:val="20"/>
          <w:szCs w:val="20"/>
          <w:color w:val="auto"/>
        </w:rPr>
      </w:pPr>
      <w:r>
        <w:rPr>
          <w:rFonts w:ascii="Arial" w:cs="Arial" w:eastAsia="Arial" w:hAnsi="Arial"/>
          <w:sz w:val="10"/>
          <w:szCs w:val="10"/>
          <w:color w:val="auto"/>
        </w:rPr>
        <w:t>Revenue for the quarter ended September 30, 2023, increased by $15.4 million, to $66.6 million, compared to the same period in the prior year, primarily due to (i) increased revenues as a result of a stronger film slate and (ii) rent income from our 44 Union Square property.</w:t>
      </w:r>
    </w:p>
    <w:p>
      <w:pPr>
        <w:spacing w:after="0" w:line="88" w:lineRule="exact"/>
        <w:rPr>
          <w:sz w:val="20"/>
          <w:szCs w:val="20"/>
          <w:color w:val="auto"/>
        </w:rPr>
      </w:pPr>
    </w:p>
    <w:p>
      <w:pPr>
        <w:ind w:right="40"/>
        <w:spacing w:after="0" w:line="237" w:lineRule="auto"/>
        <w:rPr>
          <w:sz w:val="20"/>
          <w:szCs w:val="20"/>
          <w:color w:val="auto"/>
        </w:rPr>
      </w:pPr>
      <w:r>
        <w:rPr>
          <w:rFonts w:ascii="Arial" w:cs="Arial" w:eastAsia="Arial" w:hAnsi="Arial"/>
          <w:sz w:val="10"/>
          <w:szCs w:val="10"/>
          <w:color w:val="auto"/>
        </w:rPr>
        <w:t>Revenue for the nine months ended September 30, 2023, increased by $21.5 million, to $177.4 million, when compared to the same period in the prior year. This increase was attributable to better cinema performances across our worldwide circuit as a result of a stronger film slate and, since November 2022 rent income from our 44 Union Square property.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59" w:right="640" w:bottom="1440" w:gutter="0" w:footer="0" w:header="0"/>
        </w:sectPr>
      </w:pPr>
    </w:p>
    <w:bookmarkStart w:id="33" w:name="page34"/>
    <w:bookmarkEnd w:id="33"/>
    <w:p>
      <w:pPr>
        <w:spacing w:after="0"/>
        <w:rPr>
          <w:sz w:val="20"/>
          <w:szCs w:val="20"/>
          <w:color w:val="auto"/>
        </w:rPr>
      </w:pPr>
      <w:r>
        <w:rPr>
          <w:rFonts w:ascii="Arial" w:cs="Arial" w:eastAsia="Arial" w:hAnsi="Arial"/>
          <w:sz w:val="10"/>
          <w:szCs w:val="10"/>
          <w:b w:val="1"/>
          <w:bCs w:val="1"/>
          <w:i w:val="1"/>
          <w:iCs w:val="1"/>
          <w:u w:val="single" w:color="auto"/>
          <w:color w:val="auto"/>
        </w:rPr>
        <w:t>Segment Operating Income/(Loss)</w:t>
      </w:r>
    </w:p>
    <w:p>
      <w:pPr>
        <w:spacing w:after="0" w:line="101" w:lineRule="exact"/>
        <w:rPr>
          <w:sz w:val="20"/>
          <w:szCs w:val="20"/>
          <w:color w:val="auto"/>
        </w:rPr>
      </w:pPr>
    </w:p>
    <w:p>
      <w:pPr>
        <w:ind w:right="20"/>
        <w:spacing w:after="0" w:line="237" w:lineRule="auto"/>
        <w:rPr>
          <w:sz w:val="20"/>
          <w:szCs w:val="20"/>
          <w:color w:val="auto"/>
        </w:rPr>
      </w:pPr>
      <w:r>
        <w:rPr>
          <w:rFonts w:ascii="Arial" w:cs="Arial" w:eastAsia="Arial" w:hAnsi="Arial"/>
          <w:sz w:val="10"/>
          <w:szCs w:val="10"/>
          <w:color w:val="auto"/>
        </w:rPr>
        <w:t>Our total segment operating income for the quarter ended September 30, 2023, increased by $ 7.6 million, from a loss of $2.3 million to an income of $5.3 million, primarily due to (i) improved operating income from our worldwide circuit and (ii) rent received from our tenant at our 44 Union Square property that did not occur in the third quarter of 2022.</w:t>
      </w:r>
    </w:p>
    <w:p>
      <w:pPr>
        <w:spacing w:after="0" w:line="88" w:lineRule="exact"/>
        <w:rPr>
          <w:sz w:val="20"/>
          <w:szCs w:val="20"/>
          <w:color w:val="auto"/>
        </w:rPr>
      </w:pPr>
    </w:p>
    <w:p>
      <w:pPr>
        <w:ind w:right="20"/>
        <w:spacing w:after="0" w:line="231" w:lineRule="auto"/>
        <w:rPr>
          <w:sz w:val="20"/>
          <w:szCs w:val="20"/>
          <w:color w:val="auto"/>
        </w:rPr>
      </w:pPr>
      <w:r>
        <w:rPr>
          <w:rFonts w:ascii="Arial" w:cs="Arial" w:eastAsia="Arial" w:hAnsi="Arial"/>
          <w:sz w:val="10"/>
          <w:szCs w:val="10"/>
          <w:color w:val="auto"/>
        </w:rPr>
        <w:t>Our total segment operating income for the nine months ended September 30, 2023 was $7.5 million, which increased by $13.5 million from a loss of $6.0 million, primarily due to (i) improved cinema performance from a stronger film slate, which resulted in more patrons returning to the theaters, (ii) rent received from our tenant at our 44 Union Square property that did not occur in the third quarter of 2022, (iii) impairment expense of $1.5 million that was incurred in the same period in 2022 that was not incurred in 2023 and (iv) a decrease in depreciation and amortization due to delay in Capex spending.</w:t>
      </w:r>
    </w:p>
    <w:p>
      <w:pPr>
        <w:spacing w:after="0" w:line="88" w:lineRule="exact"/>
        <w:rPr>
          <w:sz w:val="20"/>
          <w:szCs w:val="20"/>
          <w:color w:val="auto"/>
        </w:rPr>
      </w:pPr>
    </w:p>
    <w:p>
      <w:pPr>
        <w:ind w:right="80"/>
        <w:spacing w:after="0" w:line="231" w:lineRule="auto"/>
        <w:rPr>
          <w:sz w:val="20"/>
          <w:szCs w:val="20"/>
          <w:color w:val="auto"/>
        </w:rPr>
      </w:pPr>
      <w:r>
        <w:rPr>
          <w:rFonts w:ascii="Arial" w:cs="Arial" w:eastAsia="Arial" w:hAnsi="Arial"/>
          <w:sz w:val="10"/>
          <w:szCs w:val="10"/>
          <w:color w:val="auto"/>
        </w:rPr>
        <w:t>During the third quarter of 2023, both the Australia and New Zealand dollars devalued against the U.S. dollar. The average Australia dollar exchange rate against the U.S. dollar for the third quarter of 2023 decreased 4.1% compared to the same period in 2022. The average New Zealand dollar exchange rate against the U.S. dollar for the third quarter of 2023 decreased 1.2% compared to the same period in 2022. The devaluation of the Australia and New Zealand currencies negatively impacts segment operating income and positively impacts segment operating loss in U.S. dollar terms.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u w:val="single" w:color="auto"/>
          <w:color w:val="auto"/>
        </w:rPr>
        <w:t>Net Income/(Loss)</w:t>
      </w:r>
    </w:p>
    <w:p>
      <w:pPr>
        <w:spacing w:after="0" w:line="101" w:lineRule="exact"/>
        <w:rPr>
          <w:sz w:val="20"/>
          <w:szCs w:val="20"/>
          <w:color w:val="auto"/>
        </w:rPr>
      </w:pPr>
    </w:p>
    <w:p>
      <w:pPr>
        <w:ind w:right="60"/>
        <w:spacing w:after="0" w:line="237" w:lineRule="auto"/>
        <w:rPr>
          <w:sz w:val="20"/>
          <w:szCs w:val="20"/>
          <w:color w:val="auto"/>
        </w:rPr>
      </w:pPr>
      <w:r>
        <w:rPr>
          <w:rFonts w:ascii="Arial" w:cs="Arial" w:eastAsia="Arial" w:hAnsi="Arial"/>
          <w:sz w:val="10"/>
          <w:szCs w:val="10"/>
          <w:color w:val="auto"/>
        </w:rPr>
        <w:t>Our net loss attributable to Reading International, Inc. for the quarter ended September 30, 2023, decreased by $0.8 million, from a loss of $5.2 million to a loss of $4.4 million, when compared to the same period in the prior year, due to improved segment revenues, decreased depreciation and amortization expense, partially offset by increased interest expense, decreased other income and increased tax expense.</w:t>
      </w:r>
    </w:p>
    <w:p>
      <w:pPr>
        <w:spacing w:after="0" w:line="88" w:lineRule="exact"/>
        <w:rPr>
          <w:sz w:val="20"/>
          <w:szCs w:val="20"/>
          <w:color w:val="auto"/>
        </w:rPr>
      </w:pPr>
    </w:p>
    <w:p>
      <w:pPr>
        <w:ind w:right="220"/>
        <w:spacing w:after="0" w:line="287" w:lineRule="auto"/>
        <w:rPr>
          <w:sz w:val="20"/>
          <w:szCs w:val="20"/>
          <w:color w:val="auto"/>
        </w:rPr>
      </w:pPr>
      <w:r>
        <w:rPr>
          <w:rFonts w:ascii="Arial" w:cs="Arial" w:eastAsia="Arial" w:hAnsi="Arial"/>
          <w:sz w:val="9"/>
          <w:szCs w:val="9"/>
          <w:color w:val="auto"/>
        </w:rPr>
        <w:t>For the nine months ended September 30, 2023, net loss attributable to Reading International, Inc. decreased by $4.7 million, from a loss of $ 23.0 million to a loss of $18.3 million, compared to the same period in the prior year primarily due to better segment results, decreased G&amp;A expenses, decreased depreciation and amortization expense, no impairment in 2023, and decreased tax expenses, partially offset by increased interest expense and a decrease in other income.</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u w:val="single" w:color="auto"/>
          <w:color w:val="auto"/>
        </w:rPr>
        <w:t>Income Tax Expense</w:t>
      </w:r>
    </w:p>
    <w:p>
      <w:pPr>
        <w:spacing w:after="0" w:line="101" w:lineRule="exact"/>
        <w:rPr>
          <w:sz w:val="20"/>
          <w:szCs w:val="20"/>
          <w:color w:val="auto"/>
        </w:rPr>
      </w:pPr>
    </w:p>
    <w:p>
      <w:pPr>
        <w:ind w:right="80"/>
        <w:spacing w:after="0" w:line="237" w:lineRule="auto"/>
        <w:rPr>
          <w:sz w:val="20"/>
          <w:szCs w:val="20"/>
          <w:color w:val="auto"/>
        </w:rPr>
      </w:pPr>
      <w:r>
        <w:rPr>
          <w:rFonts w:ascii="Arial" w:cs="Arial" w:eastAsia="Arial" w:hAnsi="Arial"/>
          <w:sz w:val="10"/>
          <w:szCs w:val="10"/>
          <w:color w:val="auto"/>
        </w:rPr>
        <w:t>Income tax expense for the quarter ended September 30, 2023, increased by $0.6 million compared to the equivalent prior-year period. The change between 2023 and 2022 is primarily related to the increase in reserve for valuation allowance in 2023.</w:t>
      </w:r>
    </w:p>
    <w:p>
      <w:pPr>
        <w:spacing w:after="0" w:line="88"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Income tax expense for the nine months ended September 30, 2023, decreased by $1.2 million compared to the equivalent prior-year period. The change between 2023 and 2022 is primarily related to the decrease in reserve for unrecognized tax benefits in 2023</w:t>
      </w:r>
      <w:r>
        <w:rPr>
          <w:rFonts w:ascii="Arial" w:cs="Arial" w:eastAsia="Arial" w:hAnsi="Arial"/>
          <w:sz w:val="10"/>
          <w:szCs w:val="10"/>
          <w:i w:val="1"/>
          <w:iCs w:val="1"/>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664" w:right="680" w:bottom="1440" w:gutter="0" w:footer="0" w:header="0"/>
        </w:sectPr>
      </w:pPr>
    </w:p>
    <w:bookmarkStart w:id="34" w:name="page35"/>
    <w:bookmarkEnd w:id="34"/>
    <w:p>
      <w:pPr>
        <w:spacing w:after="0"/>
        <w:rPr>
          <w:sz w:val="20"/>
          <w:szCs w:val="20"/>
          <w:color w:val="auto"/>
        </w:rPr>
      </w:pPr>
      <w:r>
        <w:rPr>
          <w:rFonts w:ascii="Arial" w:cs="Arial" w:eastAsia="Arial" w:hAnsi="Arial"/>
          <w:sz w:val="10"/>
          <w:szCs w:val="10"/>
          <w:b w:val="1"/>
          <w:bCs w:val="1"/>
          <w:color w:val="auto"/>
        </w:rPr>
        <w:t>Business Segment Results</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u w:val="single" w:color="auto"/>
          <w:color w:val="auto"/>
        </w:rPr>
        <w:t>Cinema Exhibition</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details our cinema exhibition segment operating results for the quarter and nine months ended September 30, 2023, and September 30, 2022, respectively: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40" w:type="dxa"/>
            <w:vAlign w:val="bottom"/>
            <w:gridSpan w:val="2"/>
            <w:vMerge w:val="restart"/>
          </w:tcPr>
          <w:p>
            <w:pPr>
              <w:spacing w:after="0"/>
              <w:rPr>
                <w:sz w:val="20"/>
                <w:szCs w:val="20"/>
                <w:color w:val="auto"/>
              </w:rPr>
            </w:pPr>
            <w:r>
              <w:rPr>
                <w:rFonts w:ascii="Arial" w:cs="Arial" w:eastAsia="Arial" w:hAnsi="Arial"/>
                <w:sz w:val="6"/>
                <w:szCs w:val="6"/>
                <w:b w:val="1"/>
                <w:bCs w:val="1"/>
                <w:color w:val="auto"/>
              </w:rPr>
              <w:t>Quarter Ended</w:t>
            </w: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E6E0E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vMerge w:val="restart"/>
          </w:tcPr>
          <w:p>
            <w:pPr>
              <w:spacing w:after="0"/>
              <w:rPr>
                <w:sz w:val="20"/>
                <w:szCs w:val="20"/>
                <w:color w:val="auto"/>
              </w:rPr>
            </w:pPr>
            <w:r>
              <w:rPr>
                <w:rFonts w:ascii="Arial" w:cs="Arial" w:eastAsia="Arial" w:hAnsi="Arial"/>
                <w:sz w:val="6"/>
                <w:szCs w:val="6"/>
                <w:b w:val="1"/>
                <w:bCs w:val="1"/>
                <w:color w:val="auto"/>
              </w:rPr>
              <w:t>Fav/(Unfav)</w:t>
            </w: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0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740" w:type="dxa"/>
            <w:vAlign w:val="bottom"/>
            <w:tcBorders>
              <w:bottom w:val="single" w:sz="8" w:color="auto"/>
            </w:tcBorders>
            <w:gridSpan w:val="2"/>
            <w:vMerge w:val="continue"/>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bottom w:val="single" w:sz="8" w:color="auto"/>
            </w:tcBorders>
            <w:gridSpan w:val="2"/>
          </w:tcPr>
          <w:p>
            <w:pPr>
              <w:spacing w:after="0" w:line="48" w:lineRule="exact"/>
              <w:rPr>
                <w:sz w:val="20"/>
                <w:szCs w:val="20"/>
                <w:color w:val="auto"/>
              </w:rPr>
            </w:pPr>
            <w:r>
              <w:rPr>
                <w:rFonts w:ascii="Arial" w:cs="Arial" w:eastAsia="Arial" w:hAnsi="Arial"/>
                <w:sz w:val="5"/>
                <w:szCs w:val="5"/>
                <w:b w:val="1"/>
                <w:bCs w:val="1"/>
                <w:color w:val="auto"/>
              </w:rPr>
              <w:t>Nine Months Ended</w:t>
            </w: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080" w:type="dxa"/>
            <w:vAlign w:val="bottom"/>
            <w:vMerge w:val="restart"/>
          </w:tcPr>
          <w:p>
            <w:pPr>
              <w:spacing w:after="0"/>
              <w:rPr>
                <w:sz w:val="20"/>
                <w:szCs w:val="20"/>
                <w:color w:val="auto"/>
              </w:rPr>
            </w:pPr>
            <w:r>
              <w:rPr>
                <w:rFonts w:ascii="Arial" w:cs="Arial" w:eastAsia="Arial" w:hAnsi="Arial"/>
                <w:sz w:val="6"/>
                <w:szCs w:val="6"/>
                <w:i w:val="1"/>
                <w:iCs w:val="1"/>
                <w:color w:val="auto"/>
              </w:rPr>
              <w:t>(Dollars in thousands)</w:t>
            </w:r>
          </w:p>
        </w:tc>
        <w:tc>
          <w:tcPr>
            <w:tcW w:w="2820" w:type="dxa"/>
            <w:vAlign w:val="bottom"/>
          </w:tcPr>
          <w:p>
            <w:pPr>
              <w:spacing w:after="0"/>
              <w:rPr>
                <w:sz w:val="4"/>
                <w:szCs w:val="4"/>
                <w:color w:val="auto"/>
              </w:rPr>
            </w:pPr>
          </w:p>
        </w:tc>
        <w:tc>
          <w:tcPr>
            <w:tcW w:w="740" w:type="dxa"/>
            <w:vAlign w:val="bottom"/>
            <w:gridSpan w:val="2"/>
          </w:tcPr>
          <w:p>
            <w:pPr>
              <w:spacing w:after="0" w:line="48" w:lineRule="exact"/>
              <w:rPr>
                <w:sz w:val="20"/>
                <w:szCs w:val="20"/>
                <w:color w:val="auto"/>
              </w:rPr>
            </w:pPr>
            <w:r>
              <w:rPr>
                <w:rFonts w:ascii="Arial" w:cs="Arial" w:eastAsia="Arial" w:hAnsi="Arial"/>
                <w:sz w:val="5"/>
                <w:szCs w:val="5"/>
                <w:b w:val="1"/>
                <w:bCs w:val="1"/>
                <w:color w:val="auto"/>
              </w:rPr>
              <w:t>September 30,</w:t>
            </w:r>
          </w:p>
        </w:tc>
        <w:tc>
          <w:tcPr>
            <w:tcW w:w="500" w:type="dxa"/>
            <w:vAlign w:val="bottom"/>
            <w:vMerge w:val="restart"/>
          </w:tcPr>
          <w:p>
            <w:pPr>
              <w:spacing w:after="0"/>
              <w:rPr>
                <w:sz w:val="20"/>
                <w:szCs w:val="20"/>
                <w:color w:val="auto"/>
              </w:rPr>
            </w:pPr>
            <w:r>
              <w:rPr>
                <w:rFonts w:ascii="Arial" w:cs="Arial" w:eastAsia="Arial" w:hAnsi="Arial"/>
                <w:sz w:val="6"/>
                <w:szCs w:val="6"/>
                <w:b w:val="1"/>
                <w:bCs w:val="1"/>
                <w:i w:val="1"/>
                <w:iCs w:val="1"/>
                <w:color w:val="auto"/>
              </w:rPr>
              <w:t>% of Revenue</w:t>
            </w:r>
          </w:p>
        </w:tc>
        <w:tc>
          <w:tcPr>
            <w:tcW w:w="740" w:type="dxa"/>
            <w:vAlign w:val="bottom"/>
            <w:gridSpan w:val="2"/>
          </w:tcPr>
          <w:p>
            <w:pPr>
              <w:spacing w:after="0" w:line="48" w:lineRule="exact"/>
              <w:rPr>
                <w:sz w:val="20"/>
                <w:szCs w:val="20"/>
                <w:color w:val="auto"/>
              </w:rPr>
            </w:pPr>
            <w:r>
              <w:rPr>
                <w:rFonts w:ascii="Arial" w:cs="Arial" w:eastAsia="Arial" w:hAnsi="Arial"/>
                <w:sz w:val="5"/>
                <w:szCs w:val="5"/>
                <w:b w:val="1"/>
                <w:bCs w:val="1"/>
                <w:color w:val="auto"/>
              </w:rPr>
              <w:t>September 30,</w:t>
            </w:r>
          </w:p>
        </w:tc>
        <w:tc>
          <w:tcPr>
            <w:tcW w:w="560" w:type="dxa"/>
            <w:vAlign w:val="bottom"/>
            <w:gridSpan w:val="2"/>
            <w:vMerge w:val="restart"/>
          </w:tcPr>
          <w:p>
            <w:pPr>
              <w:spacing w:after="0"/>
              <w:rPr>
                <w:sz w:val="20"/>
                <w:szCs w:val="20"/>
                <w:color w:val="auto"/>
              </w:rPr>
            </w:pPr>
            <w:r>
              <w:rPr>
                <w:rFonts w:ascii="Arial" w:cs="Arial" w:eastAsia="Arial" w:hAnsi="Arial"/>
                <w:sz w:val="6"/>
                <w:szCs w:val="6"/>
                <w:b w:val="1"/>
                <w:bCs w:val="1"/>
                <w:i w:val="1"/>
                <w:iCs w:val="1"/>
                <w:color w:val="auto"/>
              </w:rPr>
              <w:t>% of Revenue</w:t>
            </w:r>
          </w:p>
        </w:tc>
        <w:tc>
          <w:tcPr>
            <w:tcW w:w="760" w:type="dxa"/>
            <w:vAlign w:val="bottom"/>
            <w:gridSpan w:val="2"/>
          </w:tcPr>
          <w:p>
            <w:pPr>
              <w:spacing w:after="0" w:line="48" w:lineRule="exact"/>
              <w:rPr>
                <w:sz w:val="20"/>
                <w:szCs w:val="20"/>
                <w:color w:val="auto"/>
              </w:rPr>
            </w:pPr>
            <w:r>
              <w:rPr>
                <w:rFonts w:ascii="Arial" w:cs="Arial" w:eastAsia="Arial" w:hAnsi="Arial"/>
                <w:sz w:val="5"/>
                <w:szCs w:val="5"/>
                <w:b w:val="1"/>
                <w:bCs w:val="1"/>
                <w:color w:val="auto"/>
              </w:rPr>
              <w:t>September 30,</w:t>
            </w:r>
          </w:p>
        </w:tc>
        <w:tc>
          <w:tcPr>
            <w:tcW w:w="560" w:type="dxa"/>
            <w:vAlign w:val="bottom"/>
            <w:vMerge w:val="restart"/>
          </w:tcPr>
          <w:p>
            <w:pPr>
              <w:spacing w:after="0"/>
              <w:rPr>
                <w:sz w:val="20"/>
                <w:szCs w:val="20"/>
                <w:color w:val="auto"/>
              </w:rPr>
            </w:pPr>
            <w:r>
              <w:rPr>
                <w:rFonts w:ascii="Arial" w:cs="Arial" w:eastAsia="Arial" w:hAnsi="Arial"/>
                <w:sz w:val="6"/>
                <w:szCs w:val="6"/>
                <w:b w:val="1"/>
                <w:bCs w:val="1"/>
                <w:i w:val="1"/>
                <w:iCs w:val="1"/>
                <w:color w:val="auto"/>
              </w:rPr>
              <w:t>% of Revenue</w:t>
            </w:r>
          </w:p>
        </w:tc>
        <w:tc>
          <w:tcPr>
            <w:tcW w:w="760" w:type="dxa"/>
            <w:vAlign w:val="bottom"/>
            <w:gridSpan w:val="2"/>
          </w:tcPr>
          <w:p>
            <w:pPr>
              <w:spacing w:after="0" w:line="48" w:lineRule="exact"/>
              <w:rPr>
                <w:sz w:val="20"/>
                <w:szCs w:val="20"/>
                <w:color w:val="auto"/>
              </w:rPr>
            </w:pPr>
            <w:r>
              <w:rPr>
                <w:rFonts w:ascii="Arial" w:cs="Arial" w:eastAsia="Arial" w:hAnsi="Arial"/>
                <w:sz w:val="5"/>
                <w:szCs w:val="5"/>
                <w:b w:val="1"/>
                <w:bCs w:val="1"/>
                <w:color w:val="auto"/>
              </w:rPr>
              <w:t>September 30,</w:t>
            </w:r>
          </w:p>
        </w:tc>
        <w:tc>
          <w:tcPr>
            <w:tcW w:w="520" w:type="dxa"/>
            <w:vAlign w:val="bottom"/>
            <w:vMerge w:val="restart"/>
          </w:tcPr>
          <w:p>
            <w:pPr>
              <w:spacing w:after="0"/>
              <w:rPr>
                <w:sz w:val="20"/>
                <w:szCs w:val="20"/>
                <w:color w:val="auto"/>
              </w:rPr>
            </w:pPr>
            <w:r>
              <w:rPr>
                <w:rFonts w:ascii="Arial" w:cs="Arial" w:eastAsia="Arial" w:hAnsi="Arial"/>
                <w:sz w:val="6"/>
                <w:szCs w:val="6"/>
                <w:b w:val="1"/>
                <w:bCs w:val="1"/>
                <w:i w:val="1"/>
                <w:iCs w:val="1"/>
                <w:color w:val="auto"/>
              </w:rPr>
              <w:t>% of Revenue</w:t>
            </w:r>
          </w:p>
        </w:tc>
        <w:tc>
          <w:tcPr>
            <w:tcW w:w="60" w:type="dxa"/>
            <w:vAlign w:val="bottom"/>
          </w:tcPr>
          <w:p>
            <w:pPr>
              <w:spacing w:after="0"/>
              <w:rPr>
                <w:sz w:val="4"/>
                <w:szCs w:val="4"/>
                <w:color w:val="auto"/>
              </w:rPr>
            </w:pPr>
          </w:p>
        </w:tc>
        <w:tc>
          <w:tcPr>
            <w:tcW w:w="440" w:type="dxa"/>
            <w:vAlign w:val="bottom"/>
          </w:tcPr>
          <w:p>
            <w:pPr>
              <w:spacing w:after="0" w:line="48" w:lineRule="exact"/>
              <w:rPr>
                <w:sz w:val="20"/>
                <w:szCs w:val="20"/>
                <w:color w:val="auto"/>
              </w:rPr>
            </w:pPr>
            <w:r>
              <w:rPr>
                <w:rFonts w:ascii="Arial" w:cs="Arial" w:eastAsia="Arial" w:hAnsi="Arial"/>
                <w:sz w:val="5"/>
                <w:szCs w:val="5"/>
                <w:b w:val="1"/>
                <w:bCs w:val="1"/>
                <w:color w:val="auto"/>
              </w:rPr>
              <w:t>Quarter</w:t>
            </w:r>
          </w:p>
        </w:tc>
        <w:tc>
          <w:tcPr>
            <w:tcW w:w="220" w:type="dxa"/>
            <w:vAlign w:val="bottom"/>
          </w:tcPr>
          <w:p>
            <w:pPr>
              <w:spacing w:after="0"/>
              <w:rPr>
                <w:sz w:val="4"/>
                <w:szCs w:val="4"/>
                <w:color w:val="auto"/>
              </w:rPr>
            </w:pPr>
          </w:p>
        </w:tc>
        <w:tc>
          <w:tcPr>
            <w:tcW w:w="660" w:type="dxa"/>
            <w:vAlign w:val="bottom"/>
            <w:vMerge w:val="restart"/>
          </w:tcPr>
          <w:p>
            <w:pPr>
              <w:ind w:left="40"/>
              <w:spacing w:after="0"/>
              <w:rPr>
                <w:sz w:val="20"/>
                <w:szCs w:val="20"/>
                <w:color w:val="auto"/>
              </w:rPr>
            </w:pPr>
            <w:r>
              <w:rPr>
                <w:rFonts w:ascii="Arial" w:cs="Arial" w:eastAsia="Arial" w:hAnsi="Arial"/>
                <w:sz w:val="6"/>
                <w:szCs w:val="6"/>
                <w:b w:val="1"/>
                <w:bCs w:val="1"/>
                <w:color w:val="auto"/>
              </w:rPr>
              <w:t>Nine Months Ended</w:t>
            </w: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080" w:type="dxa"/>
            <w:vAlign w:val="bottom"/>
            <w:vMerge w:val="continue"/>
          </w:tcPr>
          <w:p>
            <w:pPr>
              <w:spacing w:after="0"/>
              <w:rPr>
                <w:sz w:val="5"/>
                <w:szCs w:val="5"/>
                <w:color w:val="auto"/>
              </w:rPr>
            </w:pPr>
          </w:p>
        </w:tc>
        <w:tc>
          <w:tcPr>
            <w:tcW w:w="2820" w:type="dxa"/>
            <w:vAlign w:val="bottom"/>
          </w:tcPr>
          <w:p>
            <w:pPr>
              <w:spacing w:after="0"/>
              <w:rPr>
                <w:sz w:val="5"/>
                <w:szCs w:val="5"/>
                <w:color w:val="auto"/>
              </w:rPr>
            </w:pPr>
          </w:p>
        </w:tc>
        <w:tc>
          <w:tcPr>
            <w:tcW w:w="740" w:type="dxa"/>
            <w:vAlign w:val="bottom"/>
            <w:gridSpan w:val="2"/>
          </w:tcPr>
          <w:p>
            <w:pPr>
              <w:spacing w:after="0" w:line="68" w:lineRule="exact"/>
              <w:rPr>
                <w:sz w:val="20"/>
                <w:szCs w:val="20"/>
                <w:color w:val="auto"/>
              </w:rPr>
            </w:pPr>
            <w:r>
              <w:rPr>
                <w:rFonts w:ascii="Arial" w:cs="Arial" w:eastAsia="Arial" w:hAnsi="Arial"/>
                <w:sz w:val="6"/>
                <w:szCs w:val="6"/>
                <w:b w:val="1"/>
                <w:bCs w:val="1"/>
                <w:color w:val="auto"/>
              </w:rPr>
              <w:t>2023</w:t>
            </w:r>
          </w:p>
        </w:tc>
        <w:tc>
          <w:tcPr>
            <w:tcW w:w="500" w:type="dxa"/>
            <w:vAlign w:val="bottom"/>
            <w:vMerge w:val="continue"/>
          </w:tcPr>
          <w:p>
            <w:pPr>
              <w:spacing w:after="0"/>
              <w:rPr>
                <w:sz w:val="5"/>
                <w:szCs w:val="5"/>
                <w:color w:val="auto"/>
              </w:rPr>
            </w:pPr>
          </w:p>
        </w:tc>
        <w:tc>
          <w:tcPr>
            <w:tcW w:w="740" w:type="dxa"/>
            <w:vAlign w:val="bottom"/>
            <w:gridSpan w:val="2"/>
          </w:tcPr>
          <w:p>
            <w:pPr>
              <w:spacing w:after="0" w:line="68" w:lineRule="exact"/>
              <w:rPr>
                <w:sz w:val="20"/>
                <w:szCs w:val="20"/>
                <w:color w:val="auto"/>
              </w:rPr>
            </w:pPr>
            <w:r>
              <w:rPr>
                <w:rFonts w:ascii="Arial" w:cs="Arial" w:eastAsia="Arial" w:hAnsi="Arial"/>
                <w:sz w:val="6"/>
                <w:szCs w:val="6"/>
                <w:b w:val="1"/>
                <w:bCs w:val="1"/>
                <w:color w:val="auto"/>
              </w:rPr>
              <w:t>2022</w:t>
            </w:r>
          </w:p>
        </w:tc>
        <w:tc>
          <w:tcPr>
            <w:tcW w:w="560" w:type="dxa"/>
            <w:vAlign w:val="bottom"/>
            <w:gridSpan w:val="2"/>
            <w:vMerge w:val="continue"/>
          </w:tcPr>
          <w:p>
            <w:pPr>
              <w:spacing w:after="0"/>
              <w:rPr>
                <w:sz w:val="5"/>
                <w:szCs w:val="5"/>
                <w:color w:val="auto"/>
              </w:rPr>
            </w:pPr>
          </w:p>
        </w:tc>
        <w:tc>
          <w:tcPr>
            <w:tcW w:w="760" w:type="dxa"/>
            <w:vAlign w:val="bottom"/>
            <w:gridSpan w:val="2"/>
          </w:tcPr>
          <w:p>
            <w:pPr>
              <w:spacing w:after="0" w:line="68" w:lineRule="exact"/>
              <w:rPr>
                <w:sz w:val="20"/>
                <w:szCs w:val="20"/>
                <w:color w:val="auto"/>
              </w:rPr>
            </w:pPr>
            <w:r>
              <w:rPr>
                <w:rFonts w:ascii="Arial" w:cs="Arial" w:eastAsia="Arial" w:hAnsi="Arial"/>
                <w:sz w:val="6"/>
                <w:szCs w:val="6"/>
                <w:b w:val="1"/>
                <w:bCs w:val="1"/>
                <w:color w:val="auto"/>
              </w:rPr>
              <w:t>2023</w:t>
            </w:r>
          </w:p>
        </w:tc>
        <w:tc>
          <w:tcPr>
            <w:tcW w:w="560" w:type="dxa"/>
            <w:vAlign w:val="bottom"/>
            <w:vMerge w:val="continue"/>
          </w:tcPr>
          <w:p>
            <w:pPr>
              <w:spacing w:after="0"/>
              <w:rPr>
                <w:sz w:val="5"/>
                <w:szCs w:val="5"/>
                <w:color w:val="auto"/>
              </w:rPr>
            </w:pPr>
          </w:p>
        </w:tc>
        <w:tc>
          <w:tcPr>
            <w:tcW w:w="120" w:type="dxa"/>
            <w:vAlign w:val="bottom"/>
          </w:tcPr>
          <w:p>
            <w:pPr>
              <w:spacing w:after="0" w:line="68" w:lineRule="exact"/>
              <w:rPr>
                <w:sz w:val="20"/>
                <w:szCs w:val="20"/>
                <w:color w:val="auto"/>
              </w:rPr>
            </w:pPr>
            <w:r>
              <w:rPr>
                <w:rFonts w:ascii="Arial" w:cs="Arial" w:eastAsia="Arial" w:hAnsi="Arial"/>
                <w:sz w:val="6"/>
                <w:szCs w:val="6"/>
                <w:b w:val="1"/>
                <w:bCs w:val="1"/>
                <w:color w:val="auto"/>
                <w:w w:val="74"/>
              </w:rPr>
              <w:t>2022</w:t>
            </w:r>
          </w:p>
        </w:tc>
        <w:tc>
          <w:tcPr>
            <w:tcW w:w="6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line="68" w:lineRule="exact"/>
              <w:rPr>
                <w:sz w:val="20"/>
                <w:szCs w:val="20"/>
                <w:color w:val="auto"/>
              </w:rPr>
            </w:pPr>
            <w:r>
              <w:rPr>
                <w:rFonts w:ascii="Arial" w:cs="Arial" w:eastAsia="Arial" w:hAnsi="Arial"/>
                <w:sz w:val="6"/>
                <w:szCs w:val="6"/>
                <w:b w:val="1"/>
                <w:bCs w:val="1"/>
                <w:color w:val="auto"/>
              </w:rPr>
              <w:t>Ended​</w:t>
            </w: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080" w:type="dxa"/>
            <w:vAlign w:val="bottom"/>
            <w:tcBorders>
              <w:top w:val="single" w:sz="8" w:color="auto"/>
            </w:tcBorders>
            <w:shd w:val="clear" w:color="auto" w:fill="CCEEFF"/>
          </w:tcPr>
          <w:p>
            <w:pPr>
              <w:spacing w:after="0" w:line="63" w:lineRule="exact"/>
              <w:rPr>
                <w:sz w:val="20"/>
                <w:szCs w:val="20"/>
                <w:color w:val="auto"/>
              </w:rPr>
            </w:pPr>
            <w:r>
              <w:rPr>
                <w:rFonts w:ascii="Arial" w:cs="Arial" w:eastAsia="Arial" w:hAnsi="Arial"/>
                <w:sz w:val="7"/>
                <w:szCs w:val="7"/>
                <w:b w:val="1"/>
                <w:bCs w:val="1"/>
                <w:color w:val="auto"/>
              </w:rPr>
              <w:t>REVENUE</w:t>
            </w:r>
          </w:p>
        </w:tc>
        <w:tc>
          <w:tcPr>
            <w:tcW w:w="28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80" w:type="dxa"/>
            <w:vAlign w:val="bottom"/>
          </w:tcPr>
          <w:p>
            <w:pPr>
              <w:ind w:left="200"/>
              <w:spacing w:after="0" w:line="68" w:lineRule="exact"/>
              <w:rPr>
                <w:sz w:val="20"/>
                <w:szCs w:val="20"/>
                <w:color w:val="auto"/>
              </w:rPr>
            </w:pPr>
            <w:r>
              <w:rPr>
                <w:rFonts w:ascii="Arial" w:cs="Arial" w:eastAsia="Arial" w:hAnsi="Arial"/>
                <w:sz w:val="7"/>
                <w:szCs w:val="7"/>
                <w:b w:val="1"/>
                <w:bCs w:val="1"/>
                <w:color w:val="auto"/>
              </w:rPr>
              <w:t>United States</w:t>
            </w:r>
          </w:p>
        </w:tc>
        <w:tc>
          <w:tcPr>
            <w:tcW w:w="2820" w:type="dxa"/>
            <w:vAlign w:val="bottom"/>
          </w:tcPr>
          <w:p>
            <w:pPr>
              <w:ind w:left="120"/>
              <w:spacing w:after="0" w:line="68" w:lineRule="exact"/>
              <w:rPr>
                <w:sz w:val="20"/>
                <w:szCs w:val="20"/>
                <w:color w:val="auto"/>
              </w:rPr>
            </w:pPr>
            <w:r>
              <w:rPr>
                <w:rFonts w:ascii="Arial" w:cs="Arial" w:eastAsia="Arial" w:hAnsi="Arial"/>
                <w:sz w:val="7"/>
                <w:szCs w:val="7"/>
                <w:color w:val="auto"/>
              </w:rPr>
              <w:t>Admissions revenue</w:t>
            </w:r>
          </w:p>
        </w:tc>
        <w:tc>
          <w:tcPr>
            <w:tcW w:w="80" w:type="dxa"/>
            <w:vAlign w:val="bottom"/>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19,495</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31%</w:t>
            </w:r>
          </w:p>
        </w:tc>
        <w:tc>
          <w:tcPr>
            <w:tcW w:w="60" w:type="dxa"/>
            <w:vAlign w:val="bottom"/>
          </w:tcPr>
          <w:p>
            <w:pPr>
              <w:spacing w:after="0" w:line="68" w:lineRule="exact"/>
              <w:rPr>
                <w:sz w:val="20"/>
                <w:szCs w:val="20"/>
                <w:color w:val="auto"/>
              </w:rPr>
            </w:pPr>
            <w:r>
              <w:rPr>
                <w:rFonts w:ascii="Arial" w:cs="Arial" w:eastAsia="Arial" w:hAnsi="Arial"/>
                <w:sz w:val="7"/>
                <w:szCs w:val="7"/>
                <w:color w:val="auto"/>
              </w:rPr>
              <w:t>$</w:t>
            </w:r>
          </w:p>
        </w:tc>
        <w:tc>
          <w:tcPr>
            <w:tcW w:w="680" w:type="dxa"/>
            <w:vAlign w:val="bottom"/>
          </w:tcPr>
          <w:p>
            <w:pPr>
              <w:ind w:left="40"/>
              <w:spacing w:after="0" w:line="68" w:lineRule="exact"/>
              <w:rPr>
                <w:sz w:val="20"/>
                <w:szCs w:val="20"/>
                <w:color w:val="auto"/>
              </w:rPr>
            </w:pPr>
            <w:r>
              <w:rPr>
                <w:rFonts w:ascii="Arial" w:cs="Arial" w:eastAsia="Arial" w:hAnsi="Arial"/>
                <w:sz w:val="7"/>
                <w:szCs w:val="7"/>
                <w:color w:val="auto"/>
              </w:rPr>
              <w:t>13,588</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28%</w:t>
            </w:r>
          </w:p>
        </w:tc>
        <w:tc>
          <w:tcPr>
            <w:tcW w:w="6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50,250</w:t>
            </w:r>
          </w:p>
        </w:tc>
        <w:tc>
          <w:tcPr>
            <w:tcW w:w="560" w:type="dxa"/>
            <w:vAlign w:val="bottom"/>
          </w:tcPr>
          <w:p>
            <w:pPr>
              <w:spacing w:after="0" w:line="68" w:lineRule="exact"/>
              <w:rPr>
                <w:sz w:val="20"/>
                <w:szCs w:val="20"/>
                <w:color w:val="auto"/>
              </w:rPr>
            </w:pPr>
            <w:r>
              <w:rPr>
                <w:rFonts w:ascii="Arial" w:cs="Arial" w:eastAsia="Arial" w:hAnsi="Arial"/>
                <w:sz w:val="7"/>
                <w:szCs w:val="7"/>
                <w:i w:val="1"/>
                <w:iCs w:val="1"/>
                <w:color w:val="auto"/>
              </w:rPr>
              <w:t>30%</w:t>
            </w:r>
          </w:p>
        </w:tc>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640" w:type="dxa"/>
            <w:vAlign w:val="bottom"/>
          </w:tcPr>
          <w:p>
            <w:pPr>
              <w:spacing w:after="0" w:line="68" w:lineRule="exact"/>
              <w:rPr>
                <w:sz w:val="20"/>
                <w:szCs w:val="20"/>
                <w:color w:val="auto"/>
              </w:rPr>
            </w:pPr>
            <w:r>
              <w:rPr>
                <w:rFonts w:ascii="Arial" w:cs="Arial" w:eastAsia="Arial" w:hAnsi="Arial"/>
                <w:sz w:val="7"/>
                <w:szCs w:val="7"/>
                <w:color w:val="auto"/>
              </w:rPr>
              <w:t>39,815</w:t>
            </w:r>
          </w:p>
        </w:tc>
        <w:tc>
          <w:tcPr>
            <w:tcW w:w="520" w:type="dxa"/>
            <w:vAlign w:val="bottom"/>
          </w:tcPr>
          <w:p>
            <w:pPr>
              <w:spacing w:after="0" w:line="68" w:lineRule="exact"/>
              <w:rPr>
                <w:sz w:val="20"/>
                <w:szCs w:val="20"/>
                <w:color w:val="auto"/>
              </w:rPr>
            </w:pPr>
            <w:r>
              <w:rPr>
                <w:rFonts w:ascii="Arial" w:cs="Arial" w:eastAsia="Arial" w:hAnsi="Arial"/>
                <w:sz w:val="7"/>
                <w:szCs w:val="7"/>
                <w:i w:val="1"/>
                <w:iCs w:val="1"/>
                <w:color w:val="auto"/>
              </w:rPr>
              <w:t>27%</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color w:val="auto"/>
              </w:rPr>
              <w:t>43</w:t>
            </w:r>
          </w:p>
        </w:tc>
        <w:tc>
          <w:tcPr>
            <w:tcW w:w="220" w:type="dxa"/>
            <w:vAlign w:val="bottom"/>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60"/>
              <w:spacing w:after="0" w:line="68" w:lineRule="exact"/>
              <w:rPr>
                <w:sz w:val="20"/>
                <w:szCs w:val="20"/>
                <w:color w:val="auto"/>
              </w:rPr>
            </w:pPr>
            <w:r>
              <w:rPr>
                <w:rFonts w:ascii="Arial" w:cs="Arial" w:eastAsia="Arial" w:hAnsi="Arial"/>
                <w:sz w:val="7"/>
                <w:szCs w:val="7"/>
                <w:color w:val="auto"/>
              </w:rPr>
              <w:t>26</w:t>
            </w:r>
          </w:p>
        </w:tc>
        <w:tc>
          <w:tcPr>
            <w:tcW w:w="200" w:type="dxa"/>
            <w:vAlign w:val="bottom"/>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Food &amp; beverage revenue</w:t>
            </w: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11,663</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19%</w:t>
            </w: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8,671</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18%</w:t>
            </w: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31,108</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19%</w:t>
            </w: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25,436</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17%</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35</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22</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tcBorders>
              <w:bottom w:val="single" w:sz="8" w:color="CCEEFF"/>
            </w:tcBorders>
          </w:tcPr>
          <w:p>
            <w:pPr>
              <w:spacing w:after="0"/>
              <w:rPr>
                <w:sz w:val="5"/>
                <w:szCs w:val="5"/>
                <w:color w:val="auto"/>
              </w:rPr>
            </w:pPr>
          </w:p>
        </w:tc>
        <w:tc>
          <w:tcPr>
            <w:tcW w:w="2820" w:type="dxa"/>
            <w:vAlign w:val="bottom"/>
            <w:tcBorders>
              <w:bottom w:val="single" w:sz="8" w:color="CCEEFF"/>
            </w:tcBorders>
          </w:tcPr>
          <w:p>
            <w:pPr>
              <w:ind w:left="120"/>
              <w:spacing w:after="0" w:line="68" w:lineRule="exact"/>
              <w:rPr>
                <w:sz w:val="20"/>
                <w:szCs w:val="20"/>
                <w:color w:val="auto"/>
              </w:rPr>
            </w:pPr>
            <w:r>
              <w:rPr>
                <w:rFonts w:ascii="Arial" w:cs="Arial" w:eastAsia="Arial" w:hAnsi="Arial"/>
                <w:sz w:val="7"/>
                <w:szCs w:val="7"/>
                <w:color w:val="auto"/>
              </w:rPr>
              <w:t>Advertising and other revenue</w:t>
            </w: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3,074</w:t>
            </w:r>
          </w:p>
        </w:tc>
        <w:tc>
          <w:tcPr>
            <w:tcW w:w="50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5%</w:t>
            </w:r>
          </w:p>
        </w:tc>
        <w:tc>
          <w:tcPr>
            <w:tcW w:w="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ind w:left="40"/>
              <w:spacing w:after="0" w:line="68" w:lineRule="exact"/>
              <w:rPr>
                <w:sz w:val="20"/>
                <w:szCs w:val="20"/>
                <w:color w:val="auto"/>
              </w:rPr>
            </w:pPr>
            <w:r>
              <w:rPr>
                <w:rFonts w:ascii="Arial" w:cs="Arial" w:eastAsia="Arial" w:hAnsi="Arial"/>
                <w:sz w:val="7"/>
                <w:szCs w:val="7"/>
                <w:color w:val="auto"/>
              </w:rPr>
              <w:t>2,417</w:t>
            </w:r>
          </w:p>
        </w:tc>
        <w:tc>
          <w:tcPr>
            <w:tcW w:w="50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5%</w:t>
            </w:r>
          </w:p>
        </w:tc>
        <w:tc>
          <w:tcPr>
            <w:tcW w:w="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8,700</w:t>
            </w:r>
          </w:p>
        </w:tc>
        <w:tc>
          <w:tcPr>
            <w:tcW w:w="56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5%</w:t>
            </w: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color w:val="auto"/>
              </w:rPr>
              <w:t>7,281</w:t>
            </w:r>
          </w:p>
        </w:tc>
        <w:tc>
          <w:tcPr>
            <w:tcW w:w="52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5%</w:t>
            </w:r>
          </w:p>
        </w:tc>
        <w:tc>
          <w:tcPr>
            <w:tcW w:w="500" w:type="dxa"/>
            <w:vAlign w:val="bottom"/>
            <w:tcBorders>
              <w:bottom w:val="single" w:sz="8" w:color="CCEEFF"/>
            </w:tcBorders>
            <w:gridSpan w:val="2"/>
          </w:tcPr>
          <w:p>
            <w:pPr>
              <w:ind w:left="80"/>
              <w:spacing w:after="0" w:line="68" w:lineRule="exact"/>
              <w:rPr>
                <w:sz w:val="20"/>
                <w:szCs w:val="20"/>
                <w:color w:val="auto"/>
              </w:rPr>
            </w:pPr>
            <w:r>
              <w:rPr>
                <w:rFonts w:ascii="Arial" w:cs="Arial" w:eastAsia="Arial" w:hAnsi="Arial"/>
                <w:sz w:val="7"/>
                <w:szCs w:val="7"/>
                <w:color w:val="auto"/>
              </w:rPr>
              <w:t>27</w:t>
            </w:r>
          </w:p>
        </w:tc>
        <w:tc>
          <w:tcPr>
            <w:tcW w:w="220" w:type="dxa"/>
            <w:vAlign w:val="bottom"/>
            <w:tcBorders>
              <w:bottom w:val="single" w:sz="8" w:color="CCEEFF"/>
            </w:tcBorders>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Borders>
              <w:bottom w:val="single" w:sz="8" w:color="CCEEFF"/>
            </w:tcBorders>
          </w:tcPr>
          <w:p>
            <w:pPr>
              <w:ind w:left="60"/>
              <w:spacing w:after="0" w:line="68" w:lineRule="exact"/>
              <w:rPr>
                <w:sz w:val="20"/>
                <w:szCs w:val="20"/>
                <w:color w:val="auto"/>
              </w:rPr>
            </w:pPr>
            <w:r>
              <w:rPr>
                <w:rFonts w:ascii="Arial" w:cs="Arial" w:eastAsia="Arial" w:hAnsi="Arial"/>
                <w:sz w:val="7"/>
                <w:szCs w:val="7"/>
                <w:color w:val="auto"/>
              </w:rPr>
              <w:t>19</w:t>
            </w:r>
          </w:p>
        </w:tc>
        <w:tc>
          <w:tcPr>
            <w:tcW w:w="200" w:type="dxa"/>
            <w:vAlign w:val="bottom"/>
            <w:tcBorders>
              <w:bottom w:val="single" w:sz="8" w:color="CCEEFF"/>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55"/>
        </w:trPr>
        <w:tc>
          <w:tcPr>
            <w:tcW w:w="1080" w:type="dxa"/>
            <w:vAlign w:val="bottom"/>
            <w:shd w:val="clear" w:color="auto" w:fill="CCEEFF"/>
          </w:tcPr>
          <w:p>
            <w:pPr>
              <w:spacing w:after="0"/>
              <w:rPr>
                <w:sz w:val="4"/>
                <w:szCs w:val="4"/>
                <w:color w:val="auto"/>
              </w:rPr>
            </w:pPr>
          </w:p>
        </w:tc>
        <w:tc>
          <w:tcPr>
            <w:tcW w:w="282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20"/>
              <w:spacing w:after="0" w:line="55" w:lineRule="exact"/>
              <w:rPr>
                <w:sz w:val="20"/>
                <w:szCs w:val="20"/>
                <w:color w:val="auto"/>
              </w:rPr>
            </w:pPr>
            <w:r>
              <w:rPr>
                <w:rFonts w:ascii="Arial" w:cs="Arial" w:eastAsia="Arial" w:hAnsi="Arial"/>
                <w:sz w:val="6"/>
                <w:szCs w:val="6"/>
                <w:b w:val="1"/>
                <w:bCs w:val="1"/>
                <w:color w:val="auto"/>
              </w:rPr>
              <w:t>34,232</w:t>
            </w:r>
          </w:p>
        </w:tc>
        <w:tc>
          <w:tcPr>
            <w:tcW w:w="5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55%</w:t>
            </w:r>
          </w:p>
        </w:tc>
        <w:tc>
          <w:tcPr>
            <w:tcW w:w="6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80" w:type="dxa"/>
            <w:vAlign w:val="bottom"/>
            <w:shd w:val="clear" w:color="auto" w:fill="CCEEFF"/>
          </w:tcPr>
          <w:p>
            <w:pPr>
              <w:ind w:left="40"/>
              <w:spacing w:after="0" w:line="55" w:lineRule="exact"/>
              <w:rPr>
                <w:sz w:val="20"/>
                <w:szCs w:val="20"/>
                <w:color w:val="auto"/>
              </w:rPr>
            </w:pPr>
            <w:r>
              <w:rPr>
                <w:rFonts w:ascii="Arial" w:cs="Arial" w:eastAsia="Arial" w:hAnsi="Arial"/>
                <w:sz w:val="6"/>
                <w:szCs w:val="6"/>
                <w:b w:val="1"/>
                <w:bCs w:val="1"/>
                <w:color w:val="auto"/>
              </w:rPr>
              <w:t>24,676</w:t>
            </w:r>
          </w:p>
        </w:tc>
        <w:tc>
          <w:tcPr>
            <w:tcW w:w="5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51%</w:t>
            </w: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20"/>
              <w:spacing w:after="0" w:line="55" w:lineRule="exact"/>
              <w:rPr>
                <w:sz w:val="20"/>
                <w:szCs w:val="20"/>
                <w:color w:val="auto"/>
              </w:rPr>
            </w:pPr>
            <w:r>
              <w:rPr>
                <w:rFonts w:ascii="Arial" w:cs="Arial" w:eastAsia="Arial" w:hAnsi="Arial"/>
                <w:sz w:val="6"/>
                <w:szCs w:val="6"/>
                <w:b w:val="1"/>
                <w:bCs w:val="1"/>
                <w:color w:val="auto"/>
              </w:rPr>
              <w:t>90,058</w:t>
            </w:r>
          </w:p>
        </w:tc>
        <w:tc>
          <w:tcPr>
            <w:tcW w:w="56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54%</w:t>
            </w:r>
          </w:p>
        </w:tc>
        <w:tc>
          <w:tcPr>
            <w:tcW w:w="12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4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72,532</w:t>
            </w:r>
          </w:p>
        </w:tc>
        <w:tc>
          <w:tcPr>
            <w:tcW w:w="52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49%</w:t>
            </w:r>
          </w:p>
        </w:tc>
        <w:tc>
          <w:tcPr>
            <w:tcW w:w="500" w:type="dxa"/>
            <w:vAlign w:val="bottom"/>
            <w:gridSpan w:val="2"/>
            <w:shd w:val="clear" w:color="auto" w:fill="CCEEFF"/>
          </w:tcPr>
          <w:p>
            <w:pPr>
              <w:ind w:left="80"/>
              <w:spacing w:after="0" w:line="55" w:lineRule="exact"/>
              <w:rPr>
                <w:sz w:val="20"/>
                <w:szCs w:val="20"/>
                <w:color w:val="auto"/>
              </w:rPr>
            </w:pPr>
            <w:r>
              <w:rPr>
                <w:rFonts w:ascii="Arial" w:cs="Arial" w:eastAsia="Arial" w:hAnsi="Arial"/>
                <w:sz w:val="6"/>
                <w:szCs w:val="6"/>
                <w:b w:val="1"/>
                <w:bCs w:val="1"/>
                <w:color w:val="auto"/>
              </w:rPr>
              <w:t>39</w:t>
            </w:r>
          </w:p>
        </w:tc>
        <w:tc>
          <w:tcPr>
            <w:tcW w:w="220" w:type="dxa"/>
            <w:vAlign w:val="bottom"/>
            <w:shd w:val="clear" w:color="auto" w:fill="CCEEFF"/>
          </w:tcPr>
          <w:p>
            <w:pPr>
              <w:jc w:val="right"/>
              <w:ind w:right="8"/>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60"/>
              <w:spacing w:after="0" w:line="55" w:lineRule="exact"/>
              <w:rPr>
                <w:sz w:val="20"/>
                <w:szCs w:val="20"/>
                <w:color w:val="auto"/>
              </w:rPr>
            </w:pPr>
            <w:r>
              <w:rPr>
                <w:rFonts w:ascii="Arial" w:cs="Arial" w:eastAsia="Arial" w:hAnsi="Arial"/>
                <w:sz w:val="6"/>
                <w:szCs w:val="6"/>
                <w:b w:val="1"/>
                <w:bCs w:val="1"/>
                <w:color w:val="auto"/>
              </w:rPr>
              <w:t>24</w:t>
            </w:r>
          </w:p>
        </w:tc>
        <w:tc>
          <w:tcPr>
            <w:tcW w:w="200" w:type="dxa"/>
            <w:vAlign w:val="bottom"/>
            <w:shd w:val="clear" w:color="auto" w:fill="CCEEFF"/>
          </w:tcPr>
          <w:p>
            <w:pPr>
              <w:jc w:val="right"/>
              <w:ind w:right="48"/>
              <w:spacing w:after="0" w:line="55"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68"/>
        </w:trPr>
        <w:tc>
          <w:tcPr>
            <w:tcW w:w="1080" w:type="dxa"/>
            <w:vAlign w:val="bottom"/>
          </w:tcPr>
          <w:p>
            <w:pPr>
              <w:ind w:left="200"/>
              <w:spacing w:after="0" w:line="68" w:lineRule="exact"/>
              <w:rPr>
                <w:sz w:val="20"/>
                <w:szCs w:val="20"/>
                <w:color w:val="auto"/>
              </w:rPr>
            </w:pPr>
            <w:r>
              <w:rPr>
                <w:rFonts w:ascii="Arial" w:cs="Arial" w:eastAsia="Arial" w:hAnsi="Arial"/>
                <w:sz w:val="7"/>
                <w:szCs w:val="7"/>
                <w:b w:val="1"/>
                <w:bCs w:val="1"/>
                <w:color w:val="auto"/>
              </w:rPr>
              <w:t>Australia</w:t>
            </w:r>
          </w:p>
        </w:tc>
        <w:tc>
          <w:tcPr>
            <w:tcW w:w="2820" w:type="dxa"/>
            <w:vAlign w:val="bottom"/>
          </w:tcPr>
          <w:p>
            <w:pPr>
              <w:ind w:left="120"/>
              <w:spacing w:after="0" w:line="68" w:lineRule="exact"/>
              <w:rPr>
                <w:sz w:val="20"/>
                <w:szCs w:val="20"/>
                <w:color w:val="auto"/>
              </w:rPr>
            </w:pPr>
            <w:r>
              <w:rPr>
                <w:rFonts w:ascii="Arial" w:cs="Arial" w:eastAsia="Arial" w:hAnsi="Arial"/>
                <w:sz w:val="7"/>
                <w:szCs w:val="7"/>
                <w:color w:val="auto"/>
              </w:rPr>
              <w:t>Admissions revenue</w:t>
            </w:r>
          </w:p>
        </w:tc>
        <w:tc>
          <w:tcPr>
            <w:tcW w:w="80" w:type="dxa"/>
            <w:vAlign w:val="bottom"/>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14,918</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24%</w:t>
            </w:r>
          </w:p>
        </w:tc>
        <w:tc>
          <w:tcPr>
            <w:tcW w:w="60" w:type="dxa"/>
            <w:vAlign w:val="bottom"/>
          </w:tcPr>
          <w:p>
            <w:pPr>
              <w:spacing w:after="0" w:line="68" w:lineRule="exact"/>
              <w:rPr>
                <w:sz w:val="20"/>
                <w:szCs w:val="20"/>
                <w:color w:val="auto"/>
              </w:rPr>
            </w:pPr>
            <w:r>
              <w:rPr>
                <w:rFonts w:ascii="Arial" w:cs="Arial" w:eastAsia="Arial" w:hAnsi="Arial"/>
                <w:sz w:val="7"/>
                <w:szCs w:val="7"/>
                <w:color w:val="auto"/>
              </w:rPr>
              <w:t>$</w:t>
            </w:r>
          </w:p>
        </w:tc>
        <w:tc>
          <w:tcPr>
            <w:tcW w:w="680" w:type="dxa"/>
            <w:vAlign w:val="bottom"/>
          </w:tcPr>
          <w:p>
            <w:pPr>
              <w:ind w:left="40"/>
              <w:spacing w:after="0" w:line="68" w:lineRule="exact"/>
              <w:rPr>
                <w:sz w:val="20"/>
                <w:szCs w:val="20"/>
                <w:color w:val="auto"/>
              </w:rPr>
            </w:pPr>
            <w:r>
              <w:rPr>
                <w:rFonts w:ascii="Arial" w:cs="Arial" w:eastAsia="Arial" w:hAnsi="Arial"/>
                <w:sz w:val="7"/>
                <w:szCs w:val="7"/>
                <w:color w:val="auto"/>
              </w:rPr>
              <w:t>12,404</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26%</w:t>
            </w:r>
          </w:p>
        </w:tc>
        <w:tc>
          <w:tcPr>
            <w:tcW w:w="6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39,428</w:t>
            </w:r>
          </w:p>
        </w:tc>
        <w:tc>
          <w:tcPr>
            <w:tcW w:w="560" w:type="dxa"/>
            <w:vAlign w:val="bottom"/>
          </w:tcPr>
          <w:p>
            <w:pPr>
              <w:spacing w:after="0" w:line="68" w:lineRule="exact"/>
              <w:rPr>
                <w:sz w:val="20"/>
                <w:szCs w:val="20"/>
                <w:color w:val="auto"/>
              </w:rPr>
            </w:pPr>
            <w:r>
              <w:rPr>
                <w:rFonts w:ascii="Arial" w:cs="Arial" w:eastAsia="Arial" w:hAnsi="Arial"/>
                <w:sz w:val="7"/>
                <w:szCs w:val="7"/>
                <w:i w:val="1"/>
                <w:iCs w:val="1"/>
                <w:color w:val="auto"/>
              </w:rPr>
              <w:t>24%</w:t>
            </w:r>
          </w:p>
        </w:tc>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640" w:type="dxa"/>
            <w:vAlign w:val="bottom"/>
          </w:tcPr>
          <w:p>
            <w:pPr>
              <w:spacing w:after="0" w:line="68" w:lineRule="exact"/>
              <w:rPr>
                <w:sz w:val="20"/>
                <w:szCs w:val="20"/>
                <w:color w:val="auto"/>
              </w:rPr>
            </w:pPr>
            <w:r>
              <w:rPr>
                <w:rFonts w:ascii="Arial" w:cs="Arial" w:eastAsia="Arial" w:hAnsi="Arial"/>
                <w:sz w:val="7"/>
                <w:szCs w:val="7"/>
                <w:color w:val="auto"/>
              </w:rPr>
              <w:t>39,125</w:t>
            </w:r>
          </w:p>
        </w:tc>
        <w:tc>
          <w:tcPr>
            <w:tcW w:w="520" w:type="dxa"/>
            <w:vAlign w:val="bottom"/>
          </w:tcPr>
          <w:p>
            <w:pPr>
              <w:spacing w:after="0" w:line="68" w:lineRule="exact"/>
              <w:rPr>
                <w:sz w:val="20"/>
                <w:szCs w:val="20"/>
                <w:color w:val="auto"/>
              </w:rPr>
            </w:pPr>
            <w:r>
              <w:rPr>
                <w:rFonts w:ascii="Arial" w:cs="Arial" w:eastAsia="Arial" w:hAnsi="Arial"/>
                <w:sz w:val="7"/>
                <w:szCs w:val="7"/>
                <w:i w:val="1"/>
                <w:iCs w:val="1"/>
                <w:color w:val="auto"/>
              </w:rPr>
              <w:t>27%</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color w:val="auto"/>
              </w:rPr>
              <w:t>20</w:t>
            </w:r>
          </w:p>
        </w:tc>
        <w:tc>
          <w:tcPr>
            <w:tcW w:w="220" w:type="dxa"/>
            <w:vAlign w:val="bottom"/>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60"/>
              <w:spacing w:after="0" w:line="68" w:lineRule="exact"/>
              <w:rPr>
                <w:sz w:val="20"/>
                <w:szCs w:val="20"/>
                <w:color w:val="auto"/>
              </w:rPr>
            </w:pPr>
            <w:r>
              <w:rPr>
                <w:rFonts w:ascii="Arial" w:cs="Arial" w:eastAsia="Arial" w:hAnsi="Arial"/>
                <w:sz w:val="7"/>
                <w:szCs w:val="7"/>
                <w:color w:val="auto"/>
              </w:rPr>
              <w:t>1</w:t>
            </w:r>
          </w:p>
        </w:tc>
        <w:tc>
          <w:tcPr>
            <w:tcW w:w="200" w:type="dxa"/>
            <w:vAlign w:val="bottom"/>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Food &amp; beverage revenue</w:t>
            </w: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7,856</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13%</w:t>
            </w: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6,486</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13%</w:t>
            </w: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21,016</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13%</w:t>
            </w: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21,007</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14%</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21</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tcBorders>
              <w:bottom w:val="single" w:sz="8" w:color="CCEEFF"/>
            </w:tcBorders>
          </w:tcPr>
          <w:p>
            <w:pPr>
              <w:spacing w:after="0"/>
              <w:rPr>
                <w:sz w:val="5"/>
                <w:szCs w:val="5"/>
                <w:color w:val="auto"/>
              </w:rPr>
            </w:pPr>
          </w:p>
        </w:tc>
        <w:tc>
          <w:tcPr>
            <w:tcW w:w="2820" w:type="dxa"/>
            <w:vAlign w:val="bottom"/>
            <w:tcBorders>
              <w:bottom w:val="single" w:sz="8" w:color="CCEEFF"/>
            </w:tcBorders>
          </w:tcPr>
          <w:p>
            <w:pPr>
              <w:ind w:left="120"/>
              <w:spacing w:after="0" w:line="68" w:lineRule="exact"/>
              <w:rPr>
                <w:sz w:val="20"/>
                <w:szCs w:val="20"/>
                <w:color w:val="auto"/>
              </w:rPr>
            </w:pPr>
            <w:r>
              <w:rPr>
                <w:rFonts w:ascii="Arial" w:cs="Arial" w:eastAsia="Arial" w:hAnsi="Arial"/>
                <w:sz w:val="7"/>
                <w:szCs w:val="7"/>
                <w:color w:val="auto"/>
              </w:rPr>
              <w:t>Advertising and other revenue</w:t>
            </w: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1,412</w:t>
            </w:r>
          </w:p>
        </w:tc>
        <w:tc>
          <w:tcPr>
            <w:tcW w:w="50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2%</w:t>
            </w:r>
          </w:p>
        </w:tc>
        <w:tc>
          <w:tcPr>
            <w:tcW w:w="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ind w:left="40"/>
              <w:spacing w:after="0" w:line="68" w:lineRule="exact"/>
              <w:rPr>
                <w:sz w:val="20"/>
                <w:szCs w:val="20"/>
                <w:color w:val="auto"/>
              </w:rPr>
            </w:pPr>
            <w:r>
              <w:rPr>
                <w:rFonts w:ascii="Arial" w:cs="Arial" w:eastAsia="Arial" w:hAnsi="Arial"/>
                <w:sz w:val="7"/>
                <w:szCs w:val="7"/>
                <w:color w:val="auto"/>
              </w:rPr>
              <w:t>1,124</w:t>
            </w:r>
          </w:p>
        </w:tc>
        <w:tc>
          <w:tcPr>
            <w:tcW w:w="50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2%</w:t>
            </w:r>
          </w:p>
        </w:tc>
        <w:tc>
          <w:tcPr>
            <w:tcW w:w="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3,894</w:t>
            </w:r>
          </w:p>
        </w:tc>
        <w:tc>
          <w:tcPr>
            <w:tcW w:w="56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2%</w:t>
            </w: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color w:val="auto"/>
              </w:rPr>
              <w:t>3,665</w:t>
            </w:r>
          </w:p>
        </w:tc>
        <w:tc>
          <w:tcPr>
            <w:tcW w:w="52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2%</w:t>
            </w:r>
          </w:p>
        </w:tc>
        <w:tc>
          <w:tcPr>
            <w:tcW w:w="500" w:type="dxa"/>
            <w:vAlign w:val="bottom"/>
            <w:tcBorders>
              <w:bottom w:val="single" w:sz="8" w:color="CCEEFF"/>
            </w:tcBorders>
            <w:gridSpan w:val="2"/>
          </w:tcPr>
          <w:p>
            <w:pPr>
              <w:ind w:left="80"/>
              <w:spacing w:after="0" w:line="68" w:lineRule="exact"/>
              <w:rPr>
                <w:sz w:val="20"/>
                <w:szCs w:val="20"/>
                <w:color w:val="auto"/>
              </w:rPr>
            </w:pPr>
            <w:r>
              <w:rPr>
                <w:rFonts w:ascii="Arial" w:cs="Arial" w:eastAsia="Arial" w:hAnsi="Arial"/>
                <w:sz w:val="7"/>
                <w:szCs w:val="7"/>
                <w:color w:val="auto"/>
              </w:rPr>
              <w:t>26</w:t>
            </w:r>
          </w:p>
        </w:tc>
        <w:tc>
          <w:tcPr>
            <w:tcW w:w="220" w:type="dxa"/>
            <w:vAlign w:val="bottom"/>
            <w:tcBorders>
              <w:bottom w:val="single" w:sz="8" w:color="CCEEFF"/>
            </w:tcBorders>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Borders>
              <w:bottom w:val="single" w:sz="8" w:color="CCEEFF"/>
            </w:tcBorders>
          </w:tcPr>
          <w:p>
            <w:pPr>
              <w:ind w:left="60"/>
              <w:spacing w:after="0" w:line="68" w:lineRule="exact"/>
              <w:rPr>
                <w:sz w:val="20"/>
                <w:szCs w:val="20"/>
                <w:color w:val="auto"/>
              </w:rPr>
            </w:pPr>
            <w:r>
              <w:rPr>
                <w:rFonts w:ascii="Arial" w:cs="Arial" w:eastAsia="Arial" w:hAnsi="Arial"/>
                <w:sz w:val="7"/>
                <w:szCs w:val="7"/>
                <w:color w:val="auto"/>
              </w:rPr>
              <w:t>6</w:t>
            </w:r>
          </w:p>
        </w:tc>
        <w:tc>
          <w:tcPr>
            <w:tcW w:w="200" w:type="dxa"/>
            <w:vAlign w:val="bottom"/>
            <w:tcBorders>
              <w:bottom w:val="single" w:sz="8" w:color="CCEEFF"/>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55"/>
        </w:trPr>
        <w:tc>
          <w:tcPr>
            <w:tcW w:w="1080" w:type="dxa"/>
            <w:vAlign w:val="bottom"/>
            <w:shd w:val="clear" w:color="auto" w:fill="CCEEFF"/>
          </w:tcPr>
          <w:p>
            <w:pPr>
              <w:spacing w:after="0"/>
              <w:rPr>
                <w:sz w:val="4"/>
                <w:szCs w:val="4"/>
                <w:color w:val="auto"/>
              </w:rPr>
            </w:pPr>
          </w:p>
        </w:tc>
        <w:tc>
          <w:tcPr>
            <w:tcW w:w="282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20"/>
              <w:spacing w:after="0" w:line="55" w:lineRule="exact"/>
              <w:rPr>
                <w:sz w:val="20"/>
                <w:szCs w:val="20"/>
                <w:color w:val="auto"/>
              </w:rPr>
            </w:pPr>
            <w:r>
              <w:rPr>
                <w:rFonts w:ascii="Arial" w:cs="Arial" w:eastAsia="Arial" w:hAnsi="Arial"/>
                <w:sz w:val="6"/>
                <w:szCs w:val="6"/>
                <w:b w:val="1"/>
                <w:bCs w:val="1"/>
                <w:color w:val="auto"/>
              </w:rPr>
              <w:t>24,186</w:t>
            </w:r>
          </w:p>
        </w:tc>
        <w:tc>
          <w:tcPr>
            <w:tcW w:w="5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39%</w:t>
            </w:r>
          </w:p>
        </w:tc>
        <w:tc>
          <w:tcPr>
            <w:tcW w:w="6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80" w:type="dxa"/>
            <w:vAlign w:val="bottom"/>
            <w:shd w:val="clear" w:color="auto" w:fill="CCEEFF"/>
          </w:tcPr>
          <w:p>
            <w:pPr>
              <w:ind w:left="40"/>
              <w:spacing w:after="0" w:line="55" w:lineRule="exact"/>
              <w:rPr>
                <w:sz w:val="20"/>
                <w:szCs w:val="20"/>
                <w:color w:val="auto"/>
              </w:rPr>
            </w:pPr>
            <w:r>
              <w:rPr>
                <w:rFonts w:ascii="Arial" w:cs="Arial" w:eastAsia="Arial" w:hAnsi="Arial"/>
                <w:sz w:val="6"/>
                <w:szCs w:val="6"/>
                <w:b w:val="1"/>
                <w:bCs w:val="1"/>
                <w:color w:val="auto"/>
              </w:rPr>
              <w:t>20,014</w:t>
            </w:r>
          </w:p>
        </w:tc>
        <w:tc>
          <w:tcPr>
            <w:tcW w:w="5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41%</w:t>
            </w: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20"/>
              <w:spacing w:after="0" w:line="55" w:lineRule="exact"/>
              <w:rPr>
                <w:sz w:val="20"/>
                <w:szCs w:val="20"/>
                <w:color w:val="auto"/>
              </w:rPr>
            </w:pPr>
            <w:r>
              <w:rPr>
                <w:rFonts w:ascii="Arial" w:cs="Arial" w:eastAsia="Arial" w:hAnsi="Arial"/>
                <w:sz w:val="6"/>
                <w:szCs w:val="6"/>
                <w:b w:val="1"/>
                <w:bCs w:val="1"/>
                <w:color w:val="auto"/>
              </w:rPr>
              <w:t>64,338</w:t>
            </w:r>
          </w:p>
        </w:tc>
        <w:tc>
          <w:tcPr>
            <w:tcW w:w="56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39%</w:t>
            </w:r>
          </w:p>
        </w:tc>
        <w:tc>
          <w:tcPr>
            <w:tcW w:w="12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4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63,797</w:t>
            </w:r>
          </w:p>
        </w:tc>
        <w:tc>
          <w:tcPr>
            <w:tcW w:w="52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43%</w:t>
            </w:r>
          </w:p>
        </w:tc>
        <w:tc>
          <w:tcPr>
            <w:tcW w:w="500" w:type="dxa"/>
            <w:vAlign w:val="bottom"/>
            <w:gridSpan w:val="2"/>
            <w:shd w:val="clear" w:color="auto" w:fill="CCEEFF"/>
          </w:tcPr>
          <w:p>
            <w:pPr>
              <w:ind w:left="80"/>
              <w:spacing w:after="0" w:line="55" w:lineRule="exact"/>
              <w:rPr>
                <w:sz w:val="20"/>
                <w:szCs w:val="20"/>
                <w:color w:val="auto"/>
              </w:rPr>
            </w:pPr>
            <w:r>
              <w:rPr>
                <w:rFonts w:ascii="Arial" w:cs="Arial" w:eastAsia="Arial" w:hAnsi="Arial"/>
                <w:sz w:val="6"/>
                <w:szCs w:val="6"/>
                <w:b w:val="1"/>
                <w:bCs w:val="1"/>
                <w:color w:val="auto"/>
              </w:rPr>
              <w:t>21</w:t>
            </w:r>
          </w:p>
        </w:tc>
        <w:tc>
          <w:tcPr>
            <w:tcW w:w="220" w:type="dxa"/>
            <w:vAlign w:val="bottom"/>
            <w:shd w:val="clear" w:color="auto" w:fill="CCEEFF"/>
          </w:tcPr>
          <w:p>
            <w:pPr>
              <w:jc w:val="right"/>
              <w:ind w:right="8"/>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60"/>
              <w:spacing w:after="0" w:line="55" w:lineRule="exact"/>
              <w:rPr>
                <w:sz w:val="20"/>
                <w:szCs w:val="20"/>
                <w:color w:val="auto"/>
              </w:rPr>
            </w:pPr>
            <w:r>
              <w:rPr>
                <w:rFonts w:ascii="Arial" w:cs="Arial" w:eastAsia="Arial" w:hAnsi="Arial"/>
                <w:sz w:val="6"/>
                <w:szCs w:val="6"/>
                <w:b w:val="1"/>
                <w:bCs w:val="1"/>
                <w:color w:val="auto"/>
              </w:rPr>
              <w:t>1</w:t>
            </w:r>
          </w:p>
        </w:tc>
        <w:tc>
          <w:tcPr>
            <w:tcW w:w="200" w:type="dxa"/>
            <w:vAlign w:val="bottom"/>
            <w:shd w:val="clear" w:color="auto" w:fill="CCEEFF"/>
          </w:tcPr>
          <w:p>
            <w:pPr>
              <w:jc w:val="right"/>
              <w:ind w:right="48"/>
              <w:spacing w:after="0" w:line="55"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68"/>
        </w:trPr>
        <w:tc>
          <w:tcPr>
            <w:tcW w:w="1080" w:type="dxa"/>
            <w:vAlign w:val="bottom"/>
          </w:tcPr>
          <w:p>
            <w:pPr>
              <w:ind w:left="200"/>
              <w:spacing w:after="0" w:line="68" w:lineRule="exact"/>
              <w:rPr>
                <w:sz w:val="20"/>
                <w:szCs w:val="20"/>
                <w:color w:val="auto"/>
              </w:rPr>
            </w:pPr>
            <w:r>
              <w:rPr>
                <w:rFonts w:ascii="Arial" w:cs="Arial" w:eastAsia="Arial" w:hAnsi="Arial"/>
                <w:sz w:val="7"/>
                <w:szCs w:val="7"/>
                <w:b w:val="1"/>
                <w:bCs w:val="1"/>
                <w:color w:val="auto"/>
              </w:rPr>
              <w:t>New Zealand</w:t>
            </w:r>
          </w:p>
        </w:tc>
        <w:tc>
          <w:tcPr>
            <w:tcW w:w="2820" w:type="dxa"/>
            <w:vAlign w:val="bottom"/>
          </w:tcPr>
          <w:p>
            <w:pPr>
              <w:ind w:left="120"/>
              <w:spacing w:after="0" w:line="68" w:lineRule="exact"/>
              <w:rPr>
                <w:sz w:val="20"/>
                <w:szCs w:val="20"/>
                <w:color w:val="auto"/>
              </w:rPr>
            </w:pPr>
            <w:r>
              <w:rPr>
                <w:rFonts w:ascii="Arial" w:cs="Arial" w:eastAsia="Arial" w:hAnsi="Arial"/>
                <w:sz w:val="7"/>
                <w:szCs w:val="7"/>
                <w:color w:val="auto"/>
              </w:rPr>
              <w:t>Admissions revenue</w:t>
            </w:r>
          </w:p>
        </w:tc>
        <w:tc>
          <w:tcPr>
            <w:tcW w:w="80" w:type="dxa"/>
            <w:vAlign w:val="bottom"/>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2,668</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4%</w:t>
            </w:r>
          </w:p>
        </w:tc>
        <w:tc>
          <w:tcPr>
            <w:tcW w:w="60" w:type="dxa"/>
            <w:vAlign w:val="bottom"/>
          </w:tcPr>
          <w:p>
            <w:pPr>
              <w:spacing w:after="0" w:line="68" w:lineRule="exact"/>
              <w:rPr>
                <w:sz w:val="20"/>
                <w:szCs w:val="20"/>
                <w:color w:val="auto"/>
              </w:rPr>
            </w:pPr>
            <w:r>
              <w:rPr>
                <w:rFonts w:ascii="Arial" w:cs="Arial" w:eastAsia="Arial" w:hAnsi="Arial"/>
                <w:sz w:val="7"/>
                <w:szCs w:val="7"/>
                <w:color w:val="auto"/>
              </w:rPr>
              <w:t>$</w:t>
            </w:r>
          </w:p>
        </w:tc>
        <w:tc>
          <w:tcPr>
            <w:tcW w:w="680" w:type="dxa"/>
            <w:vAlign w:val="bottom"/>
          </w:tcPr>
          <w:p>
            <w:pPr>
              <w:ind w:left="40"/>
              <w:spacing w:after="0" w:line="68" w:lineRule="exact"/>
              <w:rPr>
                <w:sz w:val="20"/>
                <w:szCs w:val="20"/>
                <w:color w:val="auto"/>
              </w:rPr>
            </w:pPr>
            <w:r>
              <w:rPr>
                <w:rFonts w:ascii="Arial" w:cs="Arial" w:eastAsia="Arial" w:hAnsi="Arial"/>
                <w:sz w:val="7"/>
                <w:szCs w:val="7"/>
                <w:color w:val="auto"/>
              </w:rPr>
              <w:t>2,287</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5%</w:t>
            </w:r>
          </w:p>
        </w:tc>
        <w:tc>
          <w:tcPr>
            <w:tcW w:w="6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6,989</w:t>
            </w:r>
          </w:p>
        </w:tc>
        <w:tc>
          <w:tcPr>
            <w:tcW w:w="560" w:type="dxa"/>
            <w:vAlign w:val="bottom"/>
          </w:tcPr>
          <w:p>
            <w:pPr>
              <w:spacing w:after="0" w:line="68" w:lineRule="exact"/>
              <w:rPr>
                <w:sz w:val="20"/>
                <w:szCs w:val="20"/>
                <w:color w:val="auto"/>
              </w:rPr>
            </w:pPr>
            <w:r>
              <w:rPr>
                <w:rFonts w:ascii="Arial" w:cs="Arial" w:eastAsia="Arial" w:hAnsi="Arial"/>
                <w:sz w:val="7"/>
                <w:szCs w:val="7"/>
                <w:i w:val="1"/>
                <w:iCs w:val="1"/>
                <w:color w:val="auto"/>
              </w:rPr>
              <w:t>4%</w:t>
            </w:r>
          </w:p>
        </w:tc>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640" w:type="dxa"/>
            <w:vAlign w:val="bottom"/>
          </w:tcPr>
          <w:p>
            <w:pPr>
              <w:spacing w:after="0" w:line="68" w:lineRule="exact"/>
              <w:rPr>
                <w:sz w:val="20"/>
                <w:szCs w:val="20"/>
                <w:color w:val="auto"/>
              </w:rPr>
            </w:pPr>
            <w:r>
              <w:rPr>
                <w:rFonts w:ascii="Arial" w:cs="Arial" w:eastAsia="Arial" w:hAnsi="Arial"/>
                <w:sz w:val="7"/>
                <w:szCs w:val="7"/>
                <w:color w:val="auto"/>
              </w:rPr>
              <w:t>6,919</w:t>
            </w:r>
          </w:p>
        </w:tc>
        <w:tc>
          <w:tcPr>
            <w:tcW w:w="520" w:type="dxa"/>
            <w:vAlign w:val="bottom"/>
          </w:tcPr>
          <w:p>
            <w:pPr>
              <w:spacing w:after="0" w:line="68" w:lineRule="exact"/>
              <w:rPr>
                <w:sz w:val="20"/>
                <w:szCs w:val="20"/>
                <w:color w:val="auto"/>
              </w:rPr>
            </w:pPr>
            <w:r>
              <w:rPr>
                <w:rFonts w:ascii="Arial" w:cs="Arial" w:eastAsia="Arial" w:hAnsi="Arial"/>
                <w:sz w:val="7"/>
                <w:szCs w:val="7"/>
                <w:i w:val="1"/>
                <w:iCs w:val="1"/>
                <w:color w:val="auto"/>
              </w:rPr>
              <w:t>5%</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color w:val="auto"/>
              </w:rPr>
              <w:t>17</w:t>
            </w:r>
          </w:p>
        </w:tc>
        <w:tc>
          <w:tcPr>
            <w:tcW w:w="220" w:type="dxa"/>
            <w:vAlign w:val="bottom"/>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60"/>
              <w:spacing w:after="0" w:line="68" w:lineRule="exact"/>
              <w:rPr>
                <w:sz w:val="20"/>
                <w:szCs w:val="20"/>
                <w:color w:val="auto"/>
              </w:rPr>
            </w:pPr>
            <w:r>
              <w:rPr>
                <w:rFonts w:ascii="Arial" w:cs="Arial" w:eastAsia="Arial" w:hAnsi="Arial"/>
                <w:sz w:val="7"/>
                <w:szCs w:val="7"/>
                <w:color w:val="auto"/>
              </w:rPr>
              <w:t>1</w:t>
            </w:r>
          </w:p>
        </w:tc>
        <w:tc>
          <w:tcPr>
            <w:tcW w:w="200" w:type="dxa"/>
            <w:vAlign w:val="bottom"/>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Food &amp; beverage revenue</w:t>
            </w: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1,383</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2%</w:t>
            </w: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1,191</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2%</w:t>
            </w: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3,774</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2%</w:t>
            </w: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3,646</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2%</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16</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4</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tcBorders>
              <w:bottom w:val="single" w:sz="8" w:color="CCEEFF"/>
            </w:tcBorders>
          </w:tcPr>
          <w:p>
            <w:pPr>
              <w:spacing w:after="0"/>
              <w:rPr>
                <w:sz w:val="5"/>
                <w:szCs w:val="5"/>
                <w:color w:val="auto"/>
              </w:rPr>
            </w:pPr>
          </w:p>
        </w:tc>
        <w:tc>
          <w:tcPr>
            <w:tcW w:w="2820" w:type="dxa"/>
            <w:vAlign w:val="bottom"/>
            <w:tcBorders>
              <w:bottom w:val="single" w:sz="8" w:color="CCEEFF"/>
            </w:tcBorders>
          </w:tcPr>
          <w:p>
            <w:pPr>
              <w:ind w:left="120"/>
              <w:spacing w:after="0" w:line="68" w:lineRule="exact"/>
              <w:rPr>
                <w:sz w:val="20"/>
                <w:szCs w:val="20"/>
                <w:color w:val="auto"/>
              </w:rPr>
            </w:pPr>
            <w:r>
              <w:rPr>
                <w:rFonts w:ascii="Arial" w:cs="Arial" w:eastAsia="Arial" w:hAnsi="Arial"/>
                <w:sz w:val="7"/>
                <w:szCs w:val="7"/>
                <w:color w:val="auto"/>
              </w:rPr>
              <w:t>Advertising and other revenue</w:t>
            </w: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219</w:t>
            </w:r>
          </w:p>
        </w:tc>
        <w:tc>
          <w:tcPr>
            <w:tcW w:w="50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ind w:left="40"/>
              <w:spacing w:after="0" w:line="68" w:lineRule="exact"/>
              <w:rPr>
                <w:sz w:val="20"/>
                <w:szCs w:val="20"/>
                <w:color w:val="auto"/>
              </w:rPr>
            </w:pPr>
            <w:r>
              <w:rPr>
                <w:rFonts w:ascii="Arial" w:cs="Arial" w:eastAsia="Arial" w:hAnsi="Arial"/>
                <w:sz w:val="7"/>
                <w:szCs w:val="7"/>
                <w:color w:val="auto"/>
              </w:rPr>
              <w:t>192</w:t>
            </w:r>
          </w:p>
        </w:tc>
        <w:tc>
          <w:tcPr>
            <w:tcW w:w="50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572</w:t>
            </w:r>
          </w:p>
        </w:tc>
        <w:tc>
          <w:tcPr>
            <w:tcW w:w="56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0%</w:t>
            </w: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color w:val="auto"/>
              </w:rPr>
              <w:t>582</w:t>
            </w:r>
          </w:p>
        </w:tc>
        <w:tc>
          <w:tcPr>
            <w:tcW w:w="52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0%</w:t>
            </w:r>
          </w:p>
        </w:tc>
        <w:tc>
          <w:tcPr>
            <w:tcW w:w="500" w:type="dxa"/>
            <w:vAlign w:val="bottom"/>
            <w:tcBorders>
              <w:bottom w:val="single" w:sz="8" w:color="CCEEFF"/>
            </w:tcBorders>
            <w:gridSpan w:val="2"/>
          </w:tcPr>
          <w:p>
            <w:pPr>
              <w:ind w:left="80"/>
              <w:spacing w:after="0" w:line="68" w:lineRule="exact"/>
              <w:rPr>
                <w:sz w:val="20"/>
                <w:szCs w:val="20"/>
                <w:color w:val="auto"/>
              </w:rPr>
            </w:pPr>
            <w:r>
              <w:rPr>
                <w:rFonts w:ascii="Arial" w:cs="Arial" w:eastAsia="Arial" w:hAnsi="Arial"/>
                <w:sz w:val="7"/>
                <w:szCs w:val="7"/>
                <w:color w:val="auto"/>
              </w:rPr>
              <w:t>14</w:t>
            </w:r>
          </w:p>
        </w:tc>
        <w:tc>
          <w:tcPr>
            <w:tcW w:w="220" w:type="dxa"/>
            <w:vAlign w:val="bottom"/>
            <w:tcBorders>
              <w:bottom w:val="single" w:sz="8" w:color="CCEEFF"/>
            </w:tcBorders>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Borders>
              <w:bottom w:val="single" w:sz="8" w:color="CCEEFF"/>
            </w:tcBorders>
          </w:tcPr>
          <w:p>
            <w:pPr>
              <w:ind w:left="60"/>
              <w:spacing w:after="0" w:line="68" w:lineRule="exact"/>
              <w:rPr>
                <w:sz w:val="20"/>
                <w:szCs w:val="20"/>
                <w:color w:val="auto"/>
              </w:rPr>
            </w:pPr>
            <w:r>
              <w:rPr>
                <w:rFonts w:ascii="Arial" w:cs="Arial" w:eastAsia="Arial" w:hAnsi="Arial"/>
                <w:sz w:val="7"/>
                <w:szCs w:val="7"/>
                <w:color w:val="auto"/>
              </w:rPr>
              <w:t>(2)</w:t>
            </w:r>
          </w:p>
        </w:tc>
        <w:tc>
          <w:tcPr>
            <w:tcW w:w="200" w:type="dxa"/>
            <w:vAlign w:val="bottom"/>
            <w:tcBorders>
              <w:bottom w:val="single" w:sz="8" w:color="CCEEFF"/>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55"/>
        </w:trPr>
        <w:tc>
          <w:tcPr>
            <w:tcW w:w="1080" w:type="dxa"/>
            <w:vAlign w:val="bottom"/>
            <w:shd w:val="clear" w:color="auto" w:fill="CCEEFF"/>
          </w:tcPr>
          <w:p>
            <w:pPr>
              <w:spacing w:after="0"/>
              <w:rPr>
                <w:sz w:val="4"/>
                <w:szCs w:val="4"/>
                <w:color w:val="auto"/>
              </w:rPr>
            </w:pPr>
          </w:p>
        </w:tc>
        <w:tc>
          <w:tcPr>
            <w:tcW w:w="282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20"/>
              <w:spacing w:after="0" w:line="55" w:lineRule="exact"/>
              <w:rPr>
                <w:sz w:val="20"/>
                <w:szCs w:val="20"/>
                <w:color w:val="auto"/>
              </w:rPr>
            </w:pPr>
            <w:r>
              <w:rPr>
                <w:rFonts w:ascii="Arial" w:cs="Arial" w:eastAsia="Arial" w:hAnsi="Arial"/>
                <w:sz w:val="6"/>
                <w:szCs w:val="6"/>
                <w:b w:val="1"/>
                <w:bCs w:val="1"/>
                <w:color w:val="auto"/>
              </w:rPr>
              <w:t>4,270</w:t>
            </w:r>
          </w:p>
        </w:tc>
        <w:tc>
          <w:tcPr>
            <w:tcW w:w="5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7%</w:t>
            </w:r>
          </w:p>
        </w:tc>
        <w:tc>
          <w:tcPr>
            <w:tcW w:w="6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80" w:type="dxa"/>
            <w:vAlign w:val="bottom"/>
            <w:shd w:val="clear" w:color="auto" w:fill="CCEEFF"/>
          </w:tcPr>
          <w:p>
            <w:pPr>
              <w:ind w:left="40"/>
              <w:spacing w:after="0" w:line="55" w:lineRule="exact"/>
              <w:rPr>
                <w:sz w:val="20"/>
                <w:szCs w:val="20"/>
                <w:color w:val="auto"/>
              </w:rPr>
            </w:pPr>
            <w:r>
              <w:rPr>
                <w:rFonts w:ascii="Arial" w:cs="Arial" w:eastAsia="Arial" w:hAnsi="Arial"/>
                <w:sz w:val="6"/>
                <w:szCs w:val="6"/>
                <w:b w:val="1"/>
                <w:bCs w:val="1"/>
                <w:color w:val="auto"/>
              </w:rPr>
              <w:t>3,670</w:t>
            </w:r>
          </w:p>
        </w:tc>
        <w:tc>
          <w:tcPr>
            <w:tcW w:w="5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8%</w:t>
            </w: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20"/>
              <w:spacing w:after="0" w:line="55" w:lineRule="exact"/>
              <w:rPr>
                <w:sz w:val="20"/>
                <w:szCs w:val="20"/>
                <w:color w:val="auto"/>
              </w:rPr>
            </w:pPr>
            <w:r>
              <w:rPr>
                <w:rFonts w:ascii="Arial" w:cs="Arial" w:eastAsia="Arial" w:hAnsi="Arial"/>
                <w:sz w:val="6"/>
                <w:szCs w:val="6"/>
                <w:b w:val="1"/>
                <w:bCs w:val="1"/>
                <w:color w:val="auto"/>
              </w:rPr>
              <w:t>11,335</w:t>
            </w:r>
          </w:p>
        </w:tc>
        <w:tc>
          <w:tcPr>
            <w:tcW w:w="56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7%</w:t>
            </w:r>
          </w:p>
        </w:tc>
        <w:tc>
          <w:tcPr>
            <w:tcW w:w="12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4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11,147</w:t>
            </w:r>
          </w:p>
        </w:tc>
        <w:tc>
          <w:tcPr>
            <w:tcW w:w="52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8%</w:t>
            </w:r>
          </w:p>
        </w:tc>
        <w:tc>
          <w:tcPr>
            <w:tcW w:w="500" w:type="dxa"/>
            <w:vAlign w:val="bottom"/>
            <w:gridSpan w:val="2"/>
            <w:shd w:val="clear" w:color="auto" w:fill="CCEEFF"/>
          </w:tcPr>
          <w:p>
            <w:pPr>
              <w:ind w:left="80"/>
              <w:spacing w:after="0" w:line="55" w:lineRule="exact"/>
              <w:rPr>
                <w:sz w:val="20"/>
                <w:szCs w:val="20"/>
                <w:color w:val="auto"/>
              </w:rPr>
            </w:pPr>
            <w:r>
              <w:rPr>
                <w:rFonts w:ascii="Arial" w:cs="Arial" w:eastAsia="Arial" w:hAnsi="Arial"/>
                <w:sz w:val="6"/>
                <w:szCs w:val="6"/>
                <w:b w:val="1"/>
                <w:bCs w:val="1"/>
                <w:color w:val="auto"/>
              </w:rPr>
              <w:t>16</w:t>
            </w:r>
          </w:p>
        </w:tc>
        <w:tc>
          <w:tcPr>
            <w:tcW w:w="220" w:type="dxa"/>
            <w:vAlign w:val="bottom"/>
            <w:shd w:val="clear" w:color="auto" w:fill="CCEEFF"/>
          </w:tcPr>
          <w:p>
            <w:pPr>
              <w:jc w:val="right"/>
              <w:ind w:right="8"/>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60"/>
              <w:spacing w:after="0" w:line="55" w:lineRule="exact"/>
              <w:rPr>
                <w:sz w:val="20"/>
                <w:szCs w:val="20"/>
                <w:color w:val="auto"/>
              </w:rPr>
            </w:pPr>
            <w:r>
              <w:rPr>
                <w:rFonts w:ascii="Arial" w:cs="Arial" w:eastAsia="Arial" w:hAnsi="Arial"/>
                <w:sz w:val="6"/>
                <w:szCs w:val="6"/>
                <w:b w:val="1"/>
                <w:bCs w:val="1"/>
                <w:color w:val="auto"/>
              </w:rPr>
              <w:t>2</w:t>
            </w:r>
          </w:p>
        </w:tc>
        <w:tc>
          <w:tcPr>
            <w:tcW w:w="200" w:type="dxa"/>
            <w:vAlign w:val="bottom"/>
            <w:shd w:val="clear" w:color="auto" w:fill="CCEEFF"/>
          </w:tcPr>
          <w:p>
            <w:pPr>
              <w:jc w:val="right"/>
              <w:ind w:right="48"/>
              <w:spacing w:after="0" w:line="55"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080" w:type="dxa"/>
            <w:vAlign w:val="bottom"/>
            <w:tcBorders>
              <w:bottom w:val="single" w:sz="8" w:color="CCEEFF"/>
            </w:tcBorders>
            <w:shd w:val="clear" w:color="auto" w:fill="CCEEFF"/>
          </w:tcPr>
          <w:p>
            <w:pPr>
              <w:ind w:left="200"/>
              <w:spacing w:after="0" w:line="48" w:lineRule="exact"/>
              <w:rPr>
                <w:sz w:val="20"/>
                <w:szCs w:val="20"/>
                <w:color w:val="auto"/>
              </w:rPr>
            </w:pPr>
            <w:r>
              <w:rPr>
                <w:rFonts w:ascii="Arial" w:cs="Arial" w:eastAsia="Arial" w:hAnsi="Arial"/>
                <w:sz w:val="5"/>
                <w:szCs w:val="5"/>
                <w:b w:val="1"/>
                <w:bCs w:val="1"/>
                <w:color w:val="auto"/>
              </w:rPr>
              <w:t>Total revenue</w:t>
            </w:r>
          </w:p>
        </w:tc>
        <w:tc>
          <w:tcPr>
            <w:tcW w:w="28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w:t>
            </w:r>
          </w:p>
        </w:tc>
        <w:tc>
          <w:tcPr>
            <w:tcW w:w="660" w:type="dxa"/>
            <w:vAlign w:val="bottom"/>
            <w:tcBorders>
              <w:bottom w:val="single" w:sz="8" w:color="auto"/>
            </w:tcBorders>
            <w:shd w:val="clear" w:color="auto" w:fill="CCEEFF"/>
          </w:tcPr>
          <w:p>
            <w:pPr>
              <w:ind w:left="20"/>
              <w:spacing w:after="0" w:line="48" w:lineRule="exact"/>
              <w:rPr>
                <w:sz w:val="20"/>
                <w:szCs w:val="20"/>
                <w:color w:val="auto"/>
              </w:rPr>
            </w:pPr>
            <w:r>
              <w:rPr>
                <w:rFonts w:ascii="Arial" w:cs="Arial" w:eastAsia="Arial" w:hAnsi="Arial"/>
                <w:sz w:val="5"/>
                <w:szCs w:val="5"/>
                <w:b w:val="1"/>
                <w:bCs w:val="1"/>
                <w:color w:val="auto"/>
              </w:rPr>
              <w:t>62,688</w:t>
            </w:r>
          </w:p>
        </w:tc>
        <w:tc>
          <w:tcPr>
            <w:tcW w:w="500" w:type="dxa"/>
            <w:vAlign w:val="bottom"/>
            <w:tcBorders>
              <w:bottom w:val="single" w:sz="8" w:color="CCEEFF"/>
            </w:tcBorders>
            <w:shd w:val="clear" w:color="auto" w:fill="CCEEFF"/>
          </w:tcPr>
          <w:p>
            <w:pPr>
              <w:spacing w:after="0" w:line="48" w:lineRule="exact"/>
              <w:rPr>
                <w:sz w:val="20"/>
                <w:szCs w:val="20"/>
                <w:color w:val="auto"/>
              </w:rPr>
            </w:pPr>
            <w:r>
              <w:rPr>
                <w:rFonts w:ascii="Arial" w:cs="Arial" w:eastAsia="Arial" w:hAnsi="Arial"/>
                <w:sz w:val="5"/>
                <w:szCs w:val="5"/>
                <w:b w:val="1"/>
                <w:bCs w:val="1"/>
                <w:i w:val="1"/>
                <w:iCs w:val="1"/>
                <w:color w:val="auto"/>
              </w:rPr>
              <w:t>100%</w:t>
            </w:r>
          </w:p>
        </w:tc>
        <w:tc>
          <w:tcPr>
            <w:tcW w:w="6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w:t>
            </w:r>
          </w:p>
        </w:tc>
        <w:tc>
          <w:tcPr>
            <w:tcW w:w="680" w:type="dxa"/>
            <w:vAlign w:val="bottom"/>
            <w:tcBorders>
              <w:bottom w:val="single" w:sz="8" w:color="auto"/>
            </w:tcBorders>
            <w:shd w:val="clear" w:color="auto" w:fill="CCEEFF"/>
          </w:tcPr>
          <w:p>
            <w:pPr>
              <w:ind w:left="40"/>
              <w:spacing w:after="0" w:line="48" w:lineRule="exact"/>
              <w:rPr>
                <w:sz w:val="20"/>
                <w:szCs w:val="20"/>
                <w:color w:val="auto"/>
              </w:rPr>
            </w:pPr>
            <w:r>
              <w:rPr>
                <w:rFonts w:ascii="Arial" w:cs="Arial" w:eastAsia="Arial" w:hAnsi="Arial"/>
                <w:sz w:val="5"/>
                <w:szCs w:val="5"/>
                <w:b w:val="1"/>
                <w:bCs w:val="1"/>
                <w:color w:val="auto"/>
              </w:rPr>
              <w:t>48,360</w:t>
            </w:r>
          </w:p>
        </w:tc>
        <w:tc>
          <w:tcPr>
            <w:tcW w:w="500" w:type="dxa"/>
            <w:vAlign w:val="bottom"/>
            <w:tcBorders>
              <w:bottom w:val="single" w:sz="8" w:color="CCEEFF"/>
            </w:tcBorders>
            <w:shd w:val="clear" w:color="auto" w:fill="CCEEFF"/>
          </w:tcPr>
          <w:p>
            <w:pPr>
              <w:spacing w:after="0" w:line="48" w:lineRule="exact"/>
              <w:rPr>
                <w:sz w:val="20"/>
                <w:szCs w:val="20"/>
                <w:color w:val="auto"/>
              </w:rPr>
            </w:pPr>
            <w:r>
              <w:rPr>
                <w:rFonts w:ascii="Arial" w:cs="Arial" w:eastAsia="Arial" w:hAnsi="Arial"/>
                <w:sz w:val="5"/>
                <w:szCs w:val="5"/>
                <w:b w:val="1"/>
                <w:bCs w:val="1"/>
                <w:i w:val="1"/>
                <w:iCs w:val="1"/>
                <w:color w:val="auto"/>
              </w:rPr>
              <w:t>100%</w:t>
            </w:r>
          </w:p>
        </w:tc>
        <w:tc>
          <w:tcPr>
            <w:tcW w:w="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w:t>
            </w:r>
          </w:p>
        </w:tc>
        <w:tc>
          <w:tcPr>
            <w:tcW w:w="660" w:type="dxa"/>
            <w:vAlign w:val="bottom"/>
            <w:tcBorders>
              <w:bottom w:val="single" w:sz="8" w:color="auto"/>
            </w:tcBorders>
            <w:shd w:val="clear" w:color="auto" w:fill="CCEEFF"/>
          </w:tcPr>
          <w:p>
            <w:pPr>
              <w:ind w:left="20"/>
              <w:spacing w:after="0" w:line="48" w:lineRule="exact"/>
              <w:rPr>
                <w:sz w:val="20"/>
                <w:szCs w:val="20"/>
                <w:color w:val="auto"/>
              </w:rPr>
            </w:pPr>
            <w:r>
              <w:rPr>
                <w:rFonts w:ascii="Arial" w:cs="Arial" w:eastAsia="Arial" w:hAnsi="Arial"/>
                <w:sz w:val="5"/>
                <w:szCs w:val="5"/>
                <w:b w:val="1"/>
                <w:bCs w:val="1"/>
                <w:color w:val="auto"/>
              </w:rPr>
              <w:t>165,731</w:t>
            </w:r>
          </w:p>
        </w:tc>
        <w:tc>
          <w:tcPr>
            <w:tcW w:w="560" w:type="dxa"/>
            <w:vAlign w:val="bottom"/>
            <w:tcBorders>
              <w:bottom w:val="single" w:sz="8" w:color="CCEEFF"/>
            </w:tcBorders>
            <w:shd w:val="clear" w:color="auto" w:fill="CCEEFF"/>
          </w:tcPr>
          <w:p>
            <w:pPr>
              <w:spacing w:after="0" w:line="48" w:lineRule="exact"/>
              <w:rPr>
                <w:sz w:val="20"/>
                <w:szCs w:val="20"/>
                <w:color w:val="auto"/>
              </w:rPr>
            </w:pPr>
            <w:r>
              <w:rPr>
                <w:rFonts w:ascii="Arial" w:cs="Arial" w:eastAsia="Arial" w:hAnsi="Arial"/>
                <w:sz w:val="5"/>
                <w:szCs w:val="5"/>
                <w:b w:val="1"/>
                <w:bCs w:val="1"/>
                <w:i w:val="1"/>
                <w:iCs w:val="1"/>
                <w:color w:val="auto"/>
              </w:rPr>
              <w:t>100%</w:t>
            </w:r>
          </w:p>
        </w:tc>
        <w:tc>
          <w:tcPr>
            <w:tcW w:w="12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w:t>
            </w:r>
          </w:p>
        </w:tc>
        <w:tc>
          <w:tcPr>
            <w:tcW w:w="64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147,476</w:t>
            </w:r>
          </w:p>
        </w:tc>
        <w:tc>
          <w:tcPr>
            <w:tcW w:w="520" w:type="dxa"/>
            <w:vAlign w:val="bottom"/>
            <w:tcBorders>
              <w:bottom w:val="single" w:sz="8" w:color="CCEEFF"/>
            </w:tcBorders>
            <w:shd w:val="clear" w:color="auto" w:fill="CCEEFF"/>
          </w:tcPr>
          <w:p>
            <w:pPr>
              <w:spacing w:after="0" w:line="48" w:lineRule="exact"/>
              <w:rPr>
                <w:sz w:val="20"/>
                <w:szCs w:val="20"/>
                <w:color w:val="auto"/>
              </w:rPr>
            </w:pPr>
            <w:r>
              <w:rPr>
                <w:rFonts w:ascii="Arial" w:cs="Arial" w:eastAsia="Arial" w:hAnsi="Arial"/>
                <w:sz w:val="5"/>
                <w:szCs w:val="5"/>
                <w:b w:val="1"/>
                <w:bCs w:val="1"/>
                <w:i w:val="1"/>
                <w:iCs w:val="1"/>
                <w:color w:val="auto"/>
              </w:rPr>
              <w:t>100%</w:t>
            </w:r>
          </w:p>
        </w:tc>
        <w:tc>
          <w:tcPr>
            <w:tcW w:w="500" w:type="dxa"/>
            <w:vAlign w:val="bottom"/>
            <w:tcBorders>
              <w:bottom w:val="single" w:sz="8" w:color="CCEEFF"/>
            </w:tcBorders>
            <w:gridSpan w:val="2"/>
            <w:shd w:val="clear" w:color="auto" w:fill="CCEEFF"/>
          </w:tcPr>
          <w:p>
            <w:pPr>
              <w:ind w:left="80"/>
              <w:spacing w:after="0" w:line="48" w:lineRule="exact"/>
              <w:rPr>
                <w:sz w:val="20"/>
                <w:szCs w:val="20"/>
                <w:color w:val="auto"/>
              </w:rPr>
            </w:pPr>
            <w:r>
              <w:rPr>
                <w:rFonts w:ascii="Arial" w:cs="Arial" w:eastAsia="Arial" w:hAnsi="Arial"/>
                <w:sz w:val="5"/>
                <w:szCs w:val="5"/>
                <w:b w:val="1"/>
                <w:bCs w:val="1"/>
                <w:color w:val="auto"/>
              </w:rPr>
              <w:t>30</w:t>
            </w:r>
          </w:p>
        </w:tc>
        <w:tc>
          <w:tcPr>
            <w:tcW w:w="220" w:type="dxa"/>
            <w:vAlign w:val="bottom"/>
            <w:tcBorders>
              <w:bottom w:val="single" w:sz="8" w:color="CCEEFF"/>
            </w:tcBorders>
            <w:shd w:val="clear" w:color="auto" w:fill="CCEEFF"/>
          </w:tcPr>
          <w:p>
            <w:pPr>
              <w:jc w:val="right"/>
              <w:ind w:right="8"/>
              <w:spacing w:after="0" w:line="48" w:lineRule="exact"/>
              <w:rPr>
                <w:sz w:val="20"/>
                <w:szCs w:val="20"/>
                <w:color w:val="auto"/>
              </w:rPr>
            </w:pPr>
            <w:r>
              <w:rPr>
                <w:rFonts w:ascii="Arial" w:cs="Arial" w:eastAsia="Arial" w:hAnsi="Arial"/>
                <w:sz w:val="5"/>
                <w:szCs w:val="5"/>
                <w:b w:val="1"/>
                <w:bCs w:val="1"/>
                <w:color w:val="auto"/>
              </w:rPr>
              <w:t>%</w:t>
            </w:r>
          </w:p>
        </w:tc>
        <w:tc>
          <w:tcPr>
            <w:tcW w:w="660" w:type="dxa"/>
            <w:vAlign w:val="bottom"/>
            <w:tcBorders>
              <w:bottom w:val="single" w:sz="8" w:color="CCEEFF"/>
            </w:tcBorders>
            <w:shd w:val="clear" w:color="auto" w:fill="CCEEFF"/>
          </w:tcPr>
          <w:p>
            <w:pPr>
              <w:ind w:left="60"/>
              <w:spacing w:after="0" w:line="48" w:lineRule="exact"/>
              <w:rPr>
                <w:sz w:val="20"/>
                <w:szCs w:val="20"/>
                <w:color w:val="auto"/>
              </w:rPr>
            </w:pPr>
            <w:r>
              <w:rPr>
                <w:rFonts w:ascii="Arial" w:cs="Arial" w:eastAsia="Arial" w:hAnsi="Arial"/>
                <w:sz w:val="5"/>
                <w:szCs w:val="5"/>
                <w:b w:val="1"/>
                <w:bCs w:val="1"/>
                <w:color w:val="auto"/>
              </w:rPr>
              <w:t>12</w:t>
            </w:r>
          </w:p>
        </w:tc>
        <w:tc>
          <w:tcPr>
            <w:tcW w:w="200" w:type="dxa"/>
            <w:vAlign w:val="bottom"/>
            <w:tcBorders>
              <w:bottom w:val="single" w:sz="8" w:color="CCEEFF"/>
            </w:tcBorders>
            <w:shd w:val="clear" w:color="auto" w:fill="CCEEFF"/>
          </w:tcPr>
          <w:p>
            <w:pPr>
              <w:jc w:val="right"/>
              <w:ind w:right="48"/>
              <w:spacing w:after="0" w:line="48" w:lineRule="exact"/>
              <w:rPr>
                <w:sz w:val="20"/>
                <w:szCs w:val="20"/>
                <w:color w:val="auto"/>
              </w:rPr>
            </w:pPr>
            <w:r>
              <w:rPr>
                <w:rFonts w:ascii="Arial" w:cs="Arial" w:eastAsia="Arial" w:hAnsi="Arial"/>
                <w:sz w:val="5"/>
                <w:szCs w:val="5"/>
                <w:b w:val="1"/>
                <w:bCs w:val="1"/>
                <w:color w:val="auto"/>
              </w:rPr>
              <w:t>%</w:t>
            </w:r>
          </w:p>
        </w:tc>
        <w:tc>
          <w:tcPr>
            <w:tcW w:w="0" w:type="dxa"/>
            <w:vAlign w:val="bottom"/>
          </w:tcPr>
          <w:p>
            <w:pPr>
              <w:spacing w:after="0"/>
              <w:rPr>
                <w:sz w:val="1"/>
                <w:szCs w:val="1"/>
                <w:color w:val="auto"/>
              </w:rPr>
            </w:pPr>
          </w:p>
        </w:tc>
      </w:tr>
      <w:tr>
        <w:trPr>
          <w:trHeight w:val="43"/>
        </w:trPr>
        <w:tc>
          <w:tcPr>
            <w:tcW w:w="1080" w:type="dxa"/>
            <w:vAlign w:val="bottom"/>
          </w:tcPr>
          <w:p>
            <w:pPr>
              <w:spacing w:after="0"/>
              <w:rPr>
                <w:sz w:val="20"/>
                <w:szCs w:val="20"/>
                <w:color w:val="auto"/>
              </w:rPr>
            </w:pPr>
            <w:r>
              <w:rPr>
                <w:rFonts w:ascii="Arial" w:cs="Arial" w:eastAsia="Arial" w:hAnsi="Arial"/>
                <w:sz w:val="3"/>
                <w:szCs w:val="3"/>
                <w:b w:val="1"/>
                <w:bCs w:val="1"/>
                <w:color w:val="auto"/>
              </w:rPr>
              <w:t>OPERATING EXPENSE</w:t>
            </w:r>
          </w:p>
        </w:tc>
        <w:tc>
          <w:tcPr>
            <w:tcW w:w="2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ind w:left="200"/>
              <w:spacing w:after="0" w:line="68" w:lineRule="exact"/>
              <w:rPr>
                <w:sz w:val="20"/>
                <w:szCs w:val="20"/>
                <w:color w:val="auto"/>
              </w:rPr>
            </w:pPr>
            <w:r>
              <w:rPr>
                <w:rFonts w:ascii="Arial" w:cs="Arial" w:eastAsia="Arial" w:hAnsi="Arial"/>
                <w:sz w:val="7"/>
                <w:szCs w:val="7"/>
                <w:b w:val="1"/>
                <w:bCs w:val="1"/>
                <w:color w:val="auto"/>
              </w:rPr>
              <w:t>United States</w:t>
            </w: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Film rent and advertising cost</w:t>
            </w:r>
          </w:p>
        </w:tc>
        <w:tc>
          <w:tcPr>
            <w:tcW w:w="8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(10,876)</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17%</w:t>
            </w:r>
          </w:p>
        </w:tc>
        <w:tc>
          <w:tcPr>
            <w:tcW w:w="6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8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(7,602)</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16%</w:t>
            </w: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(27,563)</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17%</w:t>
            </w:r>
          </w:p>
        </w:tc>
        <w:tc>
          <w:tcPr>
            <w:tcW w:w="12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4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(22,430)</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15%</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(43)</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(23)</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2820" w:type="dxa"/>
            <w:vAlign w:val="bottom"/>
          </w:tcPr>
          <w:p>
            <w:pPr>
              <w:ind w:left="120"/>
              <w:spacing w:after="0" w:line="68" w:lineRule="exact"/>
              <w:rPr>
                <w:sz w:val="20"/>
                <w:szCs w:val="20"/>
                <w:color w:val="auto"/>
              </w:rPr>
            </w:pPr>
            <w:r>
              <w:rPr>
                <w:rFonts w:ascii="Arial" w:cs="Arial" w:eastAsia="Arial" w:hAnsi="Arial"/>
                <w:sz w:val="7"/>
                <w:szCs w:val="7"/>
                <w:color w:val="auto"/>
              </w:rPr>
              <w:t>Food &amp; beverage cost</w:t>
            </w:r>
          </w:p>
        </w:tc>
        <w:tc>
          <w:tcPr>
            <w:tcW w:w="80" w:type="dxa"/>
            <w:vAlign w:val="bottom"/>
          </w:tcPr>
          <w:p>
            <w:pPr>
              <w:spacing w:after="0"/>
              <w:rPr>
                <w:sz w:val="5"/>
                <w:szCs w:val="5"/>
                <w:color w:val="auto"/>
              </w:rPr>
            </w:pP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(2,908)</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5%</w:t>
            </w:r>
          </w:p>
        </w:tc>
        <w:tc>
          <w:tcPr>
            <w:tcW w:w="60" w:type="dxa"/>
            <w:vAlign w:val="bottom"/>
          </w:tcPr>
          <w:p>
            <w:pPr>
              <w:spacing w:after="0"/>
              <w:rPr>
                <w:sz w:val="5"/>
                <w:szCs w:val="5"/>
                <w:color w:val="auto"/>
              </w:rPr>
            </w:pPr>
          </w:p>
        </w:tc>
        <w:tc>
          <w:tcPr>
            <w:tcW w:w="680" w:type="dxa"/>
            <w:vAlign w:val="bottom"/>
          </w:tcPr>
          <w:p>
            <w:pPr>
              <w:ind w:left="40"/>
              <w:spacing w:after="0" w:line="68" w:lineRule="exact"/>
              <w:rPr>
                <w:sz w:val="20"/>
                <w:szCs w:val="20"/>
                <w:color w:val="auto"/>
              </w:rPr>
            </w:pPr>
            <w:r>
              <w:rPr>
                <w:rFonts w:ascii="Arial" w:cs="Arial" w:eastAsia="Arial" w:hAnsi="Arial"/>
                <w:sz w:val="7"/>
                <w:szCs w:val="7"/>
                <w:color w:val="auto"/>
              </w:rPr>
              <w:t>(2,352)</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5%</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(8,039)</w:t>
            </w:r>
          </w:p>
        </w:tc>
        <w:tc>
          <w:tcPr>
            <w:tcW w:w="560" w:type="dxa"/>
            <w:vAlign w:val="bottom"/>
          </w:tcPr>
          <w:p>
            <w:pPr>
              <w:spacing w:after="0" w:line="68" w:lineRule="exact"/>
              <w:rPr>
                <w:sz w:val="20"/>
                <w:szCs w:val="20"/>
                <w:color w:val="auto"/>
              </w:rPr>
            </w:pPr>
            <w:r>
              <w:rPr>
                <w:rFonts w:ascii="Arial" w:cs="Arial" w:eastAsia="Arial" w:hAnsi="Arial"/>
                <w:sz w:val="7"/>
                <w:szCs w:val="7"/>
                <w:i w:val="1"/>
                <w:iCs w:val="1"/>
                <w:color w:val="auto"/>
              </w:rPr>
              <w:t>5%</w:t>
            </w:r>
          </w:p>
        </w:tc>
        <w:tc>
          <w:tcPr>
            <w:tcW w:w="120" w:type="dxa"/>
            <w:vAlign w:val="bottom"/>
          </w:tcPr>
          <w:p>
            <w:pPr>
              <w:spacing w:after="0"/>
              <w:rPr>
                <w:sz w:val="5"/>
                <w:szCs w:val="5"/>
                <w:color w:val="auto"/>
              </w:rPr>
            </w:pPr>
          </w:p>
        </w:tc>
        <w:tc>
          <w:tcPr>
            <w:tcW w:w="640" w:type="dxa"/>
            <w:vAlign w:val="bottom"/>
          </w:tcPr>
          <w:p>
            <w:pPr>
              <w:spacing w:after="0" w:line="68" w:lineRule="exact"/>
              <w:rPr>
                <w:sz w:val="20"/>
                <w:szCs w:val="20"/>
                <w:color w:val="auto"/>
              </w:rPr>
            </w:pPr>
            <w:r>
              <w:rPr>
                <w:rFonts w:ascii="Arial" w:cs="Arial" w:eastAsia="Arial" w:hAnsi="Arial"/>
                <w:sz w:val="7"/>
                <w:szCs w:val="7"/>
                <w:color w:val="auto"/>
              </w:rPr>
              <w:t>(6,552)</w:t>
            </w:r>
          </w:p>
        </w:tc>
        <w:tc>
          <w:tcPr>
            <w:tcW w:w="520" w:type="dxa"/>
            <w:vAlign w:val="bottom"/>
          </w:tcPr>
          <w:p>
            <w:pPr>
              <w:spacing w:after="0" w:line="68" w:lineRule="exact"/>
              <w:rPr>
                <w:sz w:val="20"/>
                <w:szCs w:val="20"/>
                <w:color w:val="auto"/>
              </w:rPr>
            </w:pPr>
            <w:r>
              <w:rPr>
                <w:rFonts w:ascii="Arial" w:cs="Arial" w:eastAsia="Arial" w:hAnsi="Arial"/>
                <w:sz w:val="7"/>
                <w:szCs w:val="7"/>
                <w:i w:val="1"/>
                <w:iCs w:val="1"/>
                <w:color w:val="auto"/>
              </w:rPr>
              <w:t>4%</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color w:val="auto"/>
              </w:rPr>
              <w:t>(24)</w:t>
            </w:r>
          </w:p>
        </w:tc>
        <w:tc>
          <w:tcPr>
            <w:tcW w:w="220" w:type="dxa"/>
            <w:vAlign w:val="bottom"/>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60"/>
              <w:spacing w:after="0" w:line="68" w:lineRule="exact"/>
              <w:rPr>
                <w:sz w:val="20"/>
                <w:szCs w:val="20"/>
                <w:color w:val="auto"/>
              </w:rPr>
            </w:pPr>
            <w:r>
              <w:rPr>
                <w:rFonts w:ascii="Arial" w:cs="Arial" w:eastAsia="Arial" w:hAnsi="Arial"/>
                <w:sz w:val="7"/>
                <w:szCs w:val="7"/>
                <w:color w:val="auto"/>
              </w:rPr>
              <w:t>(23)</w:t>
            </w:r>
          </w:p>
        </w:tc>
        <w:tc>
          <w:tcPr>
            <w:tcW w:w="200" w:type="dxa"/>
            <w:vAlign w:val="bottom"/>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Occupancy expense</w:t>
            </w: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(6,265)</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10%</w:t>
            </w: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(6,117)</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13%</w:t>
            </w: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(18,768)</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11%</w:t>
            </w: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(18,447)</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13%</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(2)</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(2)</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tcBorders>
              <w:bottom w:val="single" w:sz="8" w:color="CCEEFF"/>
            </w:tcBorders>
          </w:tcPr>
          <w:p>
            <w:pPr>
              <w:spacing w:after="0"/>
              <w:rPr>
                <w:sz w:val="5"/>
                <w:szCs w:val="5"/>
                <w:color w:val="auto"/>
              </w:rPr>
            </w:pPr>
          </w:p>
        </w:tc>
        <w:tc>
          <w:tcPr>
            <w:tcW w:w="2820" w:type="dxa"/>
            <w:vAlign w:val="bottom"/>
            <w:tcBorders>
              <w:bottom w:val="single" w:sz="8" w:color="CCEEFF"/>
            </w:tcBorders>
          </w:tcPr>
          <w:p>
            <w:pPr>
              <w:ind w:left="120"/>
              <w:spacing w:after="0" w:line="68" w:lineRule="exact"/>
              <w:rPr>
                <w:sz w:val="20"/>
                <w:szCs w:val="20"/>
                <w:color w:val="auto"/>
              </w:rPr>
            </w:pPr>
            <w:r>
              <w:rPr>
                <w:rFonts w:ascii="Arial" w:cs="Arial" w:eastAsia="Arial" w:hAnsi="Arial"/>
                <w:sz w:val="7"/>
                <w:szCs w:val="7"/>
                <w:color w:val="auto"/>
              </w:rPr>
              <w:t>Other operating expense</w:t>
            </w: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(11,722)</w:t>
            </w:r>
          </w:p>
        </w:tc>
        <w:tc>
          <w:tcPr>
            <w:tcW w:w="50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19%</w:t>
            </w:r>
          </w:p>
        </w:tc>
        <w:tc>
          <w:tcPr>
            <w:tcW w:w="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ind w:left="40"/>
              <w:spacing w:after="0" w:line="68" w:lineRule="exact"/>
              <w:rPr>
                <w:sz w:val="20"/>
                <w:szCs w:val="20"/>
                <w:color w:val="auto"/>
              </w:rPr>
            </w:pPr>
            <w:r>
              <w:rPr>
                <w:rFonts w:ascii="Arial" w:cs="Arial" w:eastAsia="Arial" w:hAnsi="Arial"/>
                <w:sz w:val="7"/>
                <w:szCs w:val="7"/>
                <w:color w:val="auto"/>
              </w:rPr>
              <w:t>(10,489)</w:t>
            </w:r>
          </w:p>
        </w:tc>
        <w:tc>
          <w:tcPr>
            <w:tcW w:w="50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22%</w:t>
            </w:r>
          </w:p>
        </w:tc>
        <w:tc>
          <w:tcPr>
            <w:tcW w:w="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(32,513)</w:t>
            </w:r>
          </w:p>
        </w:tc>
        <w:tc>
          <w:tcPr>
            <w:tcW w:w="56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20%</w:t>
            </w: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color w:val="auto"/>
              </w:rPr>
              <w:t>(28,403)</w:t>
            </w:r>
          </w:p>
        </w:tc>
        <w:tc>
          <w:tcPr>
            <w:tcW w:w="52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19%</w:t>
            </w:r>
          </w:p>
        </w:tc>
        <w:tc>
          <w:tcPr>
            <w:tcW w:w="500" w:type="dxa"/>
            <w:vAlign w:val="bottom"/>
            <w:tcBorders>
              <w:bottom w:val="single" w:sz="8" w:color="CCEEFF"/>
            </w:tcBorders>
            <w:gridSpan w:val="2"/>
          </w:tcPr>
          <w:p>
            <w:pPr>
              <w:ind w:left="80"/>
              <w:spacing w:after="0" w:line="68" w:lineRule="exact"/>
              <w:rPr>
                <w:sz w:val="20"/>
                <w:szCs w:val="20"/>
                <w:color w:val="auto"/>
              </w:rPr>
            </w:pPr>
            <w:r>
              <w:rPr>
                <w:rFonts w:ascii="Arial" w:cs="Arial" w:eastAsia="Arial" w:hAnsi="Arial"/>
                <w:sz w:val="7"/>
                <w:szCs w:val="7"/>
                <w:color w:val="auto"/>
              </w:rPr>
              <w:t>(12)</w:t>
            </w:r>
          </w:p>
        </w:tc>
        <w:tc>
          <w:tcPr>
            <w:tcW w:w="220" w:type="dxa"/>
            <w:vAlign w:val="bottom"/>
            <w:tcBorders>
              <w:bottom w:val="single" w:sz="8" w:color="CCEEFF"/>
            </w:tcBorders>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Borders>
              <w:bottom w:val="single" w:sz="8" w:color="CCEEFF"/>
            </w:tcBorders>
          </w:tcPr>
          <w:p>
            <w:pPr>
              <w:ind w:left="60"/>
              <w:spacing w:after="0" w:line="68" w:lineRule="exact"/>
              <w:rPr>
                <w:sz w:val="20"/>
                <w:szCs w:val="20"/>
                <w:color w:val="auto"/>
              </w:rPr>
            </w:pPr>
            <w:r>
              <w:rPr>
                <w:rFonts w:ascii="Arial" w:cs="Arial" w:eastAsia="Arial" w:hAnsi="Arial"/>
                <w:sz w:val="7"/>
                <w:szCs w:val="7"/>
                <w:color w:val="auto"/>
              </w:rPr>
              <w:t>(14)</w:t>
            </w:r>
          </w:p>
        </w:tc>
        <w:tc>
          <w:tcPr>
            <w:tcW w:w="200" w:type="dxa"/>
            <w:vAlign w:val="bottom"/>
            <w:tcBorders>
              <w:bottom w:val="single" w:sz="8" w:color="CCEEFF"/>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55"/>
        </w:trPr>
        <w:tc>
          <w:tcPr>
            <w:tcW w:w="1080" w:type="dxa"/>
            <w:vAlign w:val="bottom"/>
            <w:shd w:val="clear" w:color="auto" w:fill="CCEEFF"/>
          </w:tcPr>
          <w:p>
            <w:pPr>
              <w:spacing w:after="0"/>
              <w:rPr>
                <w:sz w:val="4"/>
                <w:szCs w:val="4"/>
                <w:color w:val="auto"/>
              </w:rPr>
            </w:pPr>
          </w:p>
        </w:tc>
        <w:tc>
          <w:tcPr>
            <w:tcW w:w="282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20"/>
              <w:spacing w:after="0" w:line="55" w:lineRule="exact"/>
              <w:rPr>
                <w:sz w:val="20"/>
                <w:szCs w:val="20"/>
                <w:color w:val="auto"/>
              </w:rPr>
            </w:pPr>
            <w:r>
              <w:rPr>
                <w:rFonts w:ascii="Arial" w:cs="Arial" w:eastAsia="Arial" w:hAnsi="Arial"/>
                <w:sz w:val="6"/>
                <w:szCs w:val="6"/>
                <w:b w:val="1"/>
                <w:bCs w:val="1"/>
                <w:color w:val="auto"/>
              </w:rPr>
              <w:t>(31,771)</w:t>
            </w:r>
          </w:p>
        </w:tc>
        <w:tc>
          <w:tcPr>
            <w:tcW w:w="5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51%</w:t>
            </w:r>
          </w:p>
        </w:tc>
        <w:tc>
          <w:tcPr>
            <w:tcW w:w="6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80" w:type="dxa"/>
            <w:vAlign w:val="bottom"/>
            <w:shd w:val="clear" w:color="auto" w:fill="CCEEFF"/>
          </w:tcPr>
          <w:p>
            <w:pPr>
              <w:ind w:left="40"/>
              <w:spacing w:after="0" w:line="55" w:lineRule="exact"/>
              <w:rPr>
                <w:sz w:val="20"/>
                <w:szCs w:val="20"/>
                <w:color w:val="auto"/>
              </w:rPr>
            </w:pPr>
            <w:r>
              <w:rPr>
                <w:rFonts w:ascii="Arial" w:cs="Arial" w:eastAsia="Arial" w:hAnsi="Arial"/>
                <w:sz w:val="6"/>
                <w:szCs w:val="6"/>
                <w:b w:val="1"/>
                <w:bCs w:val="1"/>
                <w:color w:val="auto"/>
              </w:rPr>
              <w:t>(26,560)</w:t>
            </w:r>
          </w:p>
        </w:tc>
        <w:tc>
          <w:tcPr>
            <w:tcW w:w="5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55%</w:t>
            </w: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20"/>
              <w:spacing w:after="0" w:line="55" w:lineRule="exact"/>
              <w:rPr>
                <w:sz w:val="20"/>
                <w:szCs w:val="20"/>
                <w:color w:val="auto"/>
              </w:rPr>
            </w:pPr>
            <w:r>
              <w:rPr>
                <w:rFonts w:ascii="Arial" w:cs="Arial" w:eastAsia="Arial" w:hAnsi="Arial"/>
                <w:sz w:val="6"/>
                <w:szCs w:val="6"/>
                <w:b w:val="1"/>
                <w:bCs w:val="1"/>
                <w:color w:val="auto"/>
              </w:rPr>
              <w:t>(86,883)</w:t>
            </w:r>
          </w:p>
        </w:tc>
        <w:tc>
          <w:tcPr>
            <w:tcW w:w="56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52%</w:t>
            </w:r>
          </w:p>
        </w:tc>
        <w:tc>
          <w:tcPr>
            <w:tcW w:w="12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4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(75,832)</w:t>
            </w:r>
          </w:p>
        </w:tc>
        <w:tc>
          <w:tcPr>
            <w:tcW w:w="52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51%</w:t>
            </w:r>
          </w:p>
        </w:tc>
        <w:tc>
          <w:tcPr>
            <w:tcW w:w="500" w:type="dxa"/>
            <w:vAlign w:val="bottom"/>
            <w:gridSpan w:val="2"/>
            <w:shd w:val="clear" w:color="auto" w:fill="CCEEFF"/>
          </w:tcPr>
          <w:p>
            <w:pPr>
              <w:ind w:left="80"/>
              <w:spacing w:after="0" w:line="55" w:lineRule="exact"/>
              <w:rPr>
                <w:sz w:val="20"/>
                <w:szCs w:val="20"/>
                <w:color w:val="auto"/>
              </w:rPr>
            </w:pPr>
            <w:r>
              <w:rPr>
                <w:rFonts w:ascii="Arial" w:cs="Arial" w:eastAsia="Arial" w:hAnsi="Arial"/>
                <w:sz w:val="6"/>
                <w:szCs w:val="6"/>
                <w:b w:val="1"/>
                <w:bCs w:val="1"/>
                <w:color w:val="auto"/>
              </w:rPr>
              <w:t>(20)</w:t>
            </w:r>
          </w:p>
        </w:tc>
        <w:tc>
          <w:tcPr>
            <w:tcW w:w="220" w:type="dxa"/>
            <w:vAlign w:val="bottom"/>
            <w:shd w:val="clear" w:color="auto" w:fill="CCEEFF"/>
          </w:tcPr>
          <w:p>
            <w:pPr>
              <w:jc w:val="right"/>
              <w:ind w:right="8"/>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60"/>
              <w:spacing w:after="0" w:line="55" w:lineRule="exact"/>
              <w:rPr>
                <w:sz w:val="20"/>
                <w:szCs w:val="20"/>
                <w:color w:val="auto"/>
              </w:rPr>
            </w:pPr>
            <w:r>
              <w:rPr>
                <w:rFonts w:ascii="Arial" w:cs="Arial" w:eastAsia="Arial" w:hAnsi="Arial"/>
                <w:sz w:val="6"/>
                <w:szCs w:val="6"/>
                <w:b w:val="1"/>
                <w:bCs w:val="1"/>
                <w:color w:val="auto"/>
              </w:rPr>
              <w:t>(15)</w:t>
            </w:r>
          </w:p>
        </w:tc>
        <w:tc>
          <w:tcPr>
            <w:tcW w:w="200" w:type="dxa"/>
            <w:vAlign w:val="bottom"/>
            <w:shd w:val="clear" w:color="auto" w:fill="CCEEFF"/>
          </w:tcPr>
          <w:p>
            <w:pPr>
              <w:jc w:val="right"/>
              <w:ind w:right="48"/>
              <w:spacing w:after="0" w:line="55"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68"/>
        </w:trPr>
        <w:tc>
          <w:tcPr>
            <w:tcW w:w="1080" w:type="dxa"/>
            <w:vAlign w:val="bottom"/>
          </w:tcPr>
          <w:p>
            <w:pPr>
              <w:ind w:left="200"/>
              <w:spacing w:after="0" w:line="68" w:lineRule="exact"/>
              <w:rPr>
                <w:sz w:val="20"/>
                <w:szCs w:val="20"/>
                <w:color w:val="auto"/>
              </w:rPr>
            </w:pPr>
            <w:r>
              <w:rPr>
                <w:rFonts w:ascii="Arial" w:cs="Arial" w:eastAsia="Arial" w:hAnsi="Arial"/>
                <w:sz w:val="7"/>
                <w:szCs w:val="7"/>
                <w:b w:val="1"/>
                <w:bCs w:val="1"/>
                <w:color w:val="auto"/>
              </w:rPr>
              <w:t>Australia</w:t>
            </w:r>
          </w:p>
        </w:tc>
        <w:tc>
          <w:tcPr>
            <w:tcW w:w="2820" w:type="dxa"/>
            <w:vAlign w:val="bottom"/>
          </w:tcPr>
          <w:p>
            <w:pPr>
              <w:ind w:left="120"/>
              <w:spacing w:after="0" w:line="68" w:lineRule="exact"/>
              <w:rPr>
                <w:sz w:val="20"/>
                <w:szCs w:val="20"/>
                <w:color w:val="auto"/>
              </w:rPr>
            </w:pPr>
            <w:r>
              <w:rPr>
                <w:rFonts w:ascii="Arial" w:cs="Arial" w:eastAsia="Arial" w:hAnsi="Arial"/>
                <w:sz w:val="7"/>
                <w:szCs w:val="7"/>
                <w:color w:val="auto"/>
              </w:rPr>
              <w:t>Film rent and advertising cost</w:t>
            </w:r>
          </w:p>
        </w:tc>
        <w:tc>
          <w:tcPr>
            <w:tcW w:w="80" w:type="dxa"/>
            <w:vAlign w:val="bottom"/>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(6,582)</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10%</w:t>
            </w:r>
          </w:p>
        </w:tc>
        <w:tc>
          <w:tcPr>
            <w:tcW w:w="60" w:type="dxa"/>
            <w:vAlign w:val="bottom"/>
          </w:tcPr>
          <w:p>
            <w:pPr>
              <w:spacing w:after="0" w:line="68" w:lineRule="exact"/>
              <w:rPr>
                <w:sz w:val="20"/>
                <w:szCs w:val="20"/>
                <w:color w:val="auto"/>
              </w:rPr>
            </w:pPr>
            <w:r>
              <w:rPr>
                <w:rFonts w:ascii="Arial" w:cs="Arial" w:eastAsia="Arial" w:hAnsi="Arial"/>
                <w:sz w:val="7"/>
                <w:szCs w:val="7"/>
                <w:color w:val="auto"/>
              </w:rPr>
              <w:t>$</w:t>
            </w:r>
          </w:p>
        </w:tc>
        <w:tc>
          <w:tcPr>
            <w:tcW w:w="680" w:type="dxa"/>
            <w:vAlign w:val="bottom"/>
          </w:tcPr>
          <w:p>
            <w:pPr>
              <w:ind w:left="40"/>
              <w:spacing w:after="0" w:line="68" w:lineRule="exact"/>
              <w:rPr>
                <w:sz w:val="20"/>
                <w:szCs w:val="20"/>
                <w:color w:val="auto"/>
              </w:rPr>
            </w:pPr>
            <w:r>
              <w:rPr>
                <w:rFonts w:ascii="Arial" w:cs="Arial" w:eastAsia="Arial" w:hAnsi="Arial"/>
                <w:sz w:val="7"/>
                <w:szCs w:val="7"/>
                <w:color w:val="auto"/>
              </w:rPr>
              <w:t>(5,642)</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12%</w:t>
            </w:r>
          </w:p>
        </w:tc>
        <w:tc>
          <w:tcPr>
            <w:tcW w:w="6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(17,652)</w:t>
            </w:r>
          </w:p>
        </w:tc>
        <w:tc>
          <w:tcPr>
            <w:tcW w:w="560" w:type="dxa"/>
            <w:vAlign w:val="bottom"/>
          </w:tcPr>
          <w:p>
            <w:pPr>
              <w:spacing w:after="0" w:line="68" w:lineRule="exact"/>
              <w:rPr>
                <w:sz w:val="20"/>
                <w:szCs w:val="20"/>
                <w:color w:val="auto"/>
              </w:rPr>
            </w:pPr>
            <w:r>
              <w:rPr>
                <w:rFonts w:ascii="Arial" w:cs="Arial" w:eastAsia="Arial" w:hAnsi="Arial"/>
                <w:sz w:val="7"/>
                <w:szCs w:val="7"/>
                <w:i w:val="1"/>
                <w:iCs w:val="1"/>
                <w:color w:val="auto"/>
              </w:rPr>
              <w:t>11%</w:t>
            </w:r>
          </w:p>
        </w:tc>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640" w:type="dxa"/>
            <w:vAlign w:val="bottom"/>
          </w:tcPr>
          <w:p>
            <w:pPr>
              <w:spacing w:after="0" w:line="68" w:lineRule="exact"/>
              <w:rPr>
                <w:sz w:val="20"/>
                <w:szCs w:val="20"/>
                <w:color w:val="auto"/>
              </w:rPr>
            </w:pPr>
            <w:r>
              <w:rPr>
                <w:rFonts w:ascii="Arial" w:cs="Arial" w:eastAsia="Arial" w:hAnsi="Arial"/>
                <w:sz w:val="7"/>
                <w:szCs w:val="7"/>
                <w:color w:val="auto"/>
              </w:rPr>
              <w:t>(17,827)</w:t>
            </w:r>
          </w:p>
        </w:tc>
        <w:tc>
          <w:tcPr>
            <w:tcW w:w="520" w:type="dxa"/>
            <w:vAlign w:val="bottom"/>
          </w:tcPr>
          <w:p>
            <w:pPr>
              <w:spacing w:after="0" w:line="68" w:lineRule="exact"/>
              <w:rPr>
                <w:sz w:val="20"/>
                <w:szCs w:val="20"/>
                <w:color w:val="auto"/>
              </w:rPr>
            </w:pPr>
            <w:r>
              <w:rPr>
                <w:rFonts w:ascii="Arial" w:cs="Arial" w:eastAsia="Arial" w:hAnsi="Arial"/>
                <w:sz w:val="7"/>
                <w:szCs w:val="7"/>
                <w:i w:val="1"/>
                <w:iCs w:val="1"/>
                <w:color w:val="auto"/>
              </w:rPr>
              <w:t>12%</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color w:val="auto"/>
              </w:rPr>
              <w:t>(17)</w:t>
            </w:r>
          </w:p>
        </w:tc>
        <w:tc>
          <w:tcPr>
            <w:tcW w:w="220" w:type="dxa"/>
            <w:vAlign w:val="bottom"/>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60"/>
              <w:spacing w:after="0" w:line="68" w:lineRule="exact"/>
              <w:rPr>
                <w:sz w:val="20"/>
                <w:szCs w:val="20"/>
                <w:color w:val="auto"/>
              </w:rPr>
            </w:pPr>
            <w:r>
              <w:rPr>
                <w:rFonts w:ascii="Arial" w:cs="Arial" w:eastAsia="Arial" w:hAnsi="Arial"/>
                <w:sz w:val="7"/>
                <w:szCs w:val="7"/>
                <w:color w:val="auto"/>
              </w:rPr>
              <w:t>1</w:t>
            </w:r>
          </w:p>
        </w:tc>
        <w:tc>
          <w:tcPr>
            <w:tcW w:w="200" w:type="dxa"/>
            <w:vAlign w:val="bottom"/>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Food &amp; beverage cost</w:t>
            </w: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(1,670)</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3%</w:t>
            </w: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(1,287)</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3%</w:t>
            </w: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(4,407)</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3%</w:t>
            </w: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(4,252)</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3%</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(30)</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(4)</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2820" w:type="dxa"/>
            <w:vAlign w:val="bottom"/>
          </w:tcPr>
          <w:p>
            <w:pPr>
              <w:ind w:left="120"/>
              <w:spacing w:after="0" w:line="68" w:lineRule="exact"/>
              <w:rPr>
                <w:sz w:val="20"/>
                <w:szCs w:val="20"/>
                <w:color w:val="auto"/>
              </w:rPr>
            </w:pPr>
            <w:r>
              <w:rPr>
                <w:rFonts w:ascii="Arial" w:cs="Arial" w:eastAsia="Arial" w:hAnsi="Arial"/>
                <w:sz w:val="7"/>
                <w:szCs w:val="7"/>
                <w:color w:val="auto"/>
              </w:rPr>
              <w:t>Occupancy expense</w:t>
            </w:r>
          </w:p>
        </w:tc>
        <w:tc>
          <w:tcPr>
            <w:tcW w:w="80" w:type="dxa"/>
            <w:vAlign w:val="bottom"/>
          </w:tcPr>
          <w:p>
            <w:pPr>
              <w:spacing w:after="0"/>
              <w:rPr>
                <w:sz w:val="5"/>
                <w:szCs w:val="5"/>
                <w:color w:val="auto"/>
              </w:rPr>
            </w:pP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(4,276)</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7%</w:t>
            </w:r>
          </w:p>
        </w:tc>
        <w:tc>
          <w:tcPr>
            <w:tcW w:w="60" w:type="dxa"/>
            <w:vAlign w:val="bottom"/>
          </w:tcPr>
          <w:p>
            <w:pPr>
              <w:spacing w:after="0"/>
              <w:rPr>
                <w:sz w:val="5"/>
                <w:szCs w:val="5"/>
                <w:color w:val="auto"/>
              </w:rPr>
            </w:pPr>
          </w:p>
        </w:tc>
        <w:tc>
          <w:tcPr>
            <w:tcW w:w="680" w:type="dxa"/>
            <w:vAlign w:val="bottom"/>
          </w:tcPr>
          <w:p>
            <w:pPr>
              <w:ind w:left="40"/>
              <w:spacing w:after="0" w:line="68" w:lineRule="exact"/>
              <w:rPr>
                <w:sz w:val="20"/>
                <w:szCs w:val="20"/>
                <w:color w:val="auto"/>
              </w:rPr>
            </w:pPr>
            <w:r>
              <w:rPr>
                <w:rFonts w:ascii="Arial" w:cs="Arial" w:eastAsia="Arial" w:hAnsi="Arial"/>
                <w:sz w:val="7"/>
                <w:szCs w:val="7"/>
                <w:color w:val="auto"/>
              </w:rPr>
              <w:t>(4,215)</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9%</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(13,048)</w:t>
            </w:r>
          </w:p>
        </w:tc>
        <w:tc>
          <w:tcPr>
            <w:tcW w:w="560" w:type="dxa"/>
            <w:vAlign w:val="bottom"/>
          </w:tcPr>
          <w:p>
            <w:pPr>
              <w:spacing w:after="0" w:line="68" w:lineRule="exact"/>
              <w:rPr>
                <w:sz w:val="20"/>
                <w:szCs w:val="20"/>
                <w:color w:val="auto"/>
              </w:rPr>
            </w:pPr>
            <w:r>
              <w:rPr>
                <w:rFonts w:ascii="Arial" w:cs="Arial" w:eastAsia="Arial" w:hAnsi="Arial"/>
                <w:sz w:val="7"/>
                <w:szCs w:val="7"/>
                <w:i w:val="1"/>
                <w:iCs w:val="1"/>
                <w:color w:val="auto"/>
              </w:rPr>
              <w:t>8%</w:t>
            </w:r>
          </w:p>
        </w:tc>
        <w:tc>
          <w:tcPr>
            <w:tcW w:w="120" w:type="dxa"/>
            <w:vAlign w:val="bottom"/>
          </w:tcPr>
          <w:p>
            <w:pPr>
              <w:spacing w:after="0"/>
              <w:rPr>
                <w:sz w:val="5"/>
                <w:szCs w:val="5"/>
                <w:color w:val="auto"/>
              </w:rPr>
            </w:pPr>
          </w:p>
        </w:tc>
        <w:tc>
          <w:tcPr>
            <w:tcW w:w="640" w:type="dxa"/>
            <w:vAlign w:val="bottom"/>
          </w:tcPr>
          <w:p>
            <w:pPr>
              <w:spacing w:after="0" w:line="68" w:lineRule="exact"/>
              <w:rPr>
                <w:sz w:val="20"/>
                <w:szCs w:val="20"/>
                <w:color w:val="auto"/>
              </w:rPr>
            </w:pPr>
            <w:r>
              <w:rPr>
                <w:rFonts w:ascii="Arial" w:cs="Arial" w:eastAsia="Arial" w:hAnsi="Arial"/>
                <w:sz w:val="7"/>
                <w:szCs w:val="7"/>
                <w:color w:val="auto"/>
              </w:rPr>
              <w:t>(13,265)</w:t>
            </w:r>
          </w:p>
        </w:tc>
        <w:tc>
          <w:tcPr>
            <w:tcW w:w="520" w:type="dxa"/>
            <w:vAlign w:val="bottom"/>
          </w:tcPr>
          <w:p>
            <w:pPr>
              <w:spacing w:after="0" w:line="68" w:lineRule="exact"/>
              <w:rPr>
                <w:sz w:val="20"/>
                <w:szCs w:val="20"/>
                <w:color w:val="auto"/>
              </w:rPr>
            </w:pPr>
            <w:r>
              <w:rPr>
                <w:rFonts w:ascii="Arial" w:cs="Arial" w:eastAsia="Arial" w:hAnsi="Arial"/>
                <w:sz w:val="7"/>
                <w:szCs w:val="7"/>
                <w:i w:val="1"/>
                <w:iCs w:val="1"/>
                <w:color w:val="auto"/>
              </w:rPr>
              <w:t>9%</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color w:val="auto"/>
              </w:rPr>
              <w:t>(1)</w:t>
            </w:r>
          </w:p>
        </w:tc>
        <w:tc>
          <w:tcPr>
            <w:tcW w:w="220" w:type="dxa"/>
            <w:vAlign w:val="bottom"/>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60"/>
              <w:spacing w:after="0" w:line="68" w:lineRule="exact"/>
              <w:rPr>
                <w:sz w:val="20"/>
                <w:szCs w:val="20"/>
                <w:color w:val="auto"/>
              </w:rPr>
            </w:pPr>
            <w:r>
              <w:rPr>
                <w:rFonts w:ascii="Arial" w:cs="Arial" w:eastAsia="Arial" w:hAnsi="Arial"/>
                <w:sz w:val="7"/>
                <w:szCs w:val="7"/>
                <w:color w:val="auto"/>
              </w:rPr>
              <w:t>2</w:t>
            </w:r>
          </w:p>
        </w:tc>
        <w:tc>
          <w:tcPr>
            <w:tcW w:w="200" w:type="dxa"/>
            <w:vAlign w:val="bottom"/>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Other operating expense</w:t>
            </w:r>
          </w:p>
        </w:tc>
        <w:tc>
          <w:tcPr>
            <w:tcW w:w="8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(6,576)</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10%</w:t>
            </w:r>
          </w:p>
        </w:tc>
        <w:tc>
          <w:tcPr>
            <w:tcW w:w="6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(5,625)</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12%</w:t>
            </w:r>
          </w:p>
        </w:tc>
        <w:tc>
          <w:tcPr>
            <w:tcW w:w="6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(18,104)</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11%</w:t>
            </w:r>
          </w:p>
        </w:tc>
        <w:tc>
          <w:tcPr>
            <w:tcW w:w="12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(17,344)</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12%</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(17)</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(4)</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55"/>
        </w:trPr>
        <w:tc>
          <w:tcPr>
            <w:tcW w:w="10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tcPr>
          <w:p>
            <w:pPr>
              <w:ind w:left="20"/>
              <w:spacing w:after="0" w:line="55" w:lineRule="exact"/>
              <w:rPr>
                <w:sz w:val="20"/>
                <w:szCs w:val="20"/>
                <w:color w:val="auto"/>
              </w:rPr>
            </w:pPr>
            <w:r>
              <w:rPr>
                <w:rFonts w:ascii="Arial" w:cs="Arial" w:eastAsia="Arial" w:hAnsi="Arial"/>
                <w:sz w:val="6"/>
                <w:szCs w:val="6"/>
                <w:b w:val="1"/>
                <w:bCs w:val="1"/>
                <w:color w:val="auto"/>
              </w:rPr>
              <w:t>(19,104)</w:t>
            </w:r>
          </w:p>
        </w:tc>
        <w:tc>
          <w:tcPr>
            <w:tcW w:w="50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30%</w:t>
            </w:r>
          </w:p>
        </w:tc>
        <w:tc>
          <w:tcPr>
            <w:tcW w:w="6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80" w:type="dxa"/>
            <w:vAlign w:val="bottom"/>
          </w:tcPr>
          <w:p>
            <w:pPr>
              <w:ind w:left="40"/>
              <w:spacing w:after="0" w:line="55" w:lineRule="exact"/>
              <w:rPr>
                <w:sz w:val="20"/>
                <w:szCs w:val="20"/>
                <w:color w:val="auto"/>
              </w:rPr>
            </w:pPr>
            <w:r>
              <w:rPr>
                <w:rFonts w:ascii="Arial" w:cs="Arial" w:eastAsia="Arial" w:hAnsi="Arial"/>
                <w:sz w:val="6"/>
                <w:szCs w:val="6"/>
                <w:b w:val="1"/>
                <w:bCs w:val="1"/>
                <w:color w:val="auto"/>
              </w:rPr>
              <w:t>(16,769)</w:t>
            </w:r>
          </w:p>
        </w:tc>
        <w:tc>
          <w:tcPr>
            <w:tcW w:w="50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35%</w:t>
            </w:r>
          </w:p>
        </w:tc>
        <w:tc>
          <w:tcPr>
            <w:tcW w:w="60" w:type="dxa"/>
            <w:vAlign w:val="bottom"/>
          </w:tcPr>
          <w:p>
            <w:pPr>
              <w:spacing w:after="0"/>
              <w:rPr>
                <w:sz w:val="4"/>
                <w:szCs w:val="4"/>
                <w:color w:val="auto"/>
              </w:rPr>
            </w:pPr>
          </w:p>
        </w:tc>
        <w:tc>
          <w:tcPr>
            <w:tcW w:w="10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tcPr>
          <w:p>
            <w:pPr>
              <w:ind w:left="20"/>
              <w:spacing w:after="0" w:line="55" w:lineRule="exact"/>
              <w:rPr>
                <w:sz w:val="20"/>
                <w:szCs w:val="20"/>
                <w:color w:val="auto"/>
              </w:rPr>
            </w:pPr>
            <w:r>
              <w:rPr>
                <w:rFonts w:ascii="Arial" w:cs="Arial" w:eastAsia="Arial" w:hAnsi="Arial"/>
                <w:sz w:val="6"/>
                <w:szCs w:val="6"/>
                <w:b w:val="1"/>
                <w:bCs w:val="1"/>
                <w:color w:val="auto"/>
              </w:rPr>
              <w:t>(53,211)</w:t>
            </w:r>
          </w:p>
        </w:tc>
        <w:tc>
          <w:tcPr>
            <w:tcW w:w="56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32%</w:t>
            </w:r>
          </w:p>
        </w:tc>
        <w:tc>
          <w:tcPr>
            <w:tcW w:w="12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40" w:type="dxa"/>
            <w:vAlign w:val="bottom"/>
          </w:tcPr>
          <w:p>
            <w:pPr>
              <w:spacing w:after="0" w:line="55" w:lineRule="exact"/>
              <w:rPr>
                <w:sz w:val="20"/>
                <w:szCs w:val="20"/>
                <w:color w:val="auto"/>
              </w:rPr>
            </w:pPr>
            <w:r>
              <w:rPr>
                <w:rFonts w:ascii="Arial" w:cs="Arial" w:eastAsia="Arial" w:hAnsi="Arial"/>
                <w:sz w:val="6"/>
                <w:szCs w:val="6"/>
                <w:b w:val="1"/>
                <w:bCs w:val="1"/>
                <w:color w:val="auto"/>
              </w:rPr>
              <w:t>(52,688)</w:t>
            </w:r>
          </w:p>
        </w:tc>
        <w:tc>
          <w:tcPr>
            <w:tcW w:w="52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36%</w:t>
            </w:r>
          </w:p>
        </w:tc>
        <w:tc>
          <w:tcPr>
            <w:tcW w:w="500" w:type="dxa"/>
            <w:vAlign w:val="bottom"/>
            <w:gridSpan w:val="2"/>
          </w:tcPr>
          <w:p>
            <w:pPr>
              <w:ind w:left="80"/>
              <w:spacing w:after="0" w:line="55" w:lineRule="exact"/>
              <w:rPr>
                <w:sz w:val="20"/>
                <w:szCs w:val="20"/>
                <w:color w:val="auto"/>
              </w:rPr>
            </w:pPr>
            <w:r>
              <w:rPr>
                <w:rFonts w:ascii="Arial" w:cs="Arial" w:eastAsia="Arial" w:hAnsi="Arial"/>
                <w:sz w:val="6"/>
                <w:szCs w:val="6"/>
                <w:b w:val="1"/>
                <w:bCs w:val="1"/>
                <w:color w:val="auto"/>
              </w:rPr>
              <w:t>(14)</w:t>
            </w:r>
          </w:p>
        </w:tc>
        <w:tc>
          <w:tcPr>
            <w:tcW w:w="220" w:type="dxa"/>
            <w:vAlign w:val="bottom"/>
          </w:tcPr>
          <w:p>
            <w:pPr>
              <w:jc w:val="right"/>
              <w:ind w:right="8"/>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tcPr>
          <w:p>
            <w:pPr>
              <w:ind w:left="60"/>
              <w:spacing w:after="0" w:line="55" w:lineRule="exact"/>
              <w:rPr>
                <w:sz w:val="20"/>
                <w:szCs w:val="20"/>
                <w:color w:val="auto"/>
              </w:rPr>
            </w:pPr>
            <w:r>
              <w:rPr>
                <w:rFonts w:ascii="Arial" w:cs="Arial" w:eastAsia="Arial" w:hAnsi="Arial"/>
                <w:sz w:val="6"/>
                <w:szCs w:val="6"/>
                <w:b w:val="1"/>
                <w:bCs w:val="1"/>
                <w:color w:val="auto"/>
              </w:rPr>
              <w:t>(1)</w:t>
            </w:r>
          </w:p>
        </w:tc>
        <w:tc>
          <w:tcPr>
            <w:tcW w:w="200" w:type="dxa"/>
            <w:vAlign w:val="bottom"/>
          </w:tcPr>
          <w:p>
            <w:pPr>
              <w:jc w:val="right"/>
              <w:ind w:right="48"/>
              <w:spacing w:after="0" w:line="55"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ind w:left="200"/>
              <w:spacing w:after="0" w:line="68" w:lineRule="exact"/>
              <w:rPr>
                <w:sz w:val="20"/>
                <w:szCs w:val="20"/>
                <w:color w:val="auto"/>
              </w:rPr>
            </w:pPr>
            <w:r>
              <w:rPr>
                <w:rFonts w:ascii="Arial" w:cs="Arial" w:eastAsia="Arial" w:hAnsi="Arial"/>
                <w:sz w:val="7"/>
                <w:szCs w:val="7"/>
                <w:b w:val="1"/>
                <w:bCs w:val="1"/>
                <w:color w:val="auto"/>
              </w:rPr>
              <w:t>New Zealand</w:t>
            </w: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Film rent and advertising cost</w:t>
            </w:r>
          </w:p>
        </w:tc>
        <w:tc>
          <w:tcPr>
            <w:tcW w:w="8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(1,190)</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2%</w:t>
            </w:r>
          </w:p>
        </w:tc>
        <w:tc>
          <w:tcPr>
            <w:tcW w:w="6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8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(1,013)</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2%</w:t>
            </w: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(3,164)</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2%</w:t>
            </w:r>
          </w:p>
        </w:tc>
        <w:tc>
          <w:tcPr>
            <w:tcW w:w="12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4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(3,086)</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2%</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(17)</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(3)</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2820" w:type="dxa"/>
            <w:vAlign w:val="bottom"/>
          </w:tcPr>
          <w:p>
            <w:pPr>
              <w:ind w:left="120"/>
              <w:spacing w:after="0" w:line="68" w:lineRule="exact"/>
              <w:rPr>
                <w:sz w:val="20"/>
                <w:szCs w:val="20"/>
                <w:color w:val="auto"/>
              </w:rPr>
            </w:pPr>
            <w:r>
              <w:rPr>
                <w:rFonts w:ascii="Arial" w:cs="Arial" w:eastAsia="Arial" w:hAnsi="Arial"/>
                <w:sz w:val="7"/>
                <w:szCs w:val="7"/>
                <w:color w:val="auto"/>
              </w:rPr>
              <w:t>Food &amp; beverage cost</w:t>
            </w:r>
          </w:p>
        </w:tc>
        <w:tc>
          <w:tcPr>
            <w:tcW w:w="80" w:type="dxa"/>
            <w:vAlign w:val="bottom"/>
          </w:tcPr>
          <w:p>
            <w:pPr>
              <w:spacing w:after="0"/>
              <w:rPr>
                <w:sz w:val="5"/>
                <w:szCs w:val="5"/>
                <w:color w:val="auto"/>
              </w:rPr>
            </w:pP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(273)</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tcPr>
          <w:p>
            <w:pPr>
              <w:spacing w:after="0"/>
              <w:rPr>
                <w:sz w:val="5"/>
                <w:szCs w:val="5"/>
                <w:color w:val="auto"/>
              </w:rPr>
            </w:pPr>
          </w:p>
        </w:tc>
        <w:tc>
          <w:tcPr>
            <w:tcW w:w="680" w:type="dxa"/>
            <w:vAlign w:val="bottom"/>
          </w:tcPr>
          <w:p>
            <w:pPr>
              <w:ind w:left="40"/>
              <w:spacing w:after="0" w:line="68" w:lineRule="exact"/>
              <w:rPr>
                <w:sz w:val="20"/>
                <w:szCs w:val="20"/>
                <w:color w:val="auto"/>
              </w:rPr>
            </w:pPr>
            <w:r>
              <w:rPr>
                <w:rFonts w:ascii="Arial" w:cs="Arial" w:eastAsia="Arial" w:hAnsi="Arial"/>
                <w:sz w:val="7"/>
                <w:szCs w:val="7"/>
                <w:color w:val="auto"/>
              </w:rPr>
              <w:t>(228)</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(731)</w:t>
            </w:r>
          </w:p>
        </w:tc>
        <w:tc>
          <w:tcPr>
            <w:tcW w:w="56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120" w:type="dxa"/>
            <w:vAlign w:val="bottom"/>
          </w:tcPr>
          <w:p>
            <w:pPr>
              <w:spacing w:after="0"/>
              <w:rPr>
                <w:sz w:val="5"/>
                <w:szCs w:val="5"/>
                <w:color w:val="auto"/>
              </w:rPr>
            </w:pPr>
          </w:p>
        </w:tc>
        <w:tc>
          <w:tcPr>
            <w:tcW w:w="640" w:type="dxa"/>
            <w:vAlign w:val="bottom"/>
          </w:tcPr>
          <w:p>
            <w:pPr>
              <w:spacing w:after="0" w:line="68" w:lineRule="exact"/>
              <w:rPr>
                <w:sz w:val="20"/>
                <w:szCs w:val="20"/>
                <w:color w:val="auto"/>
              </w:rPr>
            </w:pPr>
            <w:r>
              <w:rPr>
                <w:rFonts w:ascii="Arial" w:cs="Arial" w:eastAsia="Arial" w:hAnsi="Arial"/>
                <w:sz w:val="7"/>
                <w:szCs w:val="7"/>
                <w:color w:val="auto"/>
              </w:rPr>
              <w:t>(699)</w:t>
            </w:r>
          </w:p>
        </w:tc>
        <w:tc>
          <w:tcPr>
            <w:tcW w:w="52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color w:val="auto"/>
              </w:rPr>
              <w:t>(20)</w:t>
            </w:r>
          </w:p>
        </w:tc>
        <w:tc>
          <w:tcPr>
            <w:tcW w:w="220" w:type="dxa"/>
            <w:vAlign w:val="bottom"/>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60"/>
              <w:spacing w:after="0" w:line="68" w:lineRule="exact"/>
              <w:rPr>
                <w:sz w:val="20"/>
                <w:szCs w:val="20"/>
                <w:color w:val="auto"/>
              </w:rPr>
            </w:pPr>
            <w:r>
              <w:rPr>
                <w:rFonts w:ascii="Arial" w:cs="Arial" w:eastAsia="Arial" w:hAnsi="Arial"/>
                <w:sz w:val="7"/>
                <w:szCs w:val="7"/>
                <w:color w:val="auto"/>
              </w:rPr>
              <w:t>(5)</w:t>
            </w:r>
          </w:p>
        </w:tc>
        <w:tc>
          <w:tcPr>
            <w:tcW w:w="200" w:type="dxa"/>
            <w:vAlign w:val="bottom"/>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Occupancy expense</w:t>
            </w: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(792)</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w:t>
            </w: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(768)</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2%</w:t>
            </w: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(2,357)</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w:t>
            </w: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(2,383)</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2%</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(3)</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1</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tcBorders>
              <w:bottom w:val="single" w:sz="8" w:color="CCEEFF"/>
            </w:tcBorders>
          </w:tcPr>
          <w:p>
            <w:pPr>
              <w:spacing w:after="0"/>
              <w:rPr>
                <w:sz w:val="5"/>
                <w:szCs w:val="5"/>
                <w:color w:val="auto"/>
              </w:rPr>
            </w:pPr>
          </w:p>
        </w:tc>
        <w:tc>
          <w:tcPr>
            <w:tcW w:w="2820" w:type="dxa"/>
            <w:vAlign w:val="bottom"/>
            <w:tcBorders>
              <w:bottom w:val="single" w:sz="8" w:color="CCEEFF"/>
            </w:tcBorders>
          </w:tcPr>
          <w:p>
            <w:pPr>
              <w:ind w:left="120"/>
              <w:spacing w:after="0" w:line="68" w:lineRule="exact"/>
              <w:rPr>
                <w:sz w:val="20"/>
                <w:szCs w:val="20"/>
                <w:color w:val="auto"/>
              </w:rPr>
            </w:pPr>
            <w:r>
              <w:rPr>
                <w:rFonts w:ascii="Arial" w:cs="Arial" w:eastAsia="Arial" w:hAnsi="Arial"/>
                <w:sz w:val="7"/>
                <w:szCs w:val="7"/>
                <w:color w:val="auto"/>
              </w:rPr>
              <w:t>Other operating expense</w:t>
            </w: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(1,330)</w:t>
            </w:r>
          </w:p>
        </w:tc>
        <w:tc>
          <w:tcPr>
            <w:tcW w:w="50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2%</w:t>
            </w:r>
          </w:p>
        </w:tc>
        <w:tc>
          <w:tcPr>
            <w:tcW w:w="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ind w:left="40"/>
              <w:spacing w:after="0" w:line="68" w:lineRule="exact"/>
              <w:rPr>
                <w:sz w:val="20"/>
                <w:szCs w:val="20"/>
                <w:color w:val="auto"/>
              </w:rPr>
            </w:pPr>
            <w:r>
              <w:rPr>
                <w:rFonts w:ascii="Arial" w:cs="Arial" w:eastAsia="Arial" w:hAnsi="Arial"/>
                <w:sz w:val="7"/>
                <w:szCs w:val="7"/>
                <w:color w:val="auto"/>
              </w:rPr>
              <w:t>(1,203)</w:t>
            </w:r>
          </w:p>
        </w:tc>
        <w:tc>
          <w:tcPr>
            <w:tcW w:w="50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2%</w:t>
            </w:r>
          </w:p>
        </w:tc>
        <w:tc>
          <w:tcPr>
            <w:tcW w:w="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(3,595)</w:t>
            </w:r>
          </w:p>
        </w:tc>
        <w:tc>
          <w:tcPr>
            <w:tcW w:w="56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2%</w:t>
            </w: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color w:val="auto"/>
              </w:rPr>
              <w:t>(3,724)</w:t>
            </w:r>
          </w:p>
        </w:tc>
        <w:tc>
          <w:tcPr>
            <w:tcW w:w="52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3%</w:t>
            </w:r>
          </w:p>
        </w:tc>
        <w:tc>
          <w:tcPr>
            <w:tcW w:w="500" w:type="dxa"/>
            <w:vAlign w:val="bottom"/>
            <w:tcBorders>
              <w:bottom w:val="single" w:sz="8" w:color="CCEEFF"/>
            </w:tcBorders>
            <w:gridSpan w:val="2"/>
          </w:tcPr>
          <w:p>
            <w:pPr>
              <w:ind w:left="80"/>
              <w:spacing w:after="0" w:line="68" w:lineRule="exact"/>
              <w:rPr>
                <w:sz w:val="20"/>
                <w:szCs w:val="20"/>
                <w:color w:val="auto"/>
              </w:rPr>
            </w:pPr>
            <w:r>
              <w:rPr>
                <w:rFonts w:ascii="Arial" w:cs="Arial" w:eastAsia="Arial" w:hAnsi="Arial"/>
                <w:sz w:val="7"/>
                <w:szCs w:val="7"/>
                <w:color w:val="auto"/>
              </w:rPr>
              <w:t>(11)</w:t>
            </w:r>
          </w:p>
        </w:tc>
        <w:tc>
          <w:tcPr>
            <w:tcW w:w="220" w:type="dxa"/>
            <w:vAlign w:val="bottom"/>
            <w:tcBorders>
              <w:bottom w:val="single" w:sz="8" w:color="CCEEFF"/>
            </w:tcBorders>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Borders>
              <w:bottom w:val="single" w:sz="8" w:color="CCEEFF"/>
            </w:tcBorders>
          </w:tcPr>
          <w:p>
            <w:pPr>
              <w:ind w:left="60"/>
              <w:spacing w:after="0" w:line="68" w:lineRule="exact"/>
              <w:rPr>
                <w:sz w:val="20"/>
                <w:szCs w:val="20"/>
                <w:color w:val="auto"/>
              </w:rPr>
            </w:pPr>
            <w:r>
              <w:rPr>
                <w:rFonts w:ascii="Arial" w:cs="Arial" w:eastAsia="Arial" w:hAnsi="Arial"/>
                <w:sz w:val="7"/>
                <w:szCs w:val="7"/>
                <w:color w:val="auto"/>
              </w:rPr>
              <w:t>3</w:t>
            </w:r>
          </w:p>
        </w:tc>
        <w:tc>
          <w:tcPr>
            <w:tcW w:w="200" w:type="dxa"/>
            <w:vAlign w:val="bottom"/>
            <w:tcBorders>
              <w:bottom w:val="single" w:sz="8" w:color="CCEEFF"/>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55"/>
        </w:trPr>
        <w:tc>
          <w:tcPr>
            <w:tcW w:w="1080" w:type="dxa"/>
            <w:vAlign w:val="bottom"/>
            <w:shd w:val="clear" w:color="auto" w:fill="CCEEFF"/>
          </w:tcPr>
          <w:p>
            <w:pPr>
              <w:spacing w:after="0"/>
              <w:rPr>
                <w:sz w:val="4"/>
                <w:szCs w:val="4"/>
                <w:color w:val="auto"/>
              </w:rPr>
            </w:pPr>
          </w:p>
        </w:tc>
        <w:tc>
          <w:tcPr>
            <w:tcW w:w="282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20"/>
              <w:spacing w:after="0" w:line="55" w:lineRule="exact"/>
              <w:rPr>
                <w:sz w:val="20"/>
                <w:szCs w:val="20"/>
                <w:color w:val="auto"/>
              </w:rPr>
            </w:pPr>
            <w:r>
              <w:rPr>
                <w:rFonts w:ascii="Arial" w:cs="Arial" w:eastAsia="Arial" w:hAnsi="Arial"/>
                <w:sz w:val="6"/>
                <w:szCs w:val="6"/>
                <w:b w:val="1"/>
                <w:bCs w:val="1"/>
                <w:color w:val="auto"/>
              </w:rPr>
              <w:t>(3,585)</w:t>
            </w:r>
          </w:p>
        </w:tc>
        <w:tc>
          <w:tcPr>
            <w:tcW w:w="5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6%</w:t>
            </w:r>
          </w:p>
        </w:tc>
        <w:tc>
          <w:tcPr>
            <w:tcW w:w="6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80" w:type="dxa"/>
            <w:vAlign w:val="bottom"/>
            <w:shd w:val="clear" w:color="auto" w:fill="CCEEFF"/>
          </w:tcPr>
          <w:p>
            <w:pPr>
              <w:ind w:left="40"/>
              <w:spacing w:after="0" w:line="55" w:lineRule="exact"/>
              <w:rPr>
                <w:sz w:val="20"/>
                <w:szCs w:val="20"/>
                <w:color w:val="auto"/>
              </w:rPr>
            </w:pPr>
            <w:r>
              <w:rPr>
                <w:rFonts w:ascii="Arial" w:cs="Arial" w:eastAsia="Arial" w:hAnsi="Arial"/>
                <w:sz w:val="6"/>
                <w:szCs w:val="6"/>
                <w:b w:val="1"/>
                <w:bCs w:val="1"/>
                <w:color w:val="auto"/>
              </w:rPr>
              <w:t>(3,212)</w:t>
            </w:r>
          </w:p>
        </w:tc>
        <w:tc>
          <w:tcPr>
            <w:tcW w:w="5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7%</w:t>
            </w: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20"/>
              <w:spacing w:after="0" w:line="55" w:lineRule="exact"/>
              <w:rPr>
                <w:sz w:val="20"/>
                <w:szCs w:val="20"/>
                <w:color w:val="auto"/>
              </w:rPr>
            </w:pPr>
            <w:r>
              <w:rPr>
                <w:rFonts w:ascii="Arial" w:cs="Arial" w:eastAsia="Arial" w:hAnsi="Arial"/>
                <w:sz w:val="6"/>
                <w:szCs w:val="6"/>
                <w:b w:val="1"/>
                <w:bCs w:val="1"/>
                <w:color w:val="auto"/>
              </w:rPr>
              <w:t>(9,847)</w:t>
            </w:r>
          </w:p>
        </w:tc>
        <w:tc>
          <w:tcPr>
            <w:tcW w:w="56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6%</w:t>
            </w:r>
          </w:p>
        </w:tc>
        <w:tc>
          <w:tcPr>
            <w:tcW w:w="12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w:t>
            </w:r>
          </w:p>
        </w:tc>
        <w:tc>
          <w:tcPr>
            <w:tcW w:w="64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color w:val="auto"/>
              </w:rPr>
              <w:t>(9,892)</w:t>
            </w:r>
          </w:p>
        </w:tc>
        <w:tc>
          <w:tcPr>
            <w:tcW w:w="520" w:type="dxa"/>
            <w:vAlign w:val="bottom"/>
            <w:shd w:val="clear" w:color="auto" w:fill="CCEEFF"/>
          </w:tcPr>
          <w:p>
            <w:pPr>
              <w:spacing w:after="0" w:line="55" w:lineRule="exact"/>
              <w:rPr>
                <w:sz w:val="20"/>
                <w:szCs w:val="20"/>
                <w:color w:val="auto"/>
              </w:rPr>
            </w:pPr>
            <w:r>
              <w:rPr>
                <w:rFonts w:ascii="Arial" w:cs="Arial" w:eastAsia="Arial" w:hAnsi="Arial"/>
                <w:sz w:val="6"/>
                <w:szCs w:val="6"/>
                <w:b w:val="1"/>
                <w:bCs w:val="1"/>
                <w:i w:val="1"/>
                <w:iCs w:val="1"/>
                <w:color w:val="auto"/>
              </w:rPr>
              <w:t>7%</w:t>
            </w:r>
          </w:p>
        </w:tc>
        <w:tc>
          <w:tcPr>
            <w:tcW w:w="500" w:type="dxa"/>
            <w:vAlign w:val="bottom"/>
            <w:gridSpan w:val="2"/>
            <w:shd w:val="clear" w:color="auto" w:fill="CCEEFF"/>
          </w:tcPr>
          <w:p>
            <w:pPr>
              <w:ind w:left="80"/>
              <w:spacing w:after="0" w:line="55" w:lineRule="exact"/>
              <w:rPr>
                <w:sz w:val="20"/>
                <w:szCs w:val="20"/>
                <w:color w:val="auto"/>
              </w:rPr>
            </w:pPr>
            <w:r>
              <w:rPr>
                <w:rFonts w:ascii="Arial" w:cs="Arial" w:eastAsia="Arial" w:hAnsi="Arial"/>
                <w:sz w:val="6"/>
                <w:szCs w:val="6"/>
                <w:b w:val="1"/>
                <w:bCs w:val="1"/>
                <w:color w:val="auto"/>
              </w:rPr>
              <w:t>(12)</w:t>
            </w:r>
          </w:p>
        </w:tc>
        <w:tc>
          <w:tcPr>
            <w:tcW w:w="220" w:type="dxa"/>
            <w:vAlign w:val="bottom"/>
            <w:shd w:val="clear" w:color="auto" w:fill="CCEEFF"/>
          </w:tcPr>
          <w:p>
            <w:pPr>
              <w:jc w:val="right"/>
              <w:ind w:right="8"/>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shd w:val="clear" w:color="auto" w:fill="CCEEFF"/>
          </w:tcPr>
          <w:p>
            <w:pPr>
              <w:ind w:left="60"/>
              <w:spacing w:after="0" w:line="55" w:lineRule="exact"/>
              <w:rPr>
                <w:sz w:val="20"/>
                <w:szCs w:val="20"/>
                <w:color w:val="auto"/>
              </w:rPr>
            </w:pPr>
            <w:r>
              <w:rPr>
                <w:rFonts w:ascii="Arial" w:cs="Arial" w:eastAsia="Arial" w:hAnsi="Arial"/>
                <w:sz w:val="6"/>
                <w:szCs w:val="6"/>
                <w:b w:val="1"/>
                <w:bCs w:val="1"/>
                <w:color w:val="auto"/>
              </w:rPr>
              <w:t>-</w:t>
            </w:r>
          </w:p>
        </w:tc>
        <w:tc>
          <w:tcPr>
            <w:tcW w:w="200" w:type="dxa"/>
            <w:vAlign w:val="bottom"/>
            <w:shd w:val="clear" w:color="auto" w:fill="CCEEFF"/>
          </w:tcPr>
          <w:p>
            <w:pPr>
              <w:jc w:val="right"/>
              <w:ind w:right="48"/>
              <w:spacing w:after="0" w:line="55"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080" w:type="dxa"/>
            <w:vAlign w:val="bottom"/>
            <w:tcBorders>
              <w:bottom w:val="single" w:sz="8" w:color="CCEEFF"/>
            </w:tcBorders>
            <w:shd w:val="clear" w:color="auto" w:fill="CCEEFF"/>
          </w:tcPr>
          <w:p>
            <w:pPr>
              <w:ind w:left="200"/>
              <w:spacing w:after="0" w:line="48" w:lineRule="exact"/>
              <w:rPr>
                <w:sz w:val="20"/>
                <w:szCs w:val="20"/>
                <w:color w:val="auto"/>
              </w:rPr>
            </w:pPr>
            <w:r>
              <w:rPr>
                <w:rFonts w:ascii="Arial" w:cs="Arial" w:eastAsia="Arial" w:hAnsi="Arial"/>
                <w:sz w:val="5"/>
                <w:szCs w:val="5"/>
                <w:b w:val="1"/>
                <w:bCs w:val="1"/>
                <w:color w:val="auto"/>
              </w:rPr>
              <w:t>Total operating expense</w:t>
            </w:r>
          </w:p>
        </w:tc>
        <w:tc>
          <w:tcPr>
            <w:tcW w:w="28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w:t>
            </w:r>
          </w:p>
        </w:tc>
        <w:tc>
          <w:tcPr>
            <w:tcW w:w="660" w:type="dxa"/>
            <w:vAlign w:val="bottom"/>
            <w:tcBorders>
              <w:bottom w:val="single" w:sz="8" w:color="auto"/>
            </w:tcBorders>
            <w:shd w:val="clear" w:color="auto" w:fill="CCEEFF"/>
          </w:tcPr>
          <w:p>
            <w:pPr>
              <w:ind w:left="20"/>
              <w:spacing w:after="0" w:line="48" w:lineRule="exact"/>
              <w:rPr>
                <w:sz w:val="20"/>
                <w:szCs w:val="20"/>
                <w:color w:val="auto"/>
              </w:rPr>
            </w:pPr>
            <w:r>
              <w:rPr>
                <w:rFonts w:ascii="Arial" w:cs="Arial" w:eastAsia="Arial" w:hAnsi="Arial"/>
                <w:sz w:val="5"/>
                <w:szCs w:val="5"/>
                <w:b w:val="1"/>
                <w:bCs w:val="1"/>
                <w:color w:val="auto"/>
              </w:rPr>
              <w:t>(54,460)</w:t>
            </w:r>
          </w:p>
        </w:tc>
        <w:tc>
          <w:tcPr>
            <w:tcW w:w="500" w:type="dxa"/>
            <w:vAlign w:val="bottom"/>
            <w:tcBorders>
              <w:bottom w:val="single" w:sz="8" w:color="CCEEFF"/>
            </w:tcBorders>
            <w:shd w:val="clear" w:color="auto" w:fill="CCEEFF"/>
          </w:tcPr>
          <w:p>
            <w:pPr>
              <w:spacing w:after="0" w:line="48" w:lineRule="exact"/>
              <w:rPr>
                <w:sz w:val="20"/>
                <w:szCs w:val="20"/>
                <w:color w:val="auto"/>
              </w:rPr>
            </w:pPr>
            <w:r>
              <w:rPr>
                <w:rFonts w:ascii="Arial" w:cs="Arial" w:eastAsia="Arial" w:hAnsi="Arial"/>
                <w:sz w:val="5"/>
                <w:szCs w:val="5"/>
                <w:b w:val="1"/>
                <w:bCs w:val="1"/>
                <w:i w:val="1"/>
                <w:iCs w:val="1"/>
                <w:color w:val="auto"/>
              </w:rPr>
              <w:t>87%</w:t>
            </w:r>
          </w:p>
        </w:tc>
        <w:tc>
          <w:tcPr>
            <w:tcW w:w="6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w:t>
            </w:r>
          </w:p>
        </w:tc>
        <w:tc>
          <w:tcPr>
            <w:tcW w:w="680" w:type="dxa"/>
            <w:vAlign w:val="bottom"/>
            <w:tcBorders>
              <w:bottom w:val="single" w:sz="8" w:color="auto"/>
            </w:tcBorders>
            <w:shd w:val="clear" w:color="auto" w:fill="CCEEFF"/>
          </w:tcPr>
          <w:p>
            <w:pPr>
              <w:ind w:left="40"/>
              <w:spacing w:after="0" w:line="48" w:lineRule="exact"/>
              <w:rPr>
                <w:sz w:val="20"/>
                <w:szCs w:val="20"/>
                <w:color w:val="auto"/>
              </w:rPr>
            </w:pPr>
            <w:r>
              <w:rPr>
                <w:rFonts w:ascii="Arial" w:cs="Arial" w:eastAsia="Arial" w:hAnsi="Arial"/>
                <w:sz w:val="5"/>
                <w:szCs w:val="5"/>
                <w:b w:val="1"/>
                <w:bCs w:val="1"/>
                <w:color w:val="auto"/>
              </w:rPr>
              <w:t>(46,541)</w:t>
            </w:r>
          </w:p>
        </w:tc>
        <w:tc>
          <w:tcPr>
            <w:tcW w:w="500" w:type="dxa"/>
            <w:vAlign w:val="bottom"/>
            <w:tcBorders>
              <w:bottom w:val="single" w:sz="8" w:color="CCEEFF"/>
            </w:tcBorders>
            <w:shd w:val="clear" w:color="auto" w:fill="CCEEFF"/>
          </w:tcPr>
          <w:p>
            <w:pPr>
              <w:spacing w:after="0" w:line="48" w:lineRule="exact"/>
              <w:rPr>
                <w:sz w:val="20"/>
                <w:szCs w:val="20"/>
                <w:color w:val="auto"/>
              </w:rPr>
            </w:pPr>
            <w:r>
              <w:rPr>
                <w:rFonts w:ascii="Arial" w:cs="Arial" w:eastAsia="Arial" w:hAnsi="Arial"/>
                <w:sz w:val="5"/>
                <w:szCs w:val="5"/>
                <w:b w:val="1"/>
                <w:bCs w:val="1"/>
                <w:i w:val="1"/>
                <w:iCs w:val="1"/>
                <w:color w:val="auto"/>
              </w:rPr>
              <w:t>96%</w:t>
            </w:r>
          </w:p>
        </w:tc>
        <w:tc>
          <w:tcPr>
            <w:tcW w:w="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w:t>
            </w:r>
          </w:p>
        </w:tc>
        <w:tc>
          <w:tcPr>
            <w:tcW w:w="660" w:type="dxa"/>
            <w:vAlign w:val="bottom"/>
            <w:tcBorders>
              <w:bottom w:val="single" w:sz="8" w:color="auto"/>
            </w:tcBorders>
            <w:shd w:val="clear" w:color="auto" w:fill="CCEEFF"/>
          </w:tcPr>
          <w:p>
            <w:pPr>
              <w:ind w:left="20"/>
              <w:spacing w:after="0" w:line="48" w:lineRule="exact"/>
              <w:rPr>
                <w:sz w:val="20"/>
                <w:szCs w:val="20"/>
                <w:color w:val="auto"/>
              </w:rPr>
            </w:pPr>
            <w:r>
              <w:rPr>
                <w:rFonts w:ascii="Arial" w:cs="Arial" w:eastAsia="Arial" w:hAnsi="Arial"/>
                <w:sz w:val="5"/>
                <w:szCs w:val="5"/>
                <w:b w:val="1"/>
                <w:bCs w:val="1"/>
                <w:color w:val="auto"/>
              </w:rPr>
              <w:t>(149,941)</w:t>
            </w:r>
          </w:p>
        </w:tc>
        <w:tc>
          <w:tcPr>
            <w:tcW w:w="560" w:type="dxa"/>
            <w:vAlign w:val="bottom"/>
            <w:tcBorders>
              <w:bottom w:val="single" w:sz="8" w:color="CCEEFF"/>
            </w:tcBorders>
            <w:shd w:val="clear" w:color="auto" w:fill="CCEEFF"/>
          </w:tcPr>
          <w:p>
            <w:pPr>
              <w:spacing w:after="0" w:line="48" w:lineRule="exact"/>
              <w:rPr>
                <w:sz w:val="20"/>
                <w:szCs w:val="20"/>
                <w:color w:val="auto"/>
              </w:rPr>
            </w:pPr>
            <w:r>
              <w:rPr>
                <w:rFonts w:ascii="Arial" w:cs="Arial" w:eastAsia="Arial" w:hAnsi="Arial"/>
                <w:sz w:val="5"/>
                <w:szCs w:val="5"/>
                <w:b w:val="1"/>
                <w:bCs w:val="1"/>
                <w:i w:val="1"/>
                <w:iCs w:val="1"/>
                <w:color w:val="auto"/>
              </w:rPr>
              <w:t>90%</w:t>
            </w:r>
          </w:p>
        </w:tc>
        <w:tc>
          <w:tcPr>
            <w:tcW w:w="12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w:t>
            </w:r>
          </w:p>
        </w:tc>
        <w:tc>
          <w:tcPr>
            <w:tcW w:w="64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(138,412)</w:t>
            </w:r>
          </w:p>
        </w:tc>
        <w:tc>
          <w:tcPr>
            <w:tcW w:w="520" w:type="dxa"/>
            <w:vAlign w:val="bottom"/>
            <w:tcBorders>
              <w:bottom w:val="single" w:sz="8" w:color="CCEEFF"/>
            </w:tcBorders>
            <w:shd w:val="clear" w:color="auto" w:fill="CCEEFF"/>
          </w:tcPr>
          <w:p>
            <w:pPr>
              <w:spacing w:after="0" w:line="48" w:lineRule="exact"/>
              <w:rPr>
                <w:sz w:val="20"/>
                <w:szCs w:val="20"/>
                <w:color w:val="auto"/>
              </w:rPr>
            </w:pPr>
            <w:r>
              <w:rPr>
                <w:rFonts w:ascii="Arial" w:cs="Arial" w:eastAsia="Arial" w:hAnsi="Arial"/>
                <w:sz w:val="5"/>
                <w:szCs w:val="5"/>
                <w:b w:val="1"/>
                <w:bCs w:val="1"/>
                <w:i w:val="1"/>
                <w:iCs w:val="1"/>
                <w:color w:val="auto"/>
              </w:rPr>
              <w:t>94%</w:t>
            </w:r>
          </w:p>
        </w:tc>
        <w:tc>
          <w:tcPr>
            <w:tcW w:w="500" w:type="dxa"/>
            <w:vAlign w:val="bottom"/>
            <w:tcBorders>
              <w:bottom w:val="single" w:sz="8" w:color="CCEEFF"/>
            </w:tcBorders>
            <w:gridSpan w:val="2"/>
            <w:shd w:val="clear" w:color="auto" w:fill="CCEEFF"/>
          </w:tcPr>
          <w:p>
            <w:pPr>
              <w:ind w:left="80"/>
              <w:spacing w:after="0" w:line="48" w:lineRule="exact"/>
              <w:rPr>
                <w:sz w:val="20"/>
                <w:szCs w:val="20"/>
                <w:color w:val="auto"/>
              </w:rPr>
            </w:pPr>
            <w:r>
              <w:rPr>
                <w:rFonts w:ascii="Arial" w:cs="Arial" w:eastAsia="Arial" w:hAnsi="Arial"/>
                <w:sz w:val="5"/>
                <w:szCs w:val="5"/>
                <w:b w:val="1"/>
                <w:bCs w:val="1"/>
                <w:color w:val="auto"/>
              </w:rPr>
              <w:t>(17)</w:t>
            </w:r>
          </w:p>
        </w:tc>
        <w:tc>
          <w:tcPr>
            <w:tcW w:w="220" w:type="dxa"/>
            <w:vAlign w:val="bottom"/>
            <w:tcBorders>
              <w:bottom w:val="single" w:sz="8" w:color="CCEEFF"/>
            </w:tcBorders>
            <w:shd w:val="clear" w:color="auto" w:fill="CCEEFF"/>
          </w:tcPr>
          <w:p>
            <w:pPr>
              <w:jc w:val="right"/>
              <w:ind w:right="8"/>
              <w:spacing w:after="0" w:line="48" w:lineRule="exact"/>
              <w:rPr>
                <w:sz w:val="20"/>
                <w:szCs w:val="20"/>
                <w:color w:val="auto"/>
              </w:rPr>
            </w:pPr>
            <w:r>
              <w:rPr>
                <w:rFonts w:ascii="Arial" w:cs="Arial" w:eastAsia="Arial" w:hAnsi="Arial"/>
                <w:sz w:val="5"/>
                <w:szCs w:val="5"/>
                <w:b w:val="1"/>
                <w:bCs w:val="1"/>
                <w:color w:val="auto"/>
              </w:rPr>
              <w:t>%</w:t>
            </w:r>
          </w:p>
        </w:tc>
        <w:tc>
          <w:tcPr>
            <w:tcW w:w="660" w:type="dxa"/>
            <w:vAlign w:val="bottom"/>
            <w:tcBorders>
              <w:bottom w:val="single" w:sz="8" w:color="CCEEFF"/>
            </w:tcBorders>
            <w:shd w:val="clear" w:color="auto" w:fill="CCEEFF"/>
          </w:tcPr>
          <w:p>
            <w:pPr>
              <w:ind w:left="60"/>
              <w:spacing w:after="0" w:line="48" w:lineRule="exact"/>
              <w:rPr>
                <w:sz w:val="20"/>
                <w:szCs w:val="20"/>
                <w:color w:val="auto"/>
              </w:rPr>
            </w:pPr>
            <w:r>
              <w:rPr>
                <w:rFonts w:ascii="Arial" w:cs="Arial" w:eastAsia="Arial" w:hAnsi="Arial"/>
                <w:sz w:val="5"/>
                <w:szCs w:val="5"/>
                <w:b w:val="1"/>
                <w:bCs w:val="1"/>
                <w:color w:val="auto"/>
              </w:rPr>
              <w:t>(8)</w:t>
            </w:r>
          </w:p>
        </w:tc>
        <w:tc>
          <w:tcPr>
            <w:tcW w:w="200" w:type="dxa"/>
            <w:vAlign w:val="bottom"/>
            <w:tcBorders>
              <w:bottom w:val="single" w:sz="8" w:color="CCEEFF"/>
            </w:tcBorders>
            <w:shd w:val="clear" w:color="auto" w:fill="CCEEFF"/>
          </w:tcPr>
          <w:p>
            <w:pPr>
              <w:jc w:val="right"/>
              <w:ind w:right="48"/>
              <w:spacing w:after="0" w:line="48" w:lineRule="exact"/>
              <w:rPr>
                <w:sz w:val="20"/>
                <w:szCs w:val="20"/>
                <w:color w:val="auto"/>
              </w:rPr>
            </w:pPr>
            <w:r>
              <w:rPr>
                <w:rFonts w:ascii="Arial" w:cs="Arial" w:eastAsia="Arial" w:hAnsi="Arial"/>
                <w:sz w:val="5"/>
                <w:szCs w:val="5"/>
                <w:b w:val="1"/>
                <w:bCs w:val="1"/>
                <w:color w:val="auto"/>
              </w:rPr>
              <w:t>%</w:t>
            </w:r>
          </w:p>
        </w:tc>
        <w:tc>
          <w:tcPr>
            <w:tcW w:w="0" w:type="dxa"/>
            <w:vAlign w:val="bottom"/>
          </w:tcPr>
          <w:p>
            <w:pPr>
              <w:spacing w:after="0"/>
              <w:rPr>
                <w:sz w:val="1"/>
                <w:szCs w:val="1"/>
                <w:color w:val="auto"/>
              </w:rPr>
            </w:pPr>
          </w:p>
        </w:tc>
      </w:tr>
      <w:tr>
        <w:trPr>
          <w:trHeight w:val="43"/>
        </w:trPr>
        <w:tc>
          <w:tcPr>
            <w:tcW w:w="3900" w:type="dxa"/>
            <w:vAlign w:val="bottom"/>
            <w:gridSpan w:val="2"/>
          </w:tcPr>
          <w:p>
            <w:pPr>
              <w:spacing w:after="0"/>
              <w:rPr>
                <w:sz w:val="20"/>
                <w:szCs w:val="20"/>
                <w:color w:val="auto"/>
              </w:rPr>
            </w:pPr>
            <w:r>
              <w:rPr>
                <w:rFonts w:ascii="Arial" w:cs="Arial" w:eastAsia="Arial" w:hAnsi="Arial"/>
                <w:sz w:val="3"/>
                <w:szCs w:val="3"/>
                <w:b w:val="1"/>
                <w:bCs w:val="1"/>
                <w:color w:val="auto"/>
              </w:rPr>
              <w:t>DEPRECIATION, AMORTIZATION, IMPAIRMENT AND GENERAL AND ADMINISTRATIVE EXPENSE</w:t>
            </w: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ind w:left="200"/>
              <w:spacing w:after="0" w:line="68" w:lineRule="exact"/>
              <w:rPr>
                <w:sz w:val="20"/>
                <w:szCs w:val="20"/>
                <w:color w:val="auto"/>
              </w:rPr>
            </w:pPr>
            <w:r>
              <w:rPr>
                <w:rFonts w:ascii="Arial" w:cs="Arial" w:eastAsia="Arial" w:hAnsi="Arial"/>
                <w:sz w:val="7"/>
                <w:szCs w:val="7"/>
                <w:b w:val="1"/>
                <w:bCs w:val="1"/>
                <w:color w:val="auto"/>
              </w:rPr>
              <w:t>United States</w:t>
            </w: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Depreciation and amortization</w:t>
            </w:r>
          </w:p>
        </w:tc>
        <w:tc>
          <w:tcPr>
            <w:tcW w:w="8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(1,458)</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2%</w:t>
            </w:r>
          </w:p>
        </w:tc>
        <w:tc>
          <w:tcPr>
            <w:tcW w:w="6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8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(1,696)</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4%</w:t>
            </w: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(4,518)</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3%</w:t>
            </w:r>
          </w:p>
        </w:tc>
        <w:tc>
          <w:tcPr>
            <w:tcW w:w="12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4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(5,373)</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4%</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14</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16</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2820" w:type="dxa"/>
            <w:vAlign w:val="bottom"/>
          </w:tcPr>
          <w:p>
            <w:pPr>
              <w:ind w:left="120"/>
              <w:spacing w:after="0" w:line="68" w:lineRule="exact"/>
              <w:rPr>
                <w:sz w:val="20"/>
                <w:szCs w:val="20"/>
                <w:color w:val="auto"/>
              </w:rPr>
            </w:pPr>
            <w:r>
              <w:rPr>
                <w:rFonts w:ascii="Arial" w:cs="Arial" w:eastAsia="Arial" w:hAnsi="Arial"/>
                <w:sz w:val="7"/>
                <w:szCs w:val="7"/>
                <w:color w:val="auto"/>
              </w:rPr>
              <w:t>Impairment of long-lived assets</w:t>
            </w:r>
          </w:p>
        </w:tc>
        <w:tc>
          <w:tcPr>
            <w:tcW w:w="80" w:type="dxa"/>
            <w:vAlign w:val="bottom"/>
          </w:tcPr>
          <w:p>
            <w:pPr>
              <w:spacing w:after="0"/>
              <w:rPr>
                <w:sz w:val="5"/>
                <w:szCs w:val="5"/>
                <w:color w:val="auto"/>
              </w:rPr>
            </w:pP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tcPr>
          <w:p>
            <w:pPr>
              <w:spacing w:after="0"/>
              <w:rPr>
                <w:sz w:val="5"/>
                <w:szCs w:val="5"/>
                <w:color w:val="auto"/>
              </w:rPr>
            </w:pPr>
          </w:p>
        </w:tc>
        <w:tc>
          <w:tcPr>
            <w:tcW w:w="6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120" w:type="dxa"/>
            <w:vAlign w:val="bottom"/>
          </w:tcPr>
          <w:p>
            <w:pPr>
              <w:spacing w:after="0"/>
              <w:rPr>
                <w:sz w:val="5"/>
                <w:szCs w:val="5"/>
                <w:color w:val="auto"/>
              </w:rPr>
            </w:pPr>
          </w:p>
        </w:tc>
        <w:tc>
          <w:tcPr>
            <w:tcW w:w="640" w:type="dxa"/>
            <w:vAlign w:val="bottom"/>
          </w:tcPr>
          <w:p>
            <w:pPr>
              <w:spacing w:after="0" w:line="68" w:lineRule="exact"/>
              <w:rPr>
                <w:sz w:val="20"/>
                <w:szCs w:val="20"/>
                <w:color w:val="auto"/>
              </w:rPr>
            </w:pPr>
            <w:r>
              <w:rPr>
                <w:rFonts w:ascii="Arial" w:cs="Arial" w:eastAsia="Arial" w:hAnsi="Arial"/>
                <w:sz w:val="7"/>
                <w:szCs w:val="7"/>
                <w:color w:val="auto"/>
              </w:rPr>
              <w:t>(1,549)</w:t>
            </w:r>
          </w:p>
        </w:tc>
        <w:tc>
          <w:tcPr>
            <w:tcW w:w="520" w:type="dxa"/>
            <w:vAlign w:val="bottom"/>
          </w:tcPr>
          <w:p>
            <w:pPr>
              <w:spacing w:after="0" w:line="68" w:lineRule="exact"/>
              <w:rPr>
                <w:sz w:val="20"/>
                <w:szCs w:val="20"/>
                <w:color w:val="auto"/>
              </w:rPr>
            </w:pPr>
            <w:r>
              <w:rPr>
                <w:rFonts w:ascii="Arial" w:cs="Arial" w:eastAsia="Arial" w:hAnsi="Arial"/>
                <w:sz w:val="7"/>
                <w:szCs w:val="7"/>
                <w:i w:val="1"/>
                <w:iCs w:val="1"/>
                <w:color w:val="auto"/>
              </w:rPr>
              <w:t>1%</w:t>
            </w:r>
          </w:p>
        </w:tc>
        <w:tc>
          <w:tcPr>
            <w:tcW w:w="500" w:type="dxa"/>
            <w:vAlign w:val="bottom"/>
            <w:gridSpan w:val="2"/>
          </w:tcPr>
          <w:p>
            <w:pPr>
              <w:ind w:left="60"/>
              <w:spacing w:after="0" w:line="68" w:lineRule="exact"/>
              <w:rPr>
                <w:sz w:val="20"/>
                <w:szCs w:val="20"/>
                <w:color w:val="auto"/>
              </w:rPr>
            </w:pPr>
            <w:r>
              <w:rPr>
                <w:rFonts w:ascii="Arial" w:cs="Arial" w:eastAsia="Arial" w:hAnsi="Arial"/>
                <w:sz w:val="7"/>
                <w:szCs w:val="7"/>
                <w:color w:val="auto"/>
              </w:rPr>
              <w:t>(&gt;100)</w:t>
            </w:r>
          </w:p>
        </w:tc>
        <w:tc>
          <w:tcPr>
            <w:tcW w:w="220" w:type="dxa"/>
            <w:vAlign w:val="bottom"/>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40"/>
              <w:spacing w:after="0" w:line="68" w:lineRule="exact"/>
              <w:rPr>
                <w:sz w:val="20"/>
                <w:szCs w:val="20"/>
                <w:color w:val="auto"/>
              </w:rPr>
            </w:pPr>
            <w:r>
              <w:rPr>
                <w:rFonts w:ascii="Arial" w:cs="Arial" w:eastAsia="Arial" w:hAnsi="Arial"/>
                <w:sz w:val="7"/>
                <w:szCs w:val="7"/>
                <w:color w:val="auto"/>
              </w:rPr>
              <w:t>(&gt;100)</w:t>
            </w:r>
          </w:p>
        </w:tc>
        <w:tc>
          <w:tcPr>
            <w:tcW w:w="200" w:type="dxa"/>
            <w:vAlign w:val="bottom"/>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General and administrative expense</w:t>
            </w:r>
          </w:p>
        </w:tc>
        <w:tc>
          <w:tcPr>
            <w:tcW w:w="8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(672)</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w:t>
            </w:r>
          </w:p>
        </w:tc>
        <w:tc>
          <w:tcPr>
            <w:tcW w:w="6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(408)</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w:t>
            </w:r>
          </w:p>
        </w:tc>
        <w:tc>
          <w:tcPr>
            <w:tcW w:w="6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(1,839)</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w:t>
            </w:r>
          </w:p>
        </w:tc>
        <w:tc>
          <w:tcPr>
            <w:tcW w:w="12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(2,121)</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(65)</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13</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55"/>
        </w:trPr>
        <w:tc>
          <w:tcPr>
            <w:tcW w:w="10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tcPr>
          <w:p>
            <w:pPr>
              <w:ind w:left="20"/>
              <w:spacing w:after="0" w:line="55" w:lineRule="exact"/>
              <w:rPr>
                <w:sz w:val="20"/>
                <w:szCs w:val="20"/>
                <w:color w:val="auto"/>
              </w:rPr>
            </w:pPr>
            <w:r>
              <w:rPr>
                <w:rFonts w:ascii="Arial" w:cs="Arial" w:eastAsia="Arial" w:hAnsi="Arial"/>
                <w:sz w:val="6"/>
                <w:szCs w:val="6"/>
                <w:b w:val="1"/>
                <w:bCs w:val="1"/>
                <w:color w:val="auto"/>
              </w:rPr>
              <w:t>(2,130)</w:t>
            </w:r>
          </w:p>
        </w:tc>
        <w:tc>
          <w:tcPr>
            <w:tcW w:w="50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3%</w:t>
            </w:r>
          </w:p>
        </w:tc>
        <w:tc>
          <w:tcPr>
            <w:tcW w:w="6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80" w:type="dxa"/>
            <w:vAlign w:val="bottom"/>
          </w:tcPr>
          <w:p>
            <w:pPr>
              <w:ind w:left="40"/>
              <w:spacing w:after="0" w:line="55" w:lineRule="exact"/>
              <w:rPr>
                <w:sz w:val="20"/>
                <w:szCs w:val="20"/>
                <w:color w:val="auto"/>
              </w:rPr>
            </w:pPr>
            <w:r>
              <w:rPr>
                <w:rFonts w:ascii="Arial" w:cs="Arial" w:eastAsia="Arial" w:hAnsi="Arial"/>
                <w:sz w:val="6"/>
                <w:szCs w:val="6"/>
                <w:b w:val="1"/>
                <w:bCs w:val="1"/>
                <w:color w:val="auto"/>
              </w:rPr>
              <w:t>(2,104)</w:t>
            </w:r>
          </w:p>
        </w:tc>
        <w:tc>
          <w:tcPr>
            <w:tcW w:w="50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4%</w:t>
            </w:r>
          </w:p>
        </w:tc>
        <w:tc>
          <w:tcPr>
            <w:tcW w:w="60" w:type="dxa"/>
            <w:vAlign w:val="bottom"/>
          </w:tcPr>
          <w:p>
            <w:pPr>
              <w:spacing w:after="0"/>
              <w:rPr>
                <w:sz w:val="4"/>
                <w:szCs w:val="4"/>
                <w:color w:val="auto"/>
              </w:rPr>
            </w:pPr>
          </w:p>
        </w:tc>
        <w:tc>
          <w:tcPr>
            <w:tcW w:w="10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tcPr>
          <w:p>
            <w:pPr>
              <w:ind w:left="20"/>
              <w:spacing w:after="0" w:line="55" w:lineRule="exact"/>
              <w:rPr>
                <w:sz w:val="20"/>
                <w:szCs w:val="20"/>
                <w:color w:val="auto"/>
              </w:rPr>
            </w:pPr>
            <w:r>
              <w:rPr>
                <w:rFonts w:ascii="Arial" w:cs="Arial" w:eastAsia="Arial" w:hAnsi="Arial"/>
                <w:sz w:val="6"/>
                <w:szCs w:val="6"/>
                <w:b w:val="1"/>
                <w:bCs w:val="1"/>
                <w:color w:val="auto"/>
              </w:rPr>
              <w:t>(6,357)</w:t>
            </w:r>
          </w:p>
        </w:tc>
        <w:tc>
          <w:tcPr>
            <w:tcW w:w="56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4%</w:t>
            </w:r>
          </w:p>
        </w:tc>
        <w:tc>
          <w:tcPr>
            <w:tcW w:w="12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40" w:type="dxa"/>
            <w:vAlign w:val="bottom"/>
          </w:tcPr>
          <w:p>
            <w:pPr>
              <w:spacing w:after="0" w:line="55" w:lineRule="exact"/>
              <w:rPr>
                <w:sz w:val="20"/>
                <w:szCs w:val="20"/>
                <w:color w:val="auto"/>
              </w:rPr>
            </w:pPr>
            <w:r>
              <w:rPr>
                <w:rFonts w:ascii="Arial" w:cs="Arial" w:eastAsia="Arial" w:hAnsi="Arial"/>
                <w:sz w:val="6"/>
                <w:szCs w:val="6"/>
                <w:b w:val="1"/>
                <w:bCs w:val="1"/>
                <w:color w:val="auto"/>
              </w:rPr>
              <w:t>(9,043)</w:t>
            </w:r>
          </w:p>
        </w:tc>
        <w:tc>
          <w:tcPr>
            <w:tcW w:w="52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6%</w:t>
            </w:r>
          </w:p>
        </w:tc>
        <w:tc>
          <w:tcPr>
            <w:tcW w:w="500" w:type="dxa"/>
            <w:vAlign w:val="bottom"/>
            <w:gridSpan w:val="2"/>
          </w:tcPr>
          <w:p>
            <w:pPr>
              <w:ind w:left="80"/>
              <w:spacing w:after="0" w:line="55" w:lineRule="exact"/>
              <w:rPr>
                <w:sz w:val="20"/>
                <w:szCs w:val="20"/>
                <w:color w:val="auto"/>
              </w:rPr>
            </w:pPr>
            <w:r>
              <w:rPr>
                <w:rFonts w:ascii="Arial" w:cs="Arial" w:eastAsia="Arial" w:hAnsi="Arial"/>
                <w:sz w:val="6"/>
                <w:szCs w:val="6"/>
                <w:b w:val="1"/>
                <w:bCs w:val="1"/>
                <w:color w:val="auto"/>
              </w:rPr>
              <w:t>(1)</w:t>
            </w:r>
          </w:p>
        </w:tc>
        <w:tc>
          <w:tcPr>
            <w:tcW w:w="220" w:type="dxa"/>
            <w:vAlign w:val="bottom"/>
          </w:tcPr>
          <w:p>
            <w:pPr>
              <w:jc w:val="right"/>
              <w:ind w:right="8"/>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tcPr>
          <w:p>
            <w:pPr>
              <w:ind w:left="60"/>
              <w:spacing w:after="0" w:line="55" w:lineRule="exact"/>
              <w:rPr>
                <w:sz w:val="20"/>
                <w:szCs w:val="20"/>
                <w:color w:val="auto"/>
              </w:rPr>
            </w:pPr>
            <w:r>
              <w:rPr>
                <w:rFonts w:ascii="Arial" w:cs="Arial" w:eastAsia="Arial" w:hAnsi="Arial"/>
                <w:sz w:val="6"/>
                <w:szCs w:val="6"/>
                <w:b w:val="1"/>
                <w:bCs w:val="1"/>
                <w:color w:val="auto"/>
              </w:rPr>
              <w:t>30</w:t>
            </w:r>
          </w:p>
        </w:tc>
        <w:tc>
          <w:tcPr>
            <w:tcW w:w="200" w:type="dxa"/>
            <w:vAlign w:val="bottom"/>
          </w:tcPr>
          <w:p>
            <w:pPr>
              <w:jc w:val="right"/>
              <w:ind w:right="48"/>
              <w:spacing w:after="0" w:line="55"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ind w:left="200"/>
              <w:spacing w:after="0" w:line="68" w:lineRule="exact"/>
              <w:rPr>
                <w:sz w:val="20"/>
                <w:szCs w:val="20"/>
                <w:color w:val="auto"/>
              </w:rPr>
            </w:pPr>
            <w:r>
              <w:rPr>
                <w:rFonts w:ascii="Arial" w:cs="Arial" w:eastAsia="Arial" w:hAnsi="Arial"/>
                <w:sz w:val="7"/>
                <w:szCs w:val="7"/>
                <w:b w:val="1"/>
                <w:bCs w:val="1"/>
                <w:color w:val="auto"/>
              </w:rPr>
              <w:t>Australia</w:t>
            </w: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Depreciation and amortization</w:t>
            </w:r>
          </w:p>
        </w:tc>
        <w:tc>
          <w:tcPr>
            <w:tcW w:w="8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(1,192)</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2%</w:t>
            </w:r>
          </w:p>
        </w:tc>
        <w:tc>
          <w:tcPr>
            <w:tcW w:w="6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8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(1,281)</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3%</w:t>
            </w: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(3,611)</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2%</w:t>
            </w:r>
          </w:p>
        </w:tc>
        <w:tc>
          <w:tcPr>
            <w:tcW w:w="12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4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(4,034)</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3%</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7</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10</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2820" w:type="dxa"/>
            <w:vAlign w:val="bottom"/>
          </w:tcPr>
          <w:p>
            <w:pPr>
              <w:ind w:left="120"/>
              <w:spacing w:after="0" w:line="68" w:lineRule="exact"/>
              <w:rPr>
                <w:sz w:val="20"/>
                <w:szCs w:val="20"/>
                <w:color w:val="auto"/>
              </w:rPr>
            </w:pPr>
            <w:r>
              <w:rPr>
                <w:rFonts w:ascii="Arial" w:cs="Arial" w:eastAsia="Arial" w:hAnsi="Arial"/>
                <w:sz w:val="7"/>
                <w:szCs w:val="7"/>
                <w:color w:val="auto"/>
              </w:rPr>
              <w:t>Impairment expense</w:t>
            </w:r>
          </w:p>
        </w:tc>
        <w:tc>
          <w:tcPr>
            <w:tcW w:w="80" w:type="dxa"/>
            <w:vAlign w:val="bottom"/>
          </w:tcPr>
          <w:p>
            <w:pPr>
              <w:spacing w:after="0"/>
              <w:rPr>
                <w:sz w:val="5"/>
                <w:szCs w:val="5"/>
                <w:color w:val="auto"/>
              </w:rPr>
            </w:pP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tcPr>
          <w:p>
            <w:pPr>
              <w:spacing w:after="0"/>
              <w:rPr>
                <w:sz w:val="5"/>
                <w:szCs w:val="5"/>
                <w:color w:val="auto"/>
              </w:rPr>
            </w:pPr>
          </w:p>
        </w:tc>
        <w:tc>
          <w:tcPr>
            <w:tcW w:w="6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120" w:type="dxa"/>
            <w:vAlign w:val="bottom"/>
          </w:tcPr>
          <w:p>
            <w:pPr>
              <w:spacing w:after="0"/>
              <w:rPr>
                <w:sz w:val="5"/>
                <w:szCs w:val="5"/>
                <w:color w:val="auto"/>
              </w:rPr>
            </w:pPr>
          </w:p>
        </w:tc>
        <w:tc>
          <w:tcPr>
            <w:tcW w:w="640" w:type="dxa"/>
            <w:vAlign w:val="bottom"/>
          </w:tcPr>
          <w:p>
            <w:pPr>
              <w:spacing w:after="0" w:line="68" w:lineRule="exact"/>
              <w:rPr>
                <w:sz w:val="20"/>
                <w:szCs w:val="20"/>
                <w:color w:val="auto"/>
              </w:rPr>
            </w:pPr>
            <w:r>
              <w:rPr>
                <w:rFonts w:ascii="Arial" w:cs="Arial" w:eastAsia="Arial" w:hAnsi="Arial"/>
                <w:sz w:val="7"/>
                <w:szCs w:val="7"/>
                <w:color w:val="auto"/>
              </w:rPr>
              <w:t>—</w:t>
            </w:r>
          </w:p>
        </w:tc>
        <w:tc>
          <w:tcPr>
            <w:tcW w:w="52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color w:val="auto"/>
              </w:rPr>
              <w:t>-</w:t>
            </w:r>
          </w:p>
        </w:tc>
        <w:tc>
          <w:tcPr>
            <w:tcW w:w="220" w:type="dxa"/>
            <w:vAlign w:val="bottom"/>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200" w:type="dxa"/>
            <w:vAlign w:val="bottom"/>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General and administrative expense</w:t>
            </w:r>
          </w:p>
        </w:tc>
        <w:tc>
          <w:tcPr>
            <w:tcW w:w="8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(377)</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w:t>
            </w:r>
          </w:p>
        </w:tc>
        <w:tc>
          <w:tcPr>
            <w:tcW w:w="6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(387)</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w:t>
            </w:r>
          </w:p>
        </w:tc>
        <w:tc>
          <w:tcPr>
            <w:tcW w:w="6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(1,144)</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w:t>
            </w:r>
          </w:p>
        </w:tc>
        <w:tc>
          <w:tcPr>
            <w:tcW w:w="12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(1,239)</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1%</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3</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8</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55"/>
        </w:trPr>
        <w:tc>
          <w:tcPr>
            <w:tcW w:w="10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tcPr>
          <w:p>
            <w:pPr>
              <w:ind w:left="20"/>
              <w:spacing w:after="0" w:line="55" w:lineRule="exact"/>
              <w:rPr>
                <w:sz w:val="20"/>
                <w:szCs w:val="20"/>
                <w:color w:val="auto"/>
              </w:rPr>
            </w:pPr>
            <w:r>
              <w:rPr>
                <w:rFonts w:ascii="Arial" w:cs="Arial" w:eastAsia="Arial" w:hAnsi="Arial"/>
                <w:sz w:val="6"/>
                <w:szCs w:val="6"/>
                <w:b w:val="1"/>
                <w:bCs w:val="1"/>
                <w:color w:val="auto"/>
              </w:rPr>
              <w:t>(1,569)</w:t>
            </w:r>
          </w:p>
        </w:tc>
        <w:tc>
          <w:tcPr>
            <w:tcW w:w="50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3%</w:t>
            </w:r>
          </w:p>
        </w:tc>
        <w:tc>
          <w:tcPr>
            <w:tcW w:w="6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80" w:type="dxa"/>
            <w:vAlign w:val="bottom"/>
          </w:tcPr>
          <w:p>
            <w:pPr>
              <w:ind w:left="40"/>
              <w:spacing w:after="0" w:line="55" w:lineRule="exact"/>
              <w:rPr>
                <w:sz w:val="20"/>
                <w:szCs w:val="20"/>
                <w:color w:val="auto"/>
              </w:rPr>
            </w:pPr>
            <w:r>
              <w:rPr>
                <w:rFonts w:ascii="Arial" w:cs="Arial" w:eastAsia="Arial" w:hAnsi="Arial"/>
                <w:sz w:val="6"/>
                <w:szCs w:val="6"/>
                <w:b w:val="1"/>
                <w:bCs w:val="1"/>
                <w:color w:val="auto"/>
              </w:rPr>
              <w:t>(1,668)</w:t>
            </w:r>
          </w:p>
        </w:tc>
        <w:tc>
          <w:tcPr>
            <w:tcW w:w="50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3%</w:t>
            </w:r>
          </w:p>
        </w:tc>
        <w:tc>
          <w:tcPr>
            <w:tcW w:w="60" w:type="dxa"/>
            <w:vAlign w:val="bottom"/>
          </w:tcPr>
          <w:p>
            <w:pPr>
              <w:spacing w:after="0"/>
              <w:rPr>
                <w:sz w:val="4"/>
                <w:szCs w:val="4"/>
                <w:color w:val="auto"/>
              </w:rPr>
            </w:pPr>
          </w:p>
        </w:tc>
        <w:tc>
          <w:tcPr>
            <w:tcW w:w="10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tcPr>
          <w:p>
            <w:pPr>
              <w:ind w:left="20"/>
              <w:spacing w:after="0" w:line="55" w:lineRule="exact"/>
              <w:rPr>
                <w:sz w:val="20"/>
                <w:szCs w:val="20"/>
                <w:color w:val="auto"/>
              </w:rPr>
            </w:pPr>
            <w:r>
              <w:rPr>
                <w:rFonts w:ascii="Arial" w:cs="Arial" w:eastAsia="Arial" w:hAnsi="Arial"/>
                <w:sz w:val="6"/>
                <w:szCs w:val="6"/>
                <w:b w:val="1"/>
                <w:bCs w:val="1"/>
                <w:color w:val="auto"/>
              </w:rPr>
              <w:t>(4,755)</w:t>
            </w:r>
          </w:p>
        </w:tc>
        <w:tc>
          <w:tcPr>
            <w:tcW w:w="56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3%</w:t>
            </w:r>
          </w:p>
        </w:tc>
        <w:tc>
          <w:tcPr>
            <w:tcW w:w="12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40" w:type="dxa"/>
            <w:vAlign w:val="bottom"/>
          </w:tcPr>
          <w:p>
            <w:pPr>
              <w:spacing w:after="0" w:line="55" w:lineRule="exact"/>
              <w:rPr>
                <w:sz w:val="20"/>
                <w:szCs w:val="20"/>
                <w:color w:val="auto"/>
              </w:rPr>
            </w:pPr>
            <w:r>
              <w:rPr>
                <w:rFonts w:ascii="Arial" w:cs="Arial" w:eastAsia="Arial" w:hAnsi="Arial"/>
                <w:sz w:val="6"/>
                <w:szCs w:val="6"/>
                <w:b w:val="1"/>
                <w:bCs w:val="1"/>
                <w:color w:val="auto"/>
              </w:rPr>
              <w:t>(5,273)</w:t>
            </w:r>
          </w:p>
        </w:tc>
        <w:tc>
          <w:tcPr>
            <w:tcW w:w="52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4%</w:t>
            </w:r>
          </w:p>
        </w:tc>
        <w:tc>
          <w:tcPr>
            <w:tcW w:w="500" w:type="dxa"/>
            <w:vAlign w:val="bottom"/>
            <w:gridSpan w:val="2"/>
          </w:tcPr>
          <w:p>
            <w:pPr>
              <w:ind w:left="80"/>
              <w:spacing w:after="0" w:line="55" w:lineRule="exact"/>
              <w:rPr>
                <w:sz w:val="20"/>
                <w:szCs w:val="20"/>
                <w:color w:val="auto"/>
              </w:rPr>
            </w:pPr>
            <w:r>
              <w:rPr>
                <w:rFonts w:ascii="Arial" w:cs="Arial" w:eastAsia="Arial" w:hAnsi="Arial"/>
                <w:sz w:val="6"/>
                <w:szCs w:val="6"/>
                <w:b w:val="1"/>
                <w:bCs w:val="1"/>
                <w:color w:val="auto"/>
              </w:rPr>
              <w:t>6</w:t>
            </w:r>
          </w:p>
        </w:tc>
        <w:tc>
          <w:tcPr>
            <w:tcW w:w="220" w:type="dxa"/>
            <w:vAlign w:val="bottom"/>
          </w:tcPr>
          <w:p>
            <w:pPr>
              <w:jc w:val="right"/>
              <w:ind w:right="8"/>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tcPr>
          <w:p>
            <w:pPr>
              <w:ind w:left="60"/>
              <w:spacing w:after="0" w:line="55" w:lineRule="exact"/>
              <w:rPr>
                <w:sz w:val="20"/>
                <w:szCs w:val="20"/>
                <w:color w:val="auto"/>
              </w:rPr>
            </w:pPr>
            <w:r>
              <w:rPr>
                <w:rFonts w:ascii="Arial" w:cs="Arial" w:eastAsia="Arial" w:hAnsi="Arial"/>
                <w:sz w:val="6"/>
                <w:szCs w:val="6"/>
                <w:b w:val="1"/>
                <w:bCs w:val="1"/>
                <w:color w:val="auto"/>
              </w:rPr>
              <w:t>10</w:t>
            </w:r>
          </w:p>
        </w:tc>
        <w:tc>
          <w:tcPr>
            <w:tcW w:w="200" w:type="dxa"/>
            <w:vAlign w:val="bottom"/>
          </w:tcPr>
          <w:p>
            <w:pPr>
              <w:jc w:val="right"/>
              <w:ind w:right="48"/>
              <w:spacing w:after="0" w:line="55"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ind w:left="200"/>
              <w:spacing w:after="0" w:line="68" w:lineRule="exact"/>
              <w:rPr>
                <w:sz w:val="20"/>
                <w:szCs w:val="20"/>
                <w:color w:val="auto"/>
              </w:rPr>
            </w:pPr>
            <w:r>
              <w:rPr>
                <w:rFonts w:ascii="Arial" w:cs="Arial" w:eastAsia="Arial" w:hAnsi="Arial"/>
                <w:sz w:val="7"/>
                <w:szCs w:val="7"/>
                <w:b w:val="1"/>
                <w:bCs w:val="1"/>
                <w:color w:val="auto"/>
              </w:rPr>
              <w:t>New Zealand</w:t>
            </w: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Depreciation and amortization</w:t>
            </w:r>
          </w:p>
        </w:tc>
        <w:tc>
          <w:tcPr>
            <w:tcW w:w="8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(134)</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8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(184)</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(422)</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0%</w:t>
            </w:r>
          </w:p>
        </w:tc>
        <w:tc>
          <w:tcPr>
            <w:tcW w:w="12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4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(650)</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0%</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27</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35</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2820" w:type="dxa"/>
            <w:vAlign w:val="bottom"/>
          </w:tcPr>
          <w:p>
            <w:pPr>
              <w:ind w:left="120"/>
              <w:spacing w:after="0" w:line="68" w:lineRule="exact"/>
              <w:rPr>
                <w:sz w:val="20"/>
                <w:szCs w:val="20"/>
                <w:color w:val="auto"/>
              </w:rPr>
            </w:pPr>
            <w:r>
              <w:rPr>
                <w:rFonts w:ascii="Arial" w:cs="Arial" w:eastAsia="Arial" w:hAnsi="Arial"/>
                <w:sz w:val="7"/>
                <w:szCs w:val="7"/>
                <w:color w:val="auto"/>
              </w:rPr>
              <w:t>Impairment expense</w:t>
            </w:r>
          </w:p>
        </w:tc>
        <w:tc>
          <w:tcPr>
            <w:tcW w:w="80" w:type="dxa"/>
            <w:vAlign w:val="bottom"/>
          </w:tcPr>
          <w:p>
            <w:pPr>
              <w:spacing w:after="0"/>
              <w:rPr>
                <w:sz w:val="5"/>
                <w:szCs w:val="5"/>
                <w:color w:val="auto"/>
              </w:rPr>
            </w:pP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tcPr>
          <w:p>
            <w:pPr>
              <w:spacing w:after="0"/>
              <w:rPr>
                <w:sz w:val="5"/>
                <w:szCs w:val="5"/>
                <w:color w:val="auto"/>
              </w:rPr>
            </w:pPr>
          </w:p>
        </w:tc>
        <w:tc>
          <w:tcPr>
            <w:tcW w:w="6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120" w:type="dxa"/>
            <w:vAlign w:val="bottom"/>
          </w:tcPr>
          <w:p>
            <w:pPr>
              <w:spacing w:after="0"/>
              <w:rPr>
                <w:sz w:val="5"/>
                <w:szCs w:val="5"/>
                <w:color w:val="auto"/>
              </w:rPr>
            </w:pPr>
          </w:p>
        </w:tc>
        <w:tc>
          <w:tcPr>
            <w:tcW w:w="640" w:type="dxa"/>
            <w:vAlign w:val="bottom"/>
          </w:tcPr>
          <w:p>
            <w:pPr>
              <w:spacing w:after="0" w:line="68" w:lineRule="exact"/>
              <w:rPr>
                <w:sz w:val="20"/>
                <w:szCs w:val="20"/>
                <w:color w:val="auto"/>
              </w:rPr>
            </w:pPr>
            <w:r>
              <w:rPr>
                <w:rFonts w:ascii="Arial" w:cs="Arial" w:eastAsia="Arial" w:hAnsi="Arial"/>
                <w:sz w:val="7"/>
                <w:szCs w:val="7"/>
                <w:color w:val="auto"/>
              </w:rPr>
              <w:t>—</w:t>
            </w:r>
          </w:p>
        </w:tc>
        <w:tc>
          <w:tcPr>
            <w:tcW w:w="520" w:type="dxa"/>
            <w:vAlign w:val="bottom"/>
          </w:tcPr>
          <w:p>
            <w:pPr>
              <w:spacing w:after="0" w:line="68" w:lineRule="exact"/>
              <w:rPr>
                <w:sz w:val="20"/>
                <w:szCs w:val="20"/>
                <w:color w:val="auto"/>
              </w:rPr>
            </w:pPr>
            <w:r>
              <w:rPr>
                <w:rFonts w:ascii="Arial" w:cs="Arial" w:eastAsia="Arial" w:hAnsi="Arial"/>
                <w:sz w:val="7"/>
                <w:szCs w:val="7"/>
                <w:i w:val="1"/>
                <w:iCs w:val="1"/>
                <w:color w:val="auto"/>
              </w:rPr>
              <w:t>0%</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color w:val="auto"/>
              </w:rPr>
              <w:t>-</w:t>
            </w:r>
          </w:p>
        </w:tc>
        <w:tc>
          <w:tcPr>
            <w:tcW w:w="220" w:type="dxa"/>
            <w:vAlign w:val="bottom"/>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200" w:type="dxa"/>
            <w:vAlign w:val="bottom"/>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2820" w:type="dxa"/>
            <w:vAlign w:val="bottom"/>
            <w:shd w:val="clear" w:color="auto" w:fill="CCEEFF"/>
          </w:tcPr>
          <w:p>
            <w:pPr>
              <w:ind w:left="120"/>
              <w:spacing w:after="0" w:line="68" w:lineRule="exact"/>
              <w:rPr>
                <w:sz w:val="20"/>
                <w:szCs w:val="20"/>
                <w:color w:val="auto"/>
              </w:rPr>
            </w:pPr>
            <w:r>
              <w:rPr>
                <w:rFonts w:ascii="Arial" w:cs="Arial" w:eastAsia="Arial" w:hAnsi="Arial"/>
                <w:sz w:val="7"/>
                <w:szCs w:val="7"/>
                <w:color w:val="auto"/>
              </w:rPr>
              <w:t>General and administrative expense</w:t>
            </w:r>
          </w:p>
        </w:tc>
        <w:tc>
          <w:tcPr>
            <w:tcW w:w="8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0%</w:t>
            </w:r>
          </w:p>
        </w:tc>
        <w:tc>
          <w:tcPr>
            <w:tcW w:w="6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0%</w:t>
            </w:r>
          </w:p>
        </w:tc>
        <w:tc>
          <w:tcPr>
            <w:tcW w:w="12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0%</w:t>
            </w:r>
          </w:p>
        </w:tc>
        <w:tc>
          <w:tcPr>
            <w:tcW w:w="500" w:type="dxa"/>
            <w:vAlign w:val="bottom"/>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55"/>
        </w:trPr>
        <w:tc>
          <w:tcPr>
            <w:tcW w:w="10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tcPr>
          <w:p>
            <w:pPr>
              <w:ind w:left="20"/>
              <w:spacing w:after="0" w:line="55" w:lineRule="exact"/>
              <w:rPr>
                <w:sz w:val="20"/>
                <w:szCs w:val="20"/>
                <w:color w:val="auto"/>
              </w:rPr>
            </w:pPr>
            <w:r>
              <w:rPr>
                <w:rFonts w:ascii="Arial" w:cs="Arial" w:eastAsia="Arial" w:hAnsi="Arial"/>
                <w:sz w:val="6"/>
                <w:szCs w:val="6"/>
                <w:b w:val="1"/>
                <w:bCs w:val="1"/>
                <w:color w:val="auto"/>
              </w:rPr>
              <w:t>(134)</w:t>
            </w:r>
          </w:p>
        </w:tc>
        <w:tc>
          <w:tcPr>
            <w:tcW w:w="50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0%</w:t>
            </w:r>
          </w:p>
        </w:tc>
        <w:tc>
          <w:tcPr>
            <w:tcW w:w="6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80" w:type="dxa"/>
            <w:vAlign w:val="bottom"/>
          </w:tcPr>
          <w:p>
            <w:pPr>
              <w:ind w:left="40"/>
              <w:spacing w:after="0" w:line="55" w:lineRule="exact"/>
              <w:rPr>
                <w:sz w:val="20"/>
                <w:szCs w:val="20"/>
                <w:color w:val="auto"/>
              </w:rPr>
            </w:pPr>
            <w:r>
              <w:rPr>
                <w:rFonts w:ascii="Arial" w:cs="Arial" w:eastAsia="Arial" w:hAnsi="Arial"/>
                <w:sz w:val="6"/>
                <w:szCs w:val="6"/>
                <w:b w:val="1"/>
                <w:bCs w:val="1"/>
                <w:color w:val="auto"/>
              </w:rPr>
              <w:t>(184)</w:t>
            </w:r>
          </w:p>
        </w:tc>
        <w:tc>
          <w:tcPr>
            <w:tcW w:w="50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0%</w:t>
            </w:r>
          </w:p>
        </w:tc>
        <w:tc>
          <w:tcPr>
            <w:tcW w:w="60" w:type="dxa"/>
            <w:vAlign w:val="bottom"/>
          </w:tcPr>
          <w:p>
            <w:pPr>
              <w:spacing w:after="0"/>
              <w:rPr>
                <w:sz w:val="4"/>
                <w:szCs w:val="4"/>
                <w:color w:val="auto"/>
              </w:rPr>
            </w:pPr>
          </w:p>
        </w:tc>
        <w:tc>
          <w:tcPr>
            <w:tcW w:w="10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tcPr>
          <w:p>
            <w:pPr>
              <w:ind w:left="20"/>
              <w:spacing w:after="0" w:line="55" w:lineRule="exact"/>
              <w:rPr>
                <w:sz w:val="20"/>
                <w:szCs w:val="20"/>
                <w:color w:val="auto"/>
              </w:rPr>
            </w:pPr>
            <w:r>
              <w:rPr>
                <w:rFonts w:ascii="Arial" w:cs="Arial" w:eastAsia="Arial" w:hAnsi="Arial"/>
                <w:sz w:val="6"/>
                <w:szCs w:val="6"/>
                <w:b w:val="1"/>
                <w:bCs w:val="1"/>
                <w:color w:val="auto"/>
              </w:rPr>
              <w:t>(422)</w:t>
            </w:r>
          </w:p>
        </w:tc>
        <w:tc>
          <w:tcPr>
            <w:tcW w:w="56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0%</w:t>
            </w:r>
          </w:p>
        </w:tc>
        <w:tc>
          <w:tcPr>
            <w:tcW w:w="120" w:type="dxa"/>
            <w:vAlign w:val="bottom"/>
          </w:tcPr>
          <w:p>
            <w:pPr>
              <w:spacing w:after="0" w:line="55" w:lineRule="exact"/>
              <w:rPr>
                <w:sz w:val="20"/>
                <w:szCs w:val="20"/>
                <w:color w:val="auto"/>
              </w:rPr>
            </w:pPr>
            <w:r>
              <w:rPr>
                <w:rFonts w:ascii="Arial" w:cs="Arial" w:eastAsia="Arial" w:hAnsi="Arial"/>
                <w:sz w:val="6"/>
                <w:szCs w:val="6"/>
                <w:b w:val="1"/>
                <w:bCs w:val="1"/>
                <w:color w:val="auto"/>
              </w:rPr>
              <w:t>$</w:t>
            </w:r>
          </w:p>
        </w:tc>
        <w:tc>
          <w:tcPr>
            <w:tcW w:w="640" w:type="dxa"/>
            <w:vAlign w:val="bottom"/>
          </w:tcPr>
          <w:p>
            <w:pPr>
              <w:spacing w:after="0" w:line="55" w:lineRule="exact"/>
              <w:rPr>
                <w:sz w:val="20"/>
                <w:szCs w:val="20"/>
                <w:color w:val="auto"/>
              </w:rPr>
            </w:pPr>
            <w:r>
              <w:rPr>
                <w:rFonts w:ascii="Arial" w:cs="Arial" w:eastAsia="Arial" w:hAnsi="Arial"/>
                <w:sz w:val="6"/>
                <w:szCs w:val="6"/>
                <w:b w:val="1"/>
                <w:bCs w:val="1"/>
                <w:color w:val="auto"/>
              </w:rPr>
              <w:t>(650)</w:t>
            </w:r>
          </w:p>
        </w:tc>
        <w:tc>
          <w:tcPr>
            <w:tcW w:w="520" w:type="dxa"/>
            <w:vAlign w:val="bottom"/>
          </w:tcPr>
          <w:p>
            <w:pPr>
              <w:spacing w:after="0" w:line="55" w:lineRule="exact"/>
              <w:rPr>
                <w:sz w:val="20"/>
                <w:szCs w:val="20"/>
                <w:color w:val="auto"/>
              </w:rPr>
            </w:pPr>
            <w:r>
              <w:rPr>
                <w:rFonts w:ascii="Arial" w:cs="Arial" w:eastAsia="Arial" w:hAnsi="Arial"/>
                <w:sz w:val="6"/>
                <w:szCs w:val="6"/>
                <w:b w:val="1"/>
                <w:bCs w:val="1"/>
                <w:i w:val="1"/>
                <w:iCs w:val="1"/>
                <w:color w:val="auto"/>
              </w:rPr>
              <w:t>0%</w:t>
            </w:r>
          </w:p>
        </w:tc>
        <w:tc>
          <w:tcPr>
            <w:tcW w:w="500" w:type="dxa"/>
            <w:vAlign w:val="bottom"/>
            <w:gridSpan w:val="2"/>
          </w:tcPr>
          <w:p>
            <w:pPr>
              <w:ind w:left="80"/>
              <w:spacing w:after="0" w:line="55" w:lineRule="exact"/>
              <w:rPr>
                <w:sz w:val="20"/>
                <w:szCs w:val="20"/>
                <w:color w:val="auto"/>
              </w:rPr>
            </w:pPr>
            <w:r>
              <w:rPr>
                <w:rFonts w:ascii="Arial" w:cs="Arial" w:eastAsia="Arial" w:hAnsi="Arial"/>
                <w:sz w:val="6"/>
                <w:szCs w:val="6"/>
                <w:b w:val="1"/>
                <w:bCs w:val="1"/>
                <w:color w:val="auto"/>
              </w:rPr>
              <w:t>27</w:t>
            </w:r>
          </w:p>
        </w:tc>
        <w:tc>
          <w:tcPr>
            <w:tcW w:w="220" w:type="dxa"/>
            <w:vAlign w:val="bottom"/>
          </w:tcPr>
          <w:p>
            <w:pPr>
              <w:jc w:val="right"/>
              <w:ind w:right="8"/>
              <w:spacing w:after="0" w:line="55" w:lineRule="exact"/>
              <w:rPr>
                <w:sz w:val="20"/>
                <w:szCs w:val="20"/>
                <w:color w:val="auto"/>
              </w:rPr>
            </w:pPr>
            <w:r>
              <w:rPr>
                <w:rFonts w:ascii="Arial" w:cs="Arial" w:eastAsia="Arial" w:hAnsi="Arial"/>
                <w:sz w:val="6"/>
                <w:szCs w:val="6"/>
                <w:b w:val="1"/>
                <w:bCs w:val="1"/>
                <w:color w:val="auto"/>
              </w:rPr>
              <w:t>%</w:t>
            </w:r>
          </w:p>
        </w:tc>
        <w:tc>
          <w:tcPr>
            <w:tcW w:w="660" w:type="dxa"/>
            <w:vAlign w:val="bottom"/>
          </w:tcPr>
          <w:p>
            <w:pPr>
              <w:ind w:left="60"/>
              <w:spacing w:after="0" w:line="55" w:lineRule="exact"/>
              <w:rPr>
                <w:sz w:val="20"/>
                <w:szCs w:val="20"/>
                <w:color w:val="auto"/>
              </w:rPr>
            </w:pPr>
            <w:r>
              <w:rPr>
                <w:rFonts w:ascii="Arial" w:cs="Arial" w:eastAsia="Arial" w:hAnsi="Arial"/>
                <w:sz w:val="6"/>
                <w:szCs w:val="6"/>
                <w:b w:val="1"/>
                <w:bCs w:val="1"/>
                <w:color w:val="auto"/>
              </w:rPr>
              <w:t>35</w:t>
            </w:r>
          </w:p>
        </w:tc>
        <w:tc>
          <w:tcPr>
            <w:tcW w:w="200" w:type="dxa"/>
            <w:vAlign w:val="bottom"/>
          </w:tcPr>
          <w:p>
            <w:pPr>
              <w:jc w:val="right"/>
              <w:ind w:right="48"/>
              <w:spacing w:after="0" w:line="55"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68"/>
        </w:trPr>
        <w:tc>
          <w:tcPr>
            <w:tcW w:w="3900" w:type="dxa"/>
            <w:vAlign w:val="bottom"/>
            <w:gridSpan w:val="2"/>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900" w:type="dxa"/>
            <w:vAlign w:val="bottom"/>
            <w:tcBorders>
              <w:bottom w:val="single" w:sz="8" w:color="CCEEFF"/>
            </w:tcBorders>
            <w:gridSpan w:val="2"/>
          </w:tcPr>
          <w:p>
            <w:pPr>
              <w:ind w:left="200"/>
              <w:spacing w:after="0" w:line="48" w:lineRule="exact"/>
              <w:rPr>
                <w:sz w:val="20"/>
                <w:szCs w:val="20"/>
                <w:color w:val="auto"/>
              </w:rPr>
            </w:pPr>
            <w:r>
              <w:rPr>
                <w:rFonts w:ascii="Arial" w:cs="Arial" w:eastAsia="Arial" w:hAnsi="Arial"/>
                <w:sz w:val="5"/>
                <w:szCs w:val="5"/>
                <w:b w:val="1"/>
                <w:bCs w:val="1"/>
                <w:color w:val="auto"/>
              </w:rPr>
              <w:t>Total depreciation, amortization, general and administrative expense</w:t>
            </w:r>
          </w:p>
        </w:tc>
        <w:tc>
          <w:tcPr>
            <w:tcW w:w="80" w:type="dxa"/>
            <w:vAlign w:val="bottom"/>
            <w:tcBorders>
              <w:bottom w:val="single" w:sz="8" w:color="auto"/>
            </w:tcBorders>
          </w:tcPr>
          <w:p>
            <w:pPr>
              <w:spacing w:after="0" w:line="48" w:lineRule="exact"/>
              <w:rPr>
                <w:sz w:val="20"/>
                <w:szCs w:val="20"/>
                <w:color w:val="auto"/>
              </w:rPr>
            </w:pPr>
            <w:r>
              <w:rPr>
                <w:rFonts w:ascii="Arial" w:cs="Arial" w:eastAsia="Arial" w:hAnsi="Arial"/>
                <w:sz w:val="5"/>
                <w:szCs w:val="5"/>
                <w:b w:val="1"/>
                <w:bCs w:val="1"/>
                <w:color w:val="auto"/>
              </w:rPr>
              <w:t>$</w:t>
            </w:r>
          </w:p>
        </w:tc>
        <w:tc>
          <w:tcPr>
            <w:tcW w:w="660" w:type="dxa"/>
            <w:vAlign w:val="bottom"/>
            <w:tcBorders>
              <w:bottom w:val="single" w:sz="8" w:color="auto"/>
            </w:tcBorders>
          </w:tcPr>
          <w:p>
            <w:pPr>
              <w:ind w:left="20"/>
              <w:spacing w:after="0" w:line="48" w:lineRule="exact"/>
              <w:rPr>
                <w:sz w:val="20"/>
                <w:szCs w:val="20"/>
                <w:color w:val="auto"/>
              </w:rPr>
            </w:pPr>
            <w:r>
              <w:rPr>
                <w:rFonts w:ascii="Arial" w:cs="Arial" w:eastAsia="Arial" w:hAnsi="Arial"/>
                <w:sz w:val="5"/>
                <w:szCs w:val="5"/>
                <w:b w:val="1"/>
                <w:bCs w:val="1"/>
                <w:color w:val="auto"/>
              </w:rPr>
              <w:t>(3,833)</w:t>
            </w:r>
          </w:p>
        </w:tc>
        <w:tc>
          <w:tcPr>
            <w:tcW w:w="500" w:type="dxa"/>
            <w:vAlign w:val="bottom"/>
            <w:tcBorders>
              <w:bottom w:val="single" w:sz="8" w:color="CCEEFF"/>
            </w:tcBorders>
          </w:tcPr>
          <w:p>
            <w:pPr>
              <w:spacing w:after="0" w:line="48" w:lineRule="exact"/>
              <w:rPr>
                <w:sz w:val="20"/>
                <w:szCs w:val="20"/>
                <w:color w:val="auto"/>
              </w:rPr>
            </w:pPr>
            <w:r>
              <w:rPr>
                <w:rFonts w:ascii="Arial" w:cs="Arial" w:eastAsia="Arial" w:hAnsi="Arial"/>
                <w:sz w:val="5"/>
                <w:szCs w:val="5"/>
                <w:b w:val="1"/>
                <w:bCs w:val="1"/>
                <w:i w:val="1"/>
                <w:iCs w:val="1"/>
                <w:color w:val="auto"/>
              </w:rPr>
              <w:t>6%</w:t>
            </w:r>
          </w:p>
        </w:tc>
        <w:tc>
          <w:tcPr>
            <w:tcW w:w="60" w:type="dxa"/>
            <w:vAlign w:val="bottom"/>
            <w:tcBorders>
              <w:bottom w:val="single" w:sz="8" w:color="auto"/>
            </w:tcBorders>
          </w:tcPr>
          <w:p>
            <w:pPr>
              <w:spacing w:after="0" w:line="48" w:lineRule="exact"/>
              <w:rPr>
                <w:sz w:val="20"/>
                <w:szCs w:val="20"/>
                <w:color w:val="auto"/>
              </w:rPr>
            </w:pPr>
            <w:r>
              <w:rPr>
                <w:rFonts w:ascii="Arial" w:cs="Arial" w:eastAsia="Arial" w:hAnsi="Arial"/>
                <w:sz w:val="5"/>
                <w:szCs w:val="5"/>
                <w:b w:val="1"/>
                <w:bCs w:val="1"/>
                <w:color w:val="auto"/>
              </w:rPr>
              <w:t>$</w:t>
            </w:r>
          </w:p>
        </w:tc>
        <w:tc>
          <w:tcPr>
            <w:tcW w:w="680" w:type="dxa"/>
            <w:vAlign w:val="bottom"/>
            <w:tcBorders>
              <w:bottom w:val="single" w:sz="8" w:color="auto"/>
            </w:tcBorders>
          </w:tcPr>
          <w:p>
            <w:pPr>
              <w:ind w:left="40"/>
              <w:spacing w:after="0" w:line="48" w:lineRule="exact"/>
              <w:rPr>
                <w:sz w:val="20"/>
                <w:szCs w:val="20"/>
                <w:color w:val="auto"/>
              </w:rPr>
            </w:pPr>
            <w:r>
              <w:rPr>
                <w:rFonts w:ascii="Arial" w:cs="Arial" w:eastAsia="Arial" w:hAnsi="Arial"/>
                <w:sz w:val="5"/>
                <w:szCs w:val="5"/>
                <w:b w:val="1"/>
                <w:bCs w:val="1"/>
                <w:color w:val="auto"/>
              </w:rPr>
              <w:t>(3,956)</w:t>
            </w:r>
          </w:p>
        </w:tc>
        <w:tc>
          <w:tcPr>
            <w:tcW w:w="500" w:type="dxa"/>
            <w:vAlign w:val="bottom"/>
            <w:tcBorders>
              <w:bottom w:val="single" w:sz="8" w:color="CCEEFF"/>
            </w:tcBorders>
          </w:tcPr>
          <w:p>
            <w:pPr>
              <w:spacing w:after="0" w:line="48" w:lineRule="exact"/>
              <w:rPr>
                <w:sz w:val="20"/>
                <w:szCs w:val="20"/>
                <w:color w:val="auto"/>
              </w:rPr>
            </w:pPr>
            <w:r>
              <w:rPr>
                <w:rFonts w:ascii="Arial" w:cs="Arial" w:eastAsia="Arial" w:hAnsi="Arial"/>
                <w:sz w:val="5"/>
                <w:szCs w:val="5"/>
                <w:b w:val="1"/>
                <w:bCs w:val="1"/>
                <w:i w:val="1"/>
                <w:iCs w:val="1"/>
                <w:color w:val="auto"/>
              </w:rPr>
              <w:t>8%</w:t>
            </w:r>
          </w:p>
        </w:tc>
        <w:tc>
          <w:tcPr>
            <w:tcW w:w="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line="48" w:lineRule="exact"/>
              <w:rPr>
                <w:sz w:val="20"/>
                <w:szCs w:val="20"/>
                <w:color w:val="auto"/>
              </w:rPr>
            </w:pPr>
            <w:r>
              <w:rPr>
                <w:rFonts w:ascii="Arial" w:cs="Arial" w:eastAsia="Arial" w:hAnsi="Arial"/>
                <w:sz w:val="5"/>
                <w:szCs w:val="5"/>
                <w:b w:val="1"/>
                <w:bCs w:val="1"/>
                <w:color w:val="auto"/>
              </w:rPr>
              <w:t>$</w:t>
            </w:r>
          </w:p>
        </w:tc>
        <w:tc>
          <w:tcPr>
            <w:tcW w:w="660" w:type="dxa"/>
            <w:vAlign w:val="bottom"/>
            <w:tcBorders>
              <w:bottom w:val="single" w:sz="8" w:color="auto"/>
            </w:tcBorders>
          </w:tcPr>
          <w:p>
            <w:pPr>
              <w:ind w:left="20"/>
              <w:spacing w:after="0" w:line="48" w:lineRule="exact"/>
              <w:rPr>
                <w:sz w:val="20"/>
                <w:szCs w:val="20"/>
                <w:color w:val="auto"/>
              </w:rPr>
            </w:pPr>
            <w:r>
              <w:rPr>
                <w:rFonts w:ascii="Arial" w:cs="Arial" w:eastAsia="Arial" w:hAnsi="Arial"/>
                <w:sz w:val="5"/>
                <w:szCs w:val="5"/>
                <w:b w:val="1"/>
                <w:bCs w:val="1"/>
                <w:color w:val="auto"/>
              </w:rPr>
              <w:t>(11,534)</w:t>
            </w:r>
          </w:p>
        </w:tc>
        <w:tc>
          <w:tcPr>
            <w:tcW w:w="560" w:type="dxa"/>
            <w:vAlign w:val="bottom"/>
            <w:tcBorders>
              <w:bottom w:val="single" w:sz="8" w:color="CCEEFF"/>
            </w:tcBorders>
          </w:tcPr>
          <w:p>
            <w:pPr>
              <w:spacing w:after="0" w:line="48" w:lineRule="exact"/>
              <w:rPr>
                <w:sz w:val="20"/>
                <w:szCs w:val="20"/>
                <w:color w:val="auto"/>
              </w:rPr>
            </w:pPr>
            <w:r>
              <w:rPr>
                <w:rFonts w:ascii="Arial" w:cs="Arial" w:eastAsia="Arial" w:hAnsi="Arial"/>
                <w:sz w:val="5"/>
                <w:szCs w:val="5"/>
                <w:b w:val="1"/>
                <w:bCs w:val="1"/>
                <w:i w:val="1"/>
                <w:iCs w:val="1"/>
                <w:color w:val="auto"/>
              </w:rPr>
              <w:t>7%</w:t>
            </w:r>
          </w:p>
        </w:tc>
        <w:tc>
          <w:tcPr>
            <w:tcW w:w="120" w:type="dxa"/>
            <w:vAlign w:val="bottom"/>
            <w:tcBorders>
              <w:bottom w:val="single" w:sz="8" w:color="auto"/>
            </w:tcBorders>
          </w:tcPr>
          <w:p>
            <w:pPr>
              <w:spacing w:after="0" w:line="48" w:lineRule="exact"/>
              <w:rPr>
                <w:sz w:val="20"/>
                <w:szCs w:val="20"/>
                <w:color w:val="auto"/>
              </w:rPr>
            </w:pPr>
            <w:r>
              <w:rPr>
                <w:rFonts w:ascii="Arial" w:cs="Arial" w:eastAsia="Arial" w:hAnsi="Arial"/>
                <w:sz w:val="5"/>
                <w:szCs w:val="5"/>
                <w:b w:val="1"/>
                <w:bCs w:val="1"/>
                <w:color w:val="auto"/>
              </w:rPr>
              <w:t>$</w:t>
            </w:r>
          </w:p>
        </w:tc>
        <w:tc>
          <w:tcPr>
            <w:tcW w:w="640" w:type="dxa"/>
            <w:vAlign w:val="bottom"/>
            <w:tcBorders>
              <w:bottom w:val="single" w:sz="8" w:color="auto"/>
            </w:tcBorders>
          </w:tcPr>
          <w:p>
            <w:pPr>
              <w:spacing w:after="0" w:line="48" w:lineRule="exact"/>
              <w:rPr>
                <w:sz w:val="20"/>
                <w:szCs w:val="20"/>
                <w:color w:val="auto"/>
              </w:rPr>
            </w:pPr>
            <w:r>
              <w:rPr>
                <w:rFonts w:ascii="Arial" w:cs="Arial" w:eastAsia="Arial" w:hAnsi="Arial"/>
                <w:sz w:val="5"/>
                <w:szCs w:val="5"/>
                <w:b w:val="1"/>
                <w:bCs w:val="1"/>
                <w:color w:val="auto"/>
              </w:rPr>
              <w:t>(14,966)</w:t>
            </w:r>
          </w:p>
        </w:tc>
        <w:tc>
          <w:tcPr>
            <w:tcW w:w="520" w:type="dxa"/>
            <w:vAlign w:val="bottom"/>
            <w:tcBorders>
              <w:bottom w:val="single" w:sz="8" w:color="CCEEFF"/>
            </w:tcBorders>
          </w:tcPr>
          <w:p>
            <w:pPr>
              <w:spacing w:after="0" w:line="48" w:lineRule="exact"/>
              <w:rPr>
                <w:sz w:val="20"/>
                <w:szCs w:val="20"/>
                <w:color w:val="auto"/>
              </w:rPr>
            </w:pPr>
            <w:r>
              <w:rPr>
                <w:rFonts w:ascii="Arial" w:cs="Arial" w:eastAsia="Arial" w:hAnsi="Arial"/>
                <w:sz w:val="5"/>
                <w:szCs w:val="5"/>
                <w:b w:val="1"/>
                <w:bCs w:val="1"/>
                <w:i w:val="1"/>
                <w:iCs w:val="1"/>
                <w:color w:val="auto"/>
              </w:rPr>
              <w:t>10%</w:t>
            </w:r>
          </w:p>
        </w:tc>
        <w:tc>
          <w:tcPr>
            <w:tcW w:w="500" w:type="dxa"/>
            <w:vAlign w:val="bottom"/>
            <w:tcBorders>
              <w:bottom w:val="single" w:sz="8" w:color="CCEEFF"/>
            </w:tcBorders>
            <w:gridSpan w:val="2"/>
          </w:tcPr>
          <w:p>
            <w:pPr>
              <w:ind w:left="80"/>
              <w:spacing w:after="0" w:line="48" w:lineRule="exact"/>
              <w:rPr>
                <w:sz w:val="20"/>
                <w:szCs w:val="20"/>
                <w:color w:val="auto"/>
              </w:rPr>
            </w:pPr>
            <w:r>
              <w:rPr>
                <w:rFonts w:ascii="Arial" w:cs="Arial" w:eastAsia="Arial" w:hAnsi="Arial"/>
                <w:sz w:val="5"/>
                <w:szCs w:val="5"/>
                <w:b w:val="1"/>
                <w:bCs w:val="1"/>
                <w:color w:val="auto"/>
              </w:rPr>
              <w:t>3</w:t>
            </w:r>
          </w:p>
        </w:tc>
        <w:tc>
          <w:tcPr>
            <w:tcW w:w="220" w:type="dxa"/>
            <w:vAlign w:val="bottom"/>
            <w:tcBorders>
              <w:bottom w:val="single" w:sz="8" w:color="CCEEFF"/>
            </w:tcBorders>
          </w:tcPr>
          <w:p>
            <w:pPr>
              <w:jc w:val="right"/>
              <w:ind w:right="8"/>
              <w:spacing w:after="0" w:line="48" w:lineRule="exact"/>
              <w:rPr>
                <w:sz w:val="20"/>
                <w:szCs w:val="20"/>
                <w:color w:val="auto"/>
              </w:rPr>
            </w:pPr>
            <w:r>
              <w:rPr>
                <w:rFonts w:ascii="Arial" w:cs="Arial" w:eastAsia="Arial" w:hAnsi="Arial"/>
                <w:sz w:val="5"/>
                <w:szCs w:val="5"/>
                <w:b w:val="1"/>
                <w:bCs w:val="1"/>
                <w:color w:val="auto"/>
              </w:rPr>
              <w:t>%</w:t>
            </w:r>
          </w:p>
        </w:tc>
        <w:tc>
          <w:tcPr>
            <w:tcW w:w="660" w:type="dxa"/>
            <w:vAlign w:val="bottom"/>
            <w:tcBorders>
              <w:bottom w:val="single" w:sz="8" w:color="CCEEFF"/>
            </w:tcBorders>
          </w:tcPr>
          <w:p>
            <w:pPr>
              <w:ind w:left="60"/>
              <w:spacing w:after="0" w:line="48" w:lineRule="exact"/>
              <w:rPr>
                <w:sz w:val="20"/>
                <w:szCs w:val="20"/>
                <w:color w:val="auto"/>
              </w:rPr>
            </w:pPr>
            <w:r>
              <w:rPr>
                <w:rFonts w:ascii="Arial" w:cs="Arial" w:eastAsia="Arial" w:hAnsi="Arial"/>
                <w:sz w:val="5"/>
                <w:szCs w:val="5"/>
                <w:b w:val="1"/>
                <w:bCs w:val="1"/>
                <w:color w:val="auto"/>
              </w:rPr>
              <w:t>23</w:t>
            </w:r>
          </w:p>
        </w:tc>
        <w:tc>
          <w:tcPr>
            <w:tcW w:w="200" w:type="dxa"/>
            <w:vAlign w:val="bottom"/>
            <w:tcBorders>
              <w:bottom w:val="single" w:sz="8" w:color="CCEEFF"/>
            </w:tcBorders>
          </w:tcPr>
          <w:p>
            <w:pPr>
              <w:jc w:val="right"/>
              <w:ind w:right="48"/>
              <w:spacing w:after="0" w:line="48" w:lineRule="exact"/>
              <w:rPr>
                <w:sz w:val="20"/>
                <w:szCs w:val="20"/>
                <w:color w:val="auto"/>
              </w:rPr>
            </w:pPr>
            <w:r>
              <w:rPr>
                <w:rFonts w:ascii="Arial" w:cs="Arial" w:eastAsia="Arial" w:hAnsi="Arial"/>
                <w:sz w:val="5"/>
                <w:szCs w:val="5"/>
                <w:b w:val="1"/>
                <w:bCs w:val="1"/>
                <w:color w:val="auto"/>
              </w:rPr>
              <w:t>%</w:t>
            </w:r>
          </w:p>
        </w:tc>
        <w:tc>
          <w:tcPr>
            <w:tcW w:w="0" w:type="dxa"/>
            <w:vAlign w:val="bottom"/>
          </w:tcPr>
          <w:p>
            <w:pPr>
              <w:spacing w:after="0"/>
              <w:rPr>
                <w:sz w:val="1"/>
                <w:szCs w:val="1"/>
                <w:color w:val="auto"/>
              </w:rPr>
            </w:pPr>
          </w:p>
        </w:tc>
      </w:tr>
      <w:tr>
        <w:trPr>
          <w:trHeight w:val="63"/>
        </w:trPr>
        <w:tc>
          <w:tcPr>
            <w:tcW w:w="3900" w:type="dxa"/>
            <w:vAlign w:val="bottom"/>
            <w:gridSpan w:val="2"/>
            <w:shd w:val="clear" w:color="auto" w:fill="CCEEFF"/>
          </w:tcPr>
          <w:p>
            <w:pPr>
              <w:spacing w:after="0" w:line="63" w:lineRule="exact"/>
              <w:rPr>
                <w:sz w:val="20"/>
                <w:szCs w:val="20"/>
                <w:color w:val="auto"/>
              </w:rPr>
            </w:pPr>
            <w:r>
              <w:rPr>
                <w:rFonts w:ascii="Arial" w:cs="Arial" w:eastAsia="Arial" w:hAnsi="Arial"/>
                <w:sz w:val="7"/>
                <w:szCs w:val="7"/>
                <w:b w:val="1"/>
                <w:bCs w:val="1"/>
                <w:color w:val="auto"/>
              </w:rPr>
              <w:t>OPERATING INCOME (LOSS) – CINEMA</w:t>
            </w: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80" w:type="dxa"/>
            <w:vAlign w:val="bottom"/>
          </w:tcPr>
          <w:p>
            <w:pPr>
              <w:ind w:left="200"/>
              <w:spacing w:after="0" w:line="68" w:lineRule="exact"/>
              <w:rPr>
                <w:sz w:val="20"/>
                <w:szCs w:val="20"/>
                <w:color w:val="auto"/>
              </w:rPr>
            </w:pPr>
            <w:r>
              <w:rPr>
                <w:rFonts w:ascii="Arial" w:cs="Arial" w:eastAsia="Arial" w:hAnsi="Arial"/>
                <w:sz w:val="7"/>
                <w:szCs w:val="7"/>
                <w:b w:val="1"/>
                <w:bCs w:val="1"/>
                <w:color w:val="auto"/>
              </w:rPr>
              <w:t>United States</w:t>
            </w:r>
          </w:p>
        </w:tc>
        <w:tc>
          <w:tcPr>
            <w:tcW w:w="2820" w:type="dxa"/>
            <w:vAlign w:val="bottom"/>
          </w:tcPr>
          <w:p>
            <w:pPr>
              <w:spacing w:after="0"/>
              <w:rPr>
                <w:sz w:val="5"/>
                <w:szCs w:val="5"/>
                <w:color w:val="auto"/>
              </w:rPr>
            </w:pPr>
          </w:p>
        </w:tc>
        <w:tc>
          <w:tcPr>
            <w:tcW w:w="80" w:type="dxa"/>
            <w:vAlign w:val="bottom"/>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331</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1%</w:t>
            </w:r>
          </w:p>
        </w:tc>
        <w:tc>
          <w:tcPr>
            <w:tcW w:w="60" w:type="dxa"/>
            <w:vAlign w:val="bottom"/>
          </w:tcPr>
          <w:p>
            <w:pPr>
              <w:spacing w:after="0" w:line="68" w:lineRule="exact"/>
              <w:rPr>
                <w:sz w:val="20"/>
                <w:szCs w:val="20"/>
                <w:color w:val="auto"/>
              </w:rPr>
            </w:pPr>
            <w:r>
              <w:rPr>
                <w:rFonts w:ascii="Arial" w:cs="Arial" w:eastAsia="Arial" w:hAnsi="Arial"/>
                <w:sz w:val="7"/>
                <w:szCs w:val="7"/>
                <w:color w:val="auto"/>
              </w:rPr>
              <w:t>$</w:t>
            </w:r>
          </w:p>
        </w:tc>
        <w:tc>
          <w:tcPr>
            <w:tcW w:w="680" w:type="dxa"/>
            <w:vAlign w:val="bottom"/>
          </w:tcPr>
          <w:p>
            <w:pPr>
              <w:ind w:left="40"/>
              <w:spacing w:after="0" w:line="68" w:lineRule="exact"/>
              <w:rPr>
                <w:sz w:val="20"/>
                <w:szCs w:val="20"/>
                <w:color w:val="auto"/>
              </w:rPr>
            </w:pPr>
            <w:r>
              <w:rPr>
                <w:rFonts w:ascii="Arial" w:cs="Arial" w:eastAsia="Arial" w:hAnsi="Arial"/>
                <w:sz w:val="7"/>
                <w:szCs w:val="7"/>
                <w:color w:val="auto"/>
              </w:rPr>
              <w:t>(3,988)</w:t>
            </w:r>
          </w:p>
        </w:tc>
        <w:tc>
          <w:tcPr>
            <w:tcW w:w="500" w:type="dxa"/>
            <w:vAlign w:val="bottom"/>
          </w:tcPr>
          <w:p>
            <w:pPr>
              <w:spacing w:after="0" w:line="68" w:lineRule="exact"/>
              <w:rPr>
                <w:sz w:val="20"/>
                <w:szCs w:val="20"/>
                <w:color w:val="auto"/>
              </w:rPr>
            </w:pPr>
            <w:r>
              <w:rPr>
                <w:rFonts w:ascii="Arial" w:cs="Arial" w:eastAsia="Arial" w:hAnsi="Arial"/>
                <w:sz w:val="7"/>
                <w:szCs w:val="7"/>
                <w:i w:val="1"/>
                <w:iCs w:val="1"/>
                <w:color w:val="auto"/>
              </w:rPr>
              <w:t>(8)%</w:t>
            </w:r>
          </w:p>
        </w:tc>
        <w:tc>
          <w:tcPr>
            <w:tcW w:w="6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20"/>
              <w:spacing w:after="0" w:line="68" w:lineRule="exact"/>
              <w:rPr>
                <w:sz w:val="20"/>
                <w:szCs w:val="20"/>
                <w:color w:val="auto"/>
              </w:rPr>
            </w:pPr>
            <w:r>
              <w:rPr>
                <w:rFonts w:ascii="Arial" w:cs="Arial" w:eastAsia="Arial" w:hAnsi="Arial"/>
                <w:sz w:val="7"/>
                <w:szCs w:val="7"/>
                <w:color w:val="auto"/>
              </w:rPr>
              <w:t>(3,182)</w:t>
            </w:r>
          </w:p>
        </w:tc>
        <w:tc>
          <w:tcPr>
            <w:tcW w:w="560" w:type="dxa"/>
            <w:vAlign w:val="bottom"/>
          </w:tcPr>
          <w:p>
            <w:pPr>
              <w:spacing w:after="0" w:line="68" w:lineRule="exact"/>
              <w:rPr>
                <w:sz w:val="20"/>
                <w:szCs w:val="20"/>
                <w:color w:val="auto"/>
              </w:rPr>
            </w:pPr>
            <w:r>
              <w:rPr>
                <w:rFonts w:ascii="Arial" w:cs="Arial" w:eastAsia="Arial" w:hAnsi="Arial"/>
                <w:sz w:val="7"/>
                <w:szCs w:val="7"/>
                <w:i w:val="1"/>
                <w:iCs w:val="1"/>
                <w:color w:val="auto"/>
              </w:rPr>
              <w:t>(2)%</w:t>
            </w:r>
          </w:p>
        </w:tc>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640" w:type="dxa"/>
            <w:vAlign w:val="bottom"/>
          </w:tcPr>
          <w:p>
            <w:pPr>
              <w:spacing w:after="0" w:line="68" w:lineRule="exact"/>
              <w:rPr>
                <w:sz w:val="20"/>
                <w:szCs w:val="20"/>
                <w:color w:val="auto"/>
              </w:rPr>
            </w:pPr>
            <w:r>
              <w:rPr>
                <w:rFonts w:ascii="Arial" w:cs="Arial" w:eastAsia="Arial" w:hAnsi="Arial"/>
                <w:sz w:val="7"/>
                <w:szCs w:val="7"/>
                <w:color w:val="auto"/>
              </w:rPr>
              <w:t>(12,343)</w:t>
            </w:r>
          </w:p>
        </w:tc>
        <w:tc>
          <w:tcPr>
            <w:tcW w:w="520" w:type="dxa"/>
            <w:vAlign w:val="bottom"/>
          </w:tcPr>
          <w:p>
            <w:pPr>
              <w:spacing w:after="0" w:line="68" w:lineRule="exact"/>
              <w:rPr>
                <w:sz w:val="20"/>
                <w:szCs w:val="20"/>
                <w:color w:val="auto"/>
              </w:rPr>
            </w:pPr>
            <w:r>
              <w:rPr>
                <w:rFonts w:ascii="Arial" w:cs="Arial" w:eastAsia="Arial" w:hAnsi="Arial"/>
                <w:sz w:val="7"/>
                <w:szCs w:val="7"/>
                <w:i w:val="1"/>
                <w:iCs w:val="1"/>
                <w:color w:val="auto"/>
              </w:rPr>
              <w:t>(8)%</w:t>
            </w:r>
          </w:p>
        </w:tc>
        <w:tc>
          <w:tcPr>
            <w:tcW w:w="500" w:type="dxa"/>
            <w:vAlign w:val="bottom"/>
            <w:gridSpan w:val="2"/>
          </w:tcPr>
          <w:p>
            <w:pPr>
              <w:ind w:left="60"/>
              <w:spacing w:after="0" w:line="68" w:lineRule="exact"/>
              <w:rPr>
                <w:sz w:val="20"/>
                <w:szCs w:val="20"/>
                <w:color w:val="auto"/>
              </w:rPr>
            </w:pPr>
            <w:r>
              <w:rPr>
                <w:rFonts w:ascii="Arial" w:cs="Arial" w:eastAsia="Arial" w:hAnsi="Arial"/>
                <w:sz w:val="7"/>
                <w:szCs w:val="7"/>
                <w:color w:val="auto"/>
              </w:rPr>
              <w:t>&gt;100</w:t>
            </w:r>
          </w:p>
        </w:tc>
        <w:tc>
          <w:tcPr>
            <w:tcW w:w="220" w:type="dxa"/>
            <w:vAlign w:val="bottom"/>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Pr>
          <w:p>
            <w:pPr>
              <w:ind w:left="60"/>
              <w:spacing w:after="0" w:line="68" w:lineRule="exact"/>
              <w:rPr>
                <w:sz w:val="20"/>
                <w:szCs w:val="20"/>
                <w:color w:val="auto"/>
              </w:rPr>
            </w:pPr>
            <w:r>
              <w:rPr>
                <w:rFonts w:ascii="Arial" w:cs="Arial" w:eastAsia="Arial" w:hAnsi="Arial"/>
                <w:sz w:val="7"/>
                <w:szCs w:val="7"/>
                <w:color w:val="auto"/>
              </w:rPr>
              <w:t>74</w:t>
            </w:r>
          </w:p>
        </w:tc>
        <w:tc>
          <w:tcPr>
            <w:tcW w:w="200" w:type="dxa"/>
            <w:vAlign w:val="bottom"/>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ind w:left="200"/>
              <w:spacing w:after="0" w:line="68" w:lineRule="exact"/>
              <w:rPr>
                <w:sz w:val="20"/>
                <w:szCs w:val="20"/>
                <w:color w:val="auto"/>
              </w:rPr>
            </w:pPr>
            <w:r>
              <w:rPr>
                <w:rFonts w:ascii="Arial" w:cs="Arial" w:eastAsia="Arial" w:hAnsi="Arial"/>
                <w:sz w:val="7"/>
                <w:szCs w:val="7"/>
                <w:b w:val="1"/>
                <w:bCs w:val="1"/>
                <w:color w:val="auto"/>
              </w:rPr>
              <w:t>Australia</w:t>
            </w:r>
          </w:p>
        </w:tc>
        <w:tc>
          <w:tcPr>
            <w:tcW w:w="28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3,513</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6%</w:t>
            </w: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1,577</w:t>
            </w:r>
          </w:p>
        </w:tc>
        <w:tc>
          <w:tcPr>
            <w:tcW w:w="50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3%</w:t>
            </w: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6,372</w:t>
            </w:r>
          </w:p>
        </w:tc>
        <w:tc>
          <w:tcPr>
            <w:tcW w:w="56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4%</w:t>
            </w: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5,836</w:t>
            </w:r>
          </w:p>
        </w:tc>
        <w:tc>
          <w:tcPr>
            <w:tcW w:w="520" w:type="dxa"/>
            <w:vAlign w:val="bottom"/>
            <w:shd w:val="clear" w:color="auto" w:fill="CCEEFF"/>
          </w:tcPr>
          <w:p>
            <w:pPr>
              <w:spacing w:after="0" w:line="68" w:lineRule="exact"/>
              <w:rPr>
                <w:sz w:val="20"/>
                <w:szCs w:val="20"/>
                <w:color w:val="auto"/>
              </w:rPr>
            </w:pPr>
            <w:r>
              <w:rPr>
                <w:rFonts w:ascii="Arial" w:cs="Arial" w:eastAsia="Arial" w:hAnsi="Arial"/>
                <w:sz w:val="7"/>
                <w:szCs w:val="7"/>
                <w:i w:val="1"/>
                <w:iCs w:val="1"/>
                <w:color w:val="auto"/>
              </w:rPr>
              <w:t>4%</w:t>
            </w:r>
          </w:p>
        </w:tc>
        <w:tc>
          <w:tcPr>
            <w:tcW w:w="500" w:type="dxa"/>
            <w:vAlign w:val="bottom"/>
            <w:gridSpan w:val="2"/>
            <w:shd w:val="clear" w:color="auto" w:fill="CCEEFF"/>
          </w:tcPr>
          <w:p>
            <w:pPr>
              <w:ind w:left="60"/>
              <w:spacing w:after="0" w:line="68" w:lineRule="exact"/>
              <w:rPr>
                <w:sz w:val="20"/>
                <w:szCs w:val="20"/>
                <w:color w:val="auto"/>
              </w:rPr>
            </w:pPr>
            <w:r>
              <w:rPr>
                <w:rFonts w:ascii="Arial" w:cs="Arial" w:eastAsia="Arial" w:hAnsi="Arial"/>
                <w:sz w:val="7"/>
                <w:szCs w:val="7"/>
                <w:color w:val="auto"/>
              </w:rPr>
              <w:t>&gt;100</w:t>
            </w:r>
          </w:p>
        </w:tc>
        <w:tc>
          <w:tcPr>
            <w:tcW w:w="220" w:type="dxa"/>
            <w:vAlign w:val="bottom"/>
            <w:shd w:val="clear" w:color="auto" w:fill="CCEEFF"/>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9</w:t>
            </w:r>
          </w:p>
        </w:tc>
        <w:tc>
          <w:tcPr>
            <w:tcW w:w="200" w:type="dxa"/>
            <w:vAlign w:val="bottom"/>
            <w:shd w:val="clear" w:color="auto" w:fill="CCEEFF"/>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080" w:type="dxa"/>
            <w:vAlign w:val="bottom"/>
            <w:tcBorders>
              <w:bottom w:val="single" w:sz="8" w:color="CCEEFF"/>
            </w:tcBorders>
          </w:tcPr>
          <w:p>
            <w:pPr>
              <w:ind w:left="200"/>
              <w:spacing w:after="0" w:line="68" w:lineRule="exact"/>
              <w:rPr>
                <w:sz w:val="20"/>
                <w:szCs w:val="20"/>
                <w:color w:val="auto"/>
              </w:rPr>
            </w:pPr>
            <w:r>
              <w:rPr>
                <w:rFonts w:ascii="Arial" w:cs="Arial" w:eastAsia="Arial" w:hAnsi="Arial"/>
                <w:sz w:val="7"/>
                <w:szCs w:val="7"/>
                <w:b w:val="1"/>
                <w:bCs w:val="1"/>
                <w:color w:val="auto"/>
              </w:rPr>
              <w:t>New Zealand</w:t>
            </w:r>
          </w:p>
        </w:tc>
        <w:tc>
          <w:tcPr>
            <w:tcW w:w="28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551</w:t>
            </w:r>
          </w:p>
        </w:tc>
        <w:tc>
          <w:tcPr>
            <w:tcW w:w="50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1%</w:t>
            </w:r>
          </w:p>
        </w:tc>
        <w:tc>
          <w:tcPr>
            <w:tcW w:w="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ind w:left="40"/>
              <w:spacing w:after="0" w:line="68" w:lineRule="exact"/>
              <w:rPr>
                <w:sz w:val="20"/>
                <w:szCs w:val="20"/>
                <w:color w:val="auto"/>
              </w:rPr>
            </w:pPr>
            <w:r>
              <w:rPr>
                <w:rFonts w:ascii="Arial" w:cs="Arial" w:eastAsia="Arial" w:hAnsi="Arial"/>
                <w:sz w:val="7"/>
                <w:szCs w:val="7"/>
                <w:color w:val="auto"/>
              </w:rPr>
              <w:t>274</w:t>
            </w:r>
          </w:p>
        </w:tc>
        <w:tc>
          <w:tcPr>
            <w:tcW w:w="50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1%</w:t>
            </w:r>
          </w:p>
        </w:tc>
        <w:tc>
          <w:tcPr>
            <w:tcW w:w="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1,066</w:t>
            </w:r>
          </w:p>
        </w:tc>
        <w:tc>
          <w:tcPr>
            <w:tcW w:w="56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1%</w:t>
            </w: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color w:val="auto"/>
              </w:rPr>
              <w:t>605</w:t>
            </w:r>
          </w:p>
        </w:tc>
        <w:tc>
          <w:tcPr>
            <w:tcW w:w="52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i w:val="1"/>
                <w:iCs w:val="1"/>
                <w:color w:val="auto"/>
              </w:rPr>
              <w:t>0%</w:t>
            </w:r>
          </w:p>
        </w:tc>
        <w:tc>
          <w:tcPr>
            <w:tcW w:w="500" w:type="dxa"/>
            <w:vAlign w:val="bottom"/>
            <w:tcBorders>
              <w:bottom w:val="single" w:sz="8" w:color="CCEEFF"/>
            </w:tcBorders>
            <w:gridSpan w:val="2"/>
          </w:tcPr>
          <w:p>
            <w:pPr>
              <w:ind w:left="60"/>
              <w:spacing w:after="0" w:line="68" w:lineRule="exact"/>
              <w:rPr>
                <w:sz w:val="20"/>
                <w:szCs w:val="20"/>
                <w:color w:val="auto"/>
              </w:rPr>
            </w:pPr>
            <w:r>
              <w:rPr>
                <w:rFonts w:ascii="Arial" w:cs="Arial" w:eastAsia="Arial" w:hAnsi="Arial"/>
                <w:sz w:val="7"/>
                <w:szCs w:val="7"/>
                <w:color w:val="auto"/>
              </w:rPr>
              <w:t>&gt;100</w:t>
            </w:r>
          </w:p>
        </w:tc>
        <w:tc>
          <w:tcPr>
            <w:tcW w:w="220" w:type="dxa"/>
            <w:vAlign w:val="bottom"/>
            <w:tcBorders>
              <w:bottom w:val="single" w:sz="8" w:color="CCEEFF"/>
            </w:tcBorders>
          </w:tcPr>
          <w:p>
            <w:pPr>
              <w:jc w:val="right"/>
              <w:ind w:right="8"/>
              <w:spacing w:after="0" w:line="68" w:lineRule="exact"/>
              <w:rPr>
                <w:sz w:val="20"/>
                <w:szCs w:val="20"/>
                <w:color w:val="auto"/>
              </w:rPr>
            </w:pPr>
            <w:r>
              <w:rPr>
                <w:rFonts w:ascii="Arial" w:cs="Arial" w:eastAsia="Arial" w:hAnsi="Arial"/>
                <w:sz w:val="7"/>
                <w:szCs w:val="7"/>
                <w:color w:val="auto"/>
              </w:rPr>
              <w:t>%</w:t>
            </w:r>
          </w:p>
        </w:tc>
        <w:tc>
          <w:tcPr>
            <w:tcW w:w="660" w:type="dxa"/>
            <w:vAlign w:val="bottom"/>
            <w:tcBorders>
              <w:bottom w:val="single" w:sz="8" w:color="CCEEFF"/>
            </w:tcBorders>
          </w:tcPr>
          <w:p>
            <w:pPr>
              <w:ind w:left="60"/>
              <w:spacing w:after="0" w:line="68" w:lineRule="exact"/>
              <w:rPr>
                <w:sz w:val="20"/>
                <w:szCs w:val="20"/>
                <w:color w:val="auto"/>
              </w:rPr>
            </w:pPr>
            <w:r>
              <w:rPr>
                <w:rFonts w:ascii="Arial" w:cs="Arial" w:eastAsia="Arial" w:hAnsi="Arial"/>
                <w:sz w:val="7"/>
                <w:szCs w:val="7"/>
                <w:color w:val="auto"/>
              </w:rPr>
              <w:t>76</w:t>
            </w:r>
          </w:p>
        </w:tc>
        <w:tc>
          <w:tcPr>
            <w:tcW w:w="200" w:type="dxa"/>
            <w:vAlign w:val="bottom"/>
            <w:tcBorders>
              <w:bottom w:val="single" w:sz="8" w:color="CCEEFF"/>
            </w:tcBorders>
          </w:tcPr>
          <w:p>
            <w:pPr>
              <w:jc w:val="right"/>
              <w:ind w:right="4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55"/>
        </w:trPr>
        <w:tc>
          <w:tcPr>
            <w:tcW w:w="3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3"/>
                <w:szCs w:val="3"/>
                <w:b w:val="1"/>
                <w:bCs w:val="1"/>
                <w:color w:val="auto"/>
              </w:rPr>
              <w:t>Total Cinema operating income (loss)</w:t>
            </w:r>
          </w:p>
        </w:tc>
        <w:tc>
          <w:tcPr>
            <w:tcW w:w="8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w:t>
            </w:r>
          </w:p>
        </w:tc>
        <w:tc>
          <w:tcPr>
            <w:tcW w:w="660" w:type="dxa"/>
            <w:vAlign w:val="bottom"/>
            <w:tcBorders>
              <w:bottom w:val="single" w:sz="8" w:color="auto"/>
            </w:tcBorders>
            <w:shd w:val="clear" w:color="auto" w:fill="CCEEFF"/>
          </w:tcPr>
          <w:p>
            <w:pPr>
              <w:ind w:left="20"/>
              <w:spacing w:after="0" w:line="48" w:lineRule="exact"/>
              <w:rPr>
                <w:sz w:val="20"/>
                <w:szCs w:val="20"/>
                <w:color w:val="auto"/>
              </w:rPr>
            </w:pPr>
            <w:r>
              <w:rPr>
                <w:rFonts w:ascii="Arial" w:cs="Arial" w:eastAsia="Arial" w:hAnsi="Arial"/>
                <w:sz w:val="5"/>
                <w:szCs w:val="5"/>
                <w:b w:val="1"/>
                <w:bCs w:val="1"/>
                <w:color w:val="auto"/>
              </w:rPr>
              <w:t>4,395</w:t>
            </w: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3"/>
                <w:szCs w:val="3"/>
                <w:b w:val="1"/>
                <w:bCs w:val="1"/>
                <w:i w:val="1"/>
                <w:iCs w:val="1"/>
                <w:color w:val="auto"/>
              </w:rPr>
              <w:t>7%</w:t>
            </w:r>
          </w:p>
        </w:tc>
        <w:tc>
          <w:tcPr>
            <w:tcW w:w="6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w:t>
            </w:r>
          </w:p>
        </w:tc>
        <w:tc>
          <w:tcPr>
            <w:tcW w:w="680" w:type="dxa"/>
            <w:vAlign w:val="bottom"/>
            <w:tcBorders>
              <w:bottom w:val="single" w:sz="8" w:color="auto"/>
            </w:tcBorders>
            <w:shd w:val="clear" w:color="auto" w:fill="CCEEFF"/>
          </w:tcPr>
          <w:p>
            <w:pPr>
              <w:ind w:left="40"/>
              <w:spacing w:after="0" w:line="48" w:lineRule="exact"/>
              <w:rPr>
                <w:sz w:val="20"/>
                <w:szCs w:val="20"/>
                <w:color w:val="auto"/>
              </w:rPr>
            </w:pPr>
            <w:r>
              <w:rPr>
                <w:rFonts w:ascii="Arial" w:cs="Arial" w:eastAsia="Arial" w:hAnsi="Arial"/>
                <w:sz w:val="5"/>
                <w:szCs w:val="5"/>
                <w:b w:val="1"/>
                <w:bCs w:val="1"/>
                <w:color w:val="auto"/>
              </w:rPr>
              <w:t>(2,137)</w:t>
            </w: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3"/>
                <w:szCs w:val="3"/>
                <w:b w:val="1"/>
                <w:bCs w:val="1"/>
                <w:i w:val="1"/>
                <w:iCs w:val="1"/>
                <w:color w:val="auto"/>
              </w:rPr>
              <w:t>(4)%</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w:t>
            </w:r>
          </w:p>
        </w:tc>
        <w:tc>
          <w:tcPr>
            <w:tcW w:w="660" w:type="dxa"/>
            <w:vAlign w:val="bottom"/>
            <w:tcBorders>
              <w:bottom w:val="single" w:sz="8" w:color="auto"/>
            </w:tcBorders>
            <w:shd w:val="clear" w:color="auto" w:fill="CCEEFF"/>
          </w:tcPr>
          <w:p>
            <w:pPr>
              <w:ind w:left="20"/>
              <w:spacing w:after="0" w:line="48" w:lineRule="exact"/>
              <w:rPr>
                <w:sz w:val="20"/>
                <w:szCs w:val="20"/>
                <w:color w:val="auto"/>
              </w:rPr>
            </w:pPr>
            <w:r>
              <w:rPr>
                <w:rFonts w:ascii="Arial" w:cs="Arial" w:eastAsia="Arial" w:hAnsi="Arial"/>
                <w:sz w:val="5"/>
                <w:szCs w:val="5"/>
                <w:b w:val="1"/>
                <w:bCs w:val="1"/>
                <w:color w:val="auto"/>
              </w:rPr>
              <w:t>4,256</w:t>
            </w: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3"/>
                <w:szCs w:val="3"/>
                <w:b w:val="1"/>
                <w:bCs w:val="1"/>
                <w:i w:val="1"/>
                <w:iCs w:val="1"/>
                <w:color w:val="auto"/>
              </w:rPr>
              <w:t>3%</w:t>
            </w:r>
          </w:p>
        </w:tc>
        <w:tc>
          <w:tcPr>
            <w:tcW w:w="12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w:t>
            </w:r>
          </w:p>
        </w:tc>
        <w:tc>
          <w:tcPr>
            <w:tcW w:w="640" w:type="dxa"/>
            <w:vAlign w:val="bottom"/>
            <w:tcBorders>
              <w:bottom w:val="single" w:sz="8" w:color="auto"/>
            </w:tcBorders>
            <w:shd w:val="clear" w:color="auto" w:fill="CCEEFF"/>
          </w:tcPr>
          <w:p>
            <w:pPr>
              <w:spacing w:after="0" w:line="48" w:lineRule="exact"/>
              <w:rPr>
                <w:sz w:val="20"/>
                <w:szCs w:val="20"/>
                <w:color w:val="auto"/>
              </w:rPr>
            </w:pPr>
            <w:r>
              <w:rPr>
                <w:rFonts w:ascii="Arial" w:cs="Arial" w:eastAsia="Arial" w:hAnsi="Arial"/>
                <w:sz w:val="5"/>
                <w:szCs w:val="5"/>
                <w:b w:val="1"/>
                <w:bCs w:val="1"/>
                <w:color w:val="auto"/>
              </w:rPr>
              <w:t>(5,902)</w:t>
            </w:r>
          </w:p>
        </w:tc>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3"/>
                <w:szCs w:val="3"/>
                <w:b w:val="1"/>
                <w:bCs w:val="1"/>
                <w:i w:val="1"/>
                <w:iCs w:val="1"/>
                <w:color w:val="auto"/>
              </w:rPr>
              <w:t>(4)%</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3"/>
                <w:szCs w:val="3"/>
                <w:b w:val="1"/>
                <w:bCs w:val="1"/>
                <w:color w:val="auto"/>
              </w:rPr>
              <w:t>&gt;100</w:t>
            </w:r>
          </w:p>
        </w:tc>
        <w:tc>
          <w:tcPr>
            <w:tcW w:w="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3"/>
                <w:szCs w:val="3"/>
                <w:b w:val="1"/>
                <w:bCs w:val="1"/>
                <w:color w:val="auto"/>
              </w:rPr>
              <w:t>%</w:t>
            </w: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3"/>
                <w:szCs w:val="3"/>
                <w:b w:val="1"/>
                <w:bCs w:val="1"/>
                <w:color w:val="auto"/>
              </w:rPr>
              <w:t>&gt;100</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3"/>
                <w:szCs w:val="3"/>
                <w:b w:val="1"/>
                <w:bCs w:val="1"/>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u w:val="single" w:color="auto"/>
          <w:color w:val="auto"/>
        </w:rPr>
        <w:t>Third Quarter and Nine Months Results</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Revenue</w:t>
      </w:r>
    </w:p>
    <w:p>
      <w:pPr>
        <w:spacing w:after="0" w:line="146" w:lineRule="exact"/>
        <w:rPr>
          <w:sz w:val="20"/>
          <w:szCs w:val="20"/>
          <w:color w:val="auto"/>
        </w:rPr>
      </w:pPr>
    </w:p>
    <w:p>
      <w:pPr>
        <w:ind w:right="180"/>
        <w:spacing w:after="0" w:line="237" w:lineRule="auto"/>
        <w:rPr>
          <w:sz w:val="20"/>
          <w:szCs w:val="20"/>
          <w:color w:val="auto"/>
        </w:rPr>
      </w:pPr>
      <w:r>
        <w:rPr>
          <w:rFonts w:ascii="Arial" w:cs="Arial" w:eastAsia="Arial" w:hAnsi="Arial"/>
          <w:sz w:val="10"/>
          <w:szCs w:val="10"/>
          <w:color w:val="auto"/>
        </w:rPr>
        <w:t>For the quarter ended September 30, 2023, cinema revenue increased by $14.3 million, to $62.7 million compared to the same period in the prior year. Our worldwide cinema revenue increased by 30%; geographically, U.S., AU and NZ cinema revenue increased by 39%, 21% and 16%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For the nine months ended September 30, 2023, cinema revenue increased by $18.3 million, to $165.7 million compared to the same period in the prior year.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4" w:right="640" w:bottom="1440" w:gutter="0" w:footer="0" w:header="0"/>
        </w:sectPr>
      </w:pPr>
    </w:p>
    <w:bookmarkStart w:id="35" w:name="page36"/>
    <w:bookmarkEnd w:id="35"/>
    <w:p>
      <w:pPr>
        <w:ind w:right="360"/>
        <w:spacing w:after="0" w:line="438" w:lineRule="auto"/>
        <w:rPr>
          <w:sz w:val="20"/>
          <w:szCs w:val="20"/>
          <w:color w:val="auto"/>
        </w:rPr>
      </w:pPr>
      <w:r>
        <w:rPr>
          <w:rFonts w:ascii="Arial" w:cs="Arial" w:eastAsia="Arial" w:hAnsi="Arial"/>
          <w:sz w:val="10"/>
          <w:szCs w:val="10"/>
          <w:color w:val="auto"/>
        </w:rPr>
        <w:t xml:space="preserve">The increase in revenues for the quarter and nine months ending September 30, 2023 was primarily driven by increased attendance, increased food and beverage sales and advertising and other revenue as a result of a stronger film slate. </w:t>
      </w:r>
      <w:r>
        <w:rPr>
          <w:rFonts w:ascii="Arial" w:cs="Arial" w:eastAsia="Arial" w:hAnsi="Arial"/>
          <w:sz w:val="10"/>
          <w:szCs w:val="10"/>
          <w:b w:val="1"/>
          <w:bCs w:val="1"/>
          <w:i w:val="1"/>
          <w:iCs w:val="1"/>
          <w:color w:val="auto"/>
        </w:rPr>
        <w:t>Cinema Segment Operating Income/(Loss)</w:t>
      </w:r>
    </w:p>
    <w:p>
      <w:pPr>
        <w:ind w:right="140"/>
        <w:spacing w:after="0" w:line="237" w:lineRule="auto"/>
        <w:rPr>
          <w:sz w:val="20"/>
          <w:szCs w:val="20"/>
          <w:color w:val="auto"/>
        </w:rPr>
      </w:pPr>
      <w:r>
        <w:rPr>
          <w:rFonts w:ascii="Arial" w:cs="Arial" w:eastAsia="Arial" w:hAnsi="Arial"/>
          <w:sz w:val="10"/>
          <w:szCs w:val="10"/>
          <w:color w:val="auto"/>
        </w:rPr>
        <w:t>Cinema segment operating income for the quarter ended September 30, 2023, increased by $6.5 million, from a loss of $2.1 million to an income of $4.4 million when compared to the same period in the prior year, primarily due to a stronger film slate.</w:t>
      </w:r>
    </w:p>
    <w:p>
      <w:pPr>
        <w:spacing w:after="0" w:line="88" w:lineRule="exact"/>
        <w:rPr>
          <w:sz w:val="20"/>
          <w:szCs w:val="20"/>
          <w:color w:val="auto"/>
        </w:rPr>
      </w:pPr>
    </w:p>
    <w:p>
      <w:pPr>
        <w:jc w:val="both"/>
        <w:spacing w:after="0" w:line="231" w:lineRule="auto"/>
        <w:rPr>
          <w:sz w:val="20"/>
          <w:szCs w:val="20"/>
          <w:color w:val="auto"/>
        </w:rPr>
      </w:pPr>
      <w:r>
        <w:rPr>
          <w:rFonts w:ascii="Arial" w:cs="Arial" w:eastAsia="Arial" w:hAnsi="Arial"/>
          <w:sz w:val="10"/>
          <w:szCs w:val="10"/>
          <w:color w:val="auto"/>
        </w:rPr>
        <w:t>Cinema segment operating income for the nine months ended September 30, 2023, increased by $ 10.2 million, from a loss of $5.9 million to an income of $4.3 million when compared to the same period in the prior year primarily due to (i) improved cinema performance as a result of stronger movie slate and more patrons returning to the theaters, (ii) impairment expense that was incurred in 2022 that was not incurred in 2023 and (iii) a decrease in depreciation and amortization due to delay in Capex spending.</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Operating expense</w:t>
      </w:r>
    </w:p>
    <w:p>
      <w:pPr>
        <w:spacing w:after="0" w:line="101" w:lineRule="exact"/>
        <w:rPr>
          <w:sz w:val="20"/>
          <w:szCs w:val="20"/>
          <w:color w:val="auto"/>
        </w:rPr>
      </w:pPr>
    </w:p>
    <w:p>
      <w:pPr>
        <w:ind w:right="60"/>
        <w:spacing w:after="0" w:line="287" w:lineRule="auto"/>
        <w:rPr>
          <w:sz w:val="20"/>
          <w:szCs w:val="20"/>
          <w:color w:val="auto"/>
        </w:rPr>
      </w:pPr>
      <w:r>
        <w:rPr>
          <w:rFonts w:ascii="Arial" w:cs="Arial" w:eastAsia="Arial" w:hAnsi="Arial"/>
          <w:sz w:val="9"/>
          <w:szCs w:val="9"/>
          <w:color w:val="auto"/>
        </w:rPr>
        <w:t>Operating expenses for the quarter ended September 30, 2023, increased by $7.9 million, to $ 54.5 million, compared to the same quarter in the prior year. Operating expenses for the nine months ended September 30, 2023, increased by $11.5 million, to $149.9 million, compared to the same time period in the prior year. These increases were due to increased film rent expense, increased food and beverage costs and other operating expenses as result of a better segment performance.</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Depreciation, amortization, impairment, general and administrative expense</w:t>
      </w:r>
    </w:p>
    <w:p>
      <w:pPr>
        <w:spacing w:after="0" w:line="101" w:lineRule="exact"/>
        <w:rPr>
          <w:sz w:val="20"/>
          <w:szCs w:val="20"/>
          <w:color w:val="auto"/>
        </w:rPr>
      </w:pPr>
    </w:p>
    <w:p>
      <w:pPr>
        <w:ind w:right="60"/>
        <w:spacing w:after="0" w:line="231" w:lineRule="auto"/>
        <w:rPr>
          <w:sz w:val="20"/>
          <w:szCs w:val="20"/>
          <w:color w:val="auto"/>
        </w:rPr>
      </w:pPr>
      <w:r>
        <w:rPr>
          <w:rFonts w:ascii="Arial" w:cs="Arial" w:eastAsia="Arial" w:hAnsi="Arial"/>
          <w:sz w:val="10"/>
          <w:szCs w:val="10"/>
          <w:color w:val="auto"/>
        </w:rPr>
        <w:t>Depreciation, amortization, impairment, and general and administrative expenses for the quarter ended September 30, 2023, decreased by $0.1 million, to $3.8 million, compared to the same quarter in the prior year. Depreciation, amortization, impairment and general and administrative expense for the nine months ended September 30, 2023, decreased by $3.4 million, to $11.5 million, compared to the same period in the prior year. These decreases were due to (i) impairment expense that was incurred in 2022 that did not reoccur in 2023, and (ii) a decrease in depreciation and amortization due to a delay in Capex spending.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670" w:right="660" w:bottom="1440" w:gutter="0" w:footer="0" w:header="0"/>
        </w:sectPr>
      </w:pPr>
    </w:p>
    <w:bookmarkStart w:id="36" w:name="page37"/>
    <w:bookmarkEnd w:id="36"/>
    <w:p>
      <w:pPr>
        <w:spacing w:after="0"/>
        <w:rPr>
          <w:sz w:val="20"/>
          <w:szCs w:val="20"/>
          <w:color w:val="auto"/>
        </w:rPr>
      </w:pPr>
      <w:r>
        <w:rPr>
          <w:rFonts w:ascii="Arial" w:cs="Arial" w:eastAsia="Arial" w:hAnsi="Arial"/>
          <w:sz w:val="10"/>
          <w:szCs w:val="10"/>
          <w:b w:val="1"/>
          <w:bCs w:val="1"/>
          <w:i w:val="1"/>
          <w:iCs w:val="1"/>
          <w:u w:val="single" w:color="auto"/>
          <w:color w:val="auto"/>
        </w:rPr>
        <w:t>Real Estate</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details our real estate segment operating results for the quarter and nine months ended September 30, 2023 and September 30, 2022, respectively: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61"/>
        </w:trPr>
        <w:tc>
          <w:tcPr>
            <w:tcW w:w="15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tcPr>
          <w:p>
            <w:pPr>
              <w:jc w:val="right"/>
              <w:ind w:right="469"/>
              <w:spacing w:after="0"/>
              <w:rPr>
                <w:sz w:val="20"/>
                <w:szCs w:val="20"/>
                <w:color w:val="auto"/>
              </w:rPr>
            </w:pPr>
            <w:r>
              <w:rPr>
                <w:rFonts w:ascii="Arial" w:cs="Arial" w:eastAsia="Arial" w:hAnsi="Arial"/>
                <w:sz w:val="5"/>
                <w:szCs w:val="5"/>
                <w:b w:val="1"/>
                <w:bCs w:val="1"/>
                <w:color w:val="auto"/>
              </w:rPr>
              <w:t>% Change</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gridSpan w:val="4"/>
          </w:tcPr>
          <w:p>
            <w:pPr>
              <w:jc w:val="right"/>
              <w:ind w:right="580"/>
              <w:spacing w:after="0" w:line="68" w:lineRule="exact"/>
              <w:rPr>
                <w:sz w:val="20"/>
                <w:szCs w:val="20"/>
                <w:color w:val="auto"/>
              </w:rPr>
            </w:pPr>
            <w:r>
              <w:rPr>
                <w:rFonts w:ascii="Arial" w:cs="Arial" w:eastAsia="Arial" w:hAnsi="Arial"/>
                <w:sz w:val="6"/>
                <w:szCs w:val="6"/>
                <w:b w:val="1"/>
                <w:bCs w:val="1"/>
                <w:color w:val="auto"/>
              </w:rPr>
              <w:t>Quarter Ended</w:t>
            </w:r>
          </w:p>
        </w:tc>
        <w:tc>
          <w:tcPr>
            <w:tcW w:w="40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gridSpan w:val="4"/>
          </w:tcPr>
          <w:p>
            <w:pPr>
              <w:ind w:left="120"/>
              <w:spacing w:after="0" w:line="68" w:lineRule="exact"/>
              <w:rPr>
                <w:sz w:val="20"/>
                <w:szCs w:val="20"/>
                <w:color w:val="auto"/>
              </w:rPr>
            </w:pPr>
            <w:r>
              <w:rPr>
                <w:rFonts w:ascii="Arial" w:cs="Arial" w:eastAsia="Arial" w:hAnsi="Arial"/>
                <w:sz w:val="6"/>
                <w:szCs w:val="6"/>
                <w:b w:val="1"/>
                <w:bCs w:val="1"/>
                <w:color w:val="auto"/>
              </w:rPr>
              <w:t>Nine Months Ended</w:t>
            </w:r>
          </w:p>
        </w:tc>
        <w:tc>
          <w:tcPr>
            <w:tcW w:w="4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Borders>
              <w:bottom w:val="single" w:sz="8" w:color="auto"/>
            </w:tcBorders>
            <w:gridSpan w:val="2"/>
          </w:tcPr>
          <w:p>
            <w:pPr>
              <w:jc w:val="right"/>
              <w:ind w:right="429"/>
              <w:spacing w:after="0" w:line="68" w:lineRule="exact"/>
              <w:rPr>
                <w:sz w:val="20"/>
                <w:szCs w:val="20"/>
                <w:color w:val="auto"/>
              </w:rPr>
            </w:pPr>
            <w:r>
              <w:rPr>
                <w:rFonts w:ascii="Arial" w:cs="Arial" w:eastAsia="Arial" w:hAnsi="Arial"/>
                <w:sz w:val="6"/>
                <w:szCs w:val="6"/>
                <w:b w:val="1"/>
                <w:bCs w:val="1"/>
                <w:color w:val="auto"/>
              </w:rPr>
              <w:t>Fav/(Unfav)</w:t>
            </w:r>
          </w:p>
        </w:tc>
        <w:tc>
          <w:tcPr>
            <w:tcW w:w="0" w:type="dxa"/>
            <w:vAlign w:val="bottom"/>
          </w:tcPr>
          <w:p>
            <w:pPr>
              <w:spacing w:after="0"/>
              <w:rPr>
                <w:sz w:val="1"/>
                <w:szCs w:val="1"/>
                <w:color w:val="auto"/>
              </w:rPr>
            </w:pPr>
          </w:p>
        </w:tc>
      </w:tr>
      <w:tr>
        <w:trPr>
          <w:trHeight w:val="48"/>
        </w:trPr>
        <w:tc>
          <w:tcPr>
            <w:tcW w:w="1540" w:type="dxa"/>
            <w:vAlign w:val="bottom"/>
            <w:vMerge w:val="restart"/>
          </w:tcPr>
          <w:p>
            <w:pPr>
              <w:spacing w:after="0"/>
              <w:rPr>
                <w:sz w:val="20"/>
                <w:szCs w:val="20"/>
                <w:color w:val="auto"/>
              </w:rPr>
            </w:pPr>
            <w:r>
              <w:rPr>
                <w:rFonts w:ascii="Arial" w:cs="Arial" w:eastAsia="Arial" w:hAnsi="Arial"/>
                <w:sz w:val="6"/>
                <w:szCs w:val="6"/>
                <w:i w:val="1"/>
                <w:iCs w:val="1"/>
                <w:color w:val="auto"/>
              </w:rPr>
              <w:t>(Dollars in thousands)</w:t>
            </w:r>
          </w:p>
        </w:tc>
        <w:tc>
          <w:tcPr>
            <w:tcW w:w="2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tcPr>
          <w:p>
            <w:pPr>
              <w:jc w:val="right"/>
              <w:ind w:right="220"/>
              <w:spacing w:after="0" w:line="48" w:lineRule="exact"/>
              <w:rPr>
                <w:sz w:val="20"/>
                <w:szCs w:val="20"/>
                <w:color w:val="auto"/>
              </w:rPr>
            </w:pPr>
            <w:r>
              <w:rPr>
                <w:rFonts w:ascii="Arial" w:cs="Arial" w:eastAsia="Arial" w:hAnsi="Arial"/>
                <w:sz w:val="5"/>
                <w:szCs w:val="5"/>
                <w:b w:val="1"/>
                <w:bCs w:val="1"/>
                <w:color w:val="auto"/>
              </w:rPr>
              <w:t>September 30,</w:t>
            </w:r>
          </w:p>
        </w:tc>
        <w:tc>
          <w:tcPr>
            <w:tcW w:w="420" w:type="dxa"/>
            <w:vAlign w:val="bottom"/>
          </w:tcPr>
          <w:p>
            <w:pPr>
              <w:jc w:val="center"/>
              <w:ind w:right="29"/>
              <w:spacing w:after="0" w:line="48" w:lineRule="exact"/>
              <w:rPr>
                <w:sz w:val="20"/>
                <w:szCs w:val="20"/>
                <w:color w:val="auto"/>
              </w:rPr>
            </w:pPr>
            <w:r>
              <w:rPr>
                <w:rFonts w:ascii="Arial" w:cs="Arial" w:eastAsia="Arial" w:hAnsi="Arial"/>
                <w:sz w:val="5"/>
                <w:szCs w:val="5"/>
                <w:b w:val="1"/>
                <w:bCs w:val="1"/>
                <w:i w:val="1"/>
                <w:iCs w:val="1"/>
                <w:color w:val="auto"/>
              </w:rPr>
              <w:t>% of</w:t>
            </w:r>
          </w:p>
        </w:tc>
        <w:tc>
          <w:tcPr>
            <w:tcW w:w="80" w:type="dxa"/>
            <w:vAlign w:val="bottom"/>
          </w:tcPr>
          <w:p>
            <w:pPr>
              <w:spacing w:after="0"/>
              <w:rPr>
                <w:sz w:val="4"/>
                <w:szCs w:val="4"/>
                <w:color w:val="auto"/>
              </w:rPr>
            </w:pPr>
          </w:p>
        </w:tc>
        <w:tc>
          <w:tcPr>
            <w:tcW w:w="700" w:type="dxa"/>
            <w:vAlign w:val="bottom"/>
            <w:gridSpan w:val="2"/>
          </w:tcPr>
          <w:p>
            <w:pPr>
              <w:jc w:val="right"/>
              <w:ind w:right="220"/>
              <w:spacing w:after="0" w:line="48" w:lineRule="exact"/>
              <w:rPr>
                <w:sz w:val="20"/>
                <w:szCs w:val="20"/>
                <w:color w:val="auto"/>
              </w:rPr>
            </w:pPr>
            <w:r>
              <w:rPr>
                <w:rFonts w:ascii="Arial" w:cs="Arial" w:eastAsia="Arial" w:hAnsi="Arial"/>
                <w:sz w:val="5"/>
                <w:szCs w:val="5"/>
                <w:b w:val="1"/>
                <w:bCs w:val="1"/>
                <w:color w:val="auto"/>
              </w:rPr>
              <w:t>September 30,</w:t>
            </w:r>
          </w:p>
        </w:tc>
        <w:tc>
          <w:tcPr>
            <w:tcW w:w="400" w:type="dxa"/>
            <w:vAlign w:val="bottom"/>
          </w:tcPr>
          <w:p>
            <w:pPr>
              <w:jc w:val="center"/>
              <w:ind w:right="29"/>
              <w:spacing w:after="0" w:line="48" w:lineRule="exact"/>
              <w:rPr>
                <w:sz w:val="20"/>
                <w:szCs w:val="20"/>
                <w:color w:val="auto"/>
              </w:rPr>
            </w:pPr>
            <w:r>
              <w:rPr>
                <w:rFonts w:ascii="Arial" w:cs="Arial" w:eastAsia="Arial" w:hAnsi="Arial"/>
                <w:sz w:val="5"/>
                <w:szCs w:val="5"/>
                <w:b w:val="1"/>
                <w:bCs w:val="1"/>
                <w:i w:val="1"/>
                <w:iCs w:val="1"/>
                <w:color w:val="auto"/>
              </w:rPr>
              <w:t>% of</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right"/>
              <w:ind w:right="240"/>
              <w:spacing w:after="0" w:line="48" w:lineRule="exact"/>
              <w:rPr>
                <w:sz w:val="20"/>
                <w:szCs w:val="20"/>
                <w:color w:val="auto"/>
              </w:rPr>
            </w:pPr>
            <w:r>
              <w:rPr>
                <w:rFonts w:ascii="Arial" w:cs="Arial" w:eastAsia="Arial" w:hAnsi="Arial"/>
                <w:sz w:val="5"/>
                <w:szCs w:val="5"/>
                <w:b w:val="1"/>
                <w:bCs w:val="1"/>
                <w:color w:val="auto"/>
              </w:rPr>
              <w:t>September 30,</w:t>
            </w:r>
          </w:p>
        </w:tc>
        <w:tc>
          <w:tcPr>
            <w:tcW w:w="420" w:type="dxa"/>
            <w:vAlign w:val="bottom"/>
          </w:tcPr>
          <w:p>
            <w:pPr>
              <w:ind w:left="120"/>
              <w:spacing w:after="0" w:line="48" w:lineRule="exact"/>
              <w:rPr>
                <w:sz w:val="20"/>
                <w:szCs w:val="20"/>
                <w:color w:val="auto"/>
              </w:rPr>
            </w:pPr>
            <w:r>
              <w:rPr>
                <w:rFonts w:ascii="Arial" w:cs="Arial" w:eastAsia="Arial" w:hAnsi="Arial"/>
                <w:sz w:val="5"/>
                <w:szCs w:val="5"/>
                <w:b w:val="1"/>
                <w:bCs w:val="1"/>
                <w:i w:val="1"/>
                <w:iCs w:val="1"/>
                <w:color w:val="auto"/>
              </w:rPr>
              <w:t>% of</w:t>
            </w:r>
          </w:p>
        </w:tc>
        <w:tc>
          <w:tcPr>
            <w:tcW w:w="100" w:type="dxa"/>
            <w:vAlign w:val="bottom"/>
          </w:tcPr>
          <w:p>
            <w:pPr>
              <w:spacing w:after="0"/>
              <w:rPr>
                <w:sz w:val="4"/>
                <w:szCs w:val="4"/>
                <w:color w:val="auto"/>
              </w:rPr>
            </w:pPr>
          </w:p>
        </w:tc>
        <w:tc>
          <w:tcPr>
            <w:tcW w:w="680" w:type="dxa"/>
            <w:vAlign w:val="bottom"/>
            <w:gridSpan w:val="2"/>
          </w:tcPr>
          <w:p>
            <w:pPr>
              <w:jc w:val="right"/>
              <w:ind w:right="220"/>
              <w:spacing w:after="0" w:line="48" w:lineRule="exact"/>
              <w:rPr>
                <w:sz w:val="20"/>
                <w:szCs w:val="20"/>
                <w:color w:val="auto"/>
              </w:rPr>
            </w:pPr>
            <w:r>
              <w:rPr>
                <w:rFonts w:ascii="Arial" w:cs="Arial" w:eastAsia="Arial" w:hAnsi="Arial"/>
                <w:sz w:val="5"/>
                <w:szCs w:val="5"/>
                <w:b w:val="1"/>
                <w:bCs w:val="1"/>
                <w:color w:val="auto"/>
              </w:rPr>
              <w:t>September 30,</w:t>
            </w:r>
          </w:p>
        </w:tc>
        <w:tc>
          <w:tcPr>
            <w:tcW w:w="420" w:type="dxa"/>
            <w:vAlign w:val="bottom"/>
          </w:tcPr>
          <w:p>
            <w:pPr>
              <w:jc w:val="center"/>
              <w:ind w:right="29"/>
              <w:spacing w:after="0" w:line="48" w:lineRule="exact"/>
              <w:rPr>
                <w:sz w:val="20"/>
                <w:szCs w:val="20"/>
                <w:color w:val="auto"/>
              </w:rPr>
            </w:pPr>
            <w:r>
              <w:rPr>
                <w:rFonts w:ascii="Arial" w:cs="Arial" w:eastAsia="Arial" w:hAnsi="Arial"/>
                <w:sz w:val="5"/>
                <w:szCs w:val="5"/>
                <w:b w:val="1"/>
                <w:bCs w:val="1"/>
                <w:i w:val="1"/>
                <w:iCs w:val="1"/>
                <w:color w:val="auto"/>
              </w:rPr>
              <w:t>% of</w:t>
            </w:r>
          </w:p>
        </w:tc>
        <w:tc>
          <w:tcPr>
            <w:tcW w:w="60" w:type="dxa"/>
            <w:vAlign w:val="bottom"/>
          </w:tcPr>
          <w:p>
            <w:pPr>
              <w:spacing w:after="0"/>
              <w:rPr>
                <w:sz w:val="4"/>
                <w:szCs w:val="4"/>
                <w:color w:val="auto"/>
              </w:rPr>
            </w:pPr>
          </w:p>
        </w:tc>
        <w:tc>
          <w:tcPr>
            <w:tcW w:w="640" w:type="dxa"/>
            <w:vAlign w:val="bottom"/>
            <w:vMerge w:val="restart"/>
          </w:tcPr>
          <w:p>
            <w:pPr>
              <w:jc w:val="right"/>
              <w:ind w:right="71"/>
              <w:spacing w:after="0"/>
              <w:rPr>
                <w:sz w:val="20"/>
                <w:szCs w:val="20"/>
                <w:color w:val="auto"/>
              </w:rPr>
            </w:pPr>
            <w:r>
              <w:rPr>
                <w:rFonts w:ascii="Arial" w:cs="Arial" w:eastAsia="Arial" w:hAnsi="Arial"/>
                <w:sz w:val="6"/>
                <w:szCs w:val="6"/>
                <w:b w:val="1"/>
                <w:bCs w:val="1"/>
                <w:color w:val="auto"/>
              </w:rPr>
              <w:t>Quarter Ended</w:t>
            </w:r>
          </w:p>
        </w:tc>
        <w:tc>
          <w:tcPr>
            <w:tcW w:w="620" w:type="dxa"/>
            <w:vAlign w:val="bottom"/>
            <w:vMerge w:val="restart"/>
          </w:tcPr>
          <w:p>
            <w:pPr>
              <w:jc w:val="right"/>
              <w:spacing w:after="0"/>
              <w:rPr>
                <w:sz w:val="20"/>
                <w:szCs w:val="20"/>
                <w:color w:val="auto"/>
              </w:rPr>
            </w:pPr>
            <w:r>
              <w:rPr>
                <w:rFonts w:ascii="Arial" w:cs="Arial" w:eastAsia="Arial" w:hAnsi="Arial"/>
                <w:sz w:val="6"/>
                <w:szCs w:val="6"/>
                <w:b w:val="1"/>
                <w:bCs w:val="1"/>
                <w:color w:val="auto"/>
              </w:rPr>
              <w:t>Nine Months Ended</w:t>
            </w:r>
          </w:p>
        </w:tc>
        <w:tc>
          <w:tcPr>
            <w:tcW w:w="0" w:type="dxa"/>
            <w:vAlign w:val="bottom"/>
          </w:tcPr>
          <w:p>
            <w:pPr>
              <w:spacing w:after="0"/>
              <w:rPr>
                <w:sz w:val="1"/>
                <w:szCs w:val="1"/>
                <w:color w:val="auto"/>
              </w:rPr>
            </w:pPr>
          </w:p>
        </w:tc>
      </w:tr>
      <w:tr>
        <w:trPr>
          <w:trHeight w:val="68"/>
        </w:trPr>
        <w:tc>
          <w:tcPr>
            <w:tcW w:w="1540" w:type="dxa"/>
            <w:vAlign w:val="bottom"/>
            <w:vMerge w:val="continue"/>
          </w:tcPr>
          <w:p>
            <w:pPr>
              <w:spacing w:after="0"/>
              <w:rPr>
                <w:sz w:val="5"/>
                <w:szCs w:val="5"/>
                <w:color w:val="auto"/>
              </w:rPr>
            </w:pPr>
          </w:p>
        </w:tc>
        <w:tc>
          <w:tcPr>
            <w:tcW w:w="2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tcPr>
          <w:p>
            <w:pPr>
              <w:jc w:val="right"/>
              <w:ind w:right="360"/>
              <w:spacing w:after="0" w:line="68" w:lineRule="exact"/>
              <w:rPr>
                <w:sz w:val="20"/>
                <w:szCs w:val="20"/>
                <w:color w:val="auto"/>
              </w:rPr>
            </w:pPr>
            <w:r>
              <w:rPr>
                <w:rFonts w:ascii="Arial" w:cs="Arial" w:eastAsia="Arial" w:hAnsi="Arial"/>
                <w:sz w:val="6"/>
                <w:szCs w:val="6"/>
                <w:b w:val="1"/>
                <w:bCs w:val="1"/>
                <w:color w:val="auto"/>
              </w:rPr>
              <w:t>2023​</w:t>
            </w:r>
          </w:p>
        </w:tc>
        <w:tc>
          <w:tcPr>
            <w:tcW w:w="420" w:type="dxa"/>
            <w:vAlign w:val="bottom"/>
          </w:tcPr>
          <w:p>
            <w:pPr>
              <w:jc w:val="center"/>
              <w:ind w:right="29"/>
              <w:spacing w:after="0" w:line="68" w:lineRule="exact"/>
              <w:rPr>
                <w:sz w:val="20"/>
                <w:szCs w:val="20"/>
                <w:color w:val="auto"/>
              </w:rPr>
            </w:pPr>
            <w:r>
              <w:rPr>
                <w:rFonts w:ascii="Arial" w:cs="Arial" w:eastAsia="Arial" w:hAnsi="Arial"/>
                <w:sz w:val="6"/>
                <w:szCs w:val="6"/>
                <w:b w:val="1"/>
                <w:bCs w:val="1"/>
                <w:i w:val="1"/>
                <w:iCs w:val="1"/>
                <w:color w:val="auto"/>
                <w:w w:val="95"/>
              </w:rPr>
              <w:t>Revenue​</w:t>
            </w:r>
          </w:p>
        </w:tc>
        <w:tc>
          <w:tcPr>
            <w:tcW w:w="80" w:type="dxa"/>
            <w:vAlign w:val="bottom"/>
          </w:tcPr>
          <w:p>
            <w:pPr>
              <w:spacing w:after="0"/>
              <w:rPr>
                <w:sz w:val="5"/>
                <w:szCs w:val="5"/>
                <w:color w:val="auto"/>
              </w:rPr>
            </w:pPr>
          </w:p>
        </w:tc>
        <w:tc>
          <w:tcPr>
            <w:tcW w:w="700" w:type="dxa"/>
            <w:vAlign w:val="bottom"/>
            <w:gridSpan w:val="2"/>
          </w:tcPr>
          <w:p>
            <w:pPr>
              <w:jc w:val="right"/>
              <w:ind w:right="360"/>
              <w:spacing w:after="0" w:line="68" w:lineRule="exact"/>
              <w:rPr>
                <w:sz w:val="20"/>
                <w:szCs w:val="20"/>
                <w:color w:val="auto"/>
              </w:rPr>
            </w:pPr>
            <w:r>
              <w:rPr>
                <w:rFonts w:ascii="Arial" w:cs="Arial" w:eastAsia="Arial" w:hAnsi="Arial"/>
                <w:sz w:val="6"/>
                <w:szCs w:val="6"/>
                <w:b w:val="1"/>
                <w:bCs w:val="1"/>
                <w:color w:val="auto"/>
              </w:rPr>
              <w:t>2022​</w:t>
            </w:r>
          </w:p>
        </w:tc>
        <w:tc>
          <w:tcPr>
            <w:tcW w:w="740" w:type="dxa"/>
            <w:vAlign w:val="bottom"/>
            <w:gridSpan w:val="2"/>
          </w:tcPr>
          <w:p>
            <w:pPr>
              <w:jc w:val="center"/>
              <w:ind w:right="400"/>
              <w:spacing w:after="0" w:line="68" w:lineRule="exact"/>
              <w:rPr>
                <w:sz w:val="20"/>
                <w:szCs w:val="20"/>
                <w:color w:val="auto"/>
              </w:rPr>
            </w:pPr>
            <w:r>
              <w:rPr>
                <w:rFonts w:ascii="Arial" w:cs="Arial" w:eastAsia="Arial" w:hAnsi="Arial"/>
                <w:sz w:val="6"/>
                <w:szCs w:val="6"/>
                <w:b w:val="1"/>
                <w:bCs w:val="1"/>
                <w:i w:val="1"/>
                <w:iCs w:val="1"/>
                <w:color w:val="auto"/>
              </w:rPr>
              <w:t>Revenue​</w:t>
            </w:r>
          </w:p>
        </w:tc>
        <w:tc>
          <w:tcPr>
            <w:tcW w:w="100" w:type="dxa"/>
            <w:vAlign w:val="bottom"/>
          </w:tcPr>
          <w:p>
            <w:pPr>
              <w:spacing w:after="0"/>
              <w:rPr>
                <w:sz w:val="5"/>
                <w:szCs w:val="5"/>
                <w:color w:val="auto"/>
              </w:rPr>
            </w:pPr>
          </w:p>
        </w:tc>
        <w:tc>
          <w:tcPr>
            <w:tcW w:w="720" w:type="dxa"/>
            <w:vAlign w:val="bottom"/>
            <w:gridSpan w:val="2"/>
          </w:tcPr>
          <w:p>
            <w:pPr>
              <w:jc w:val="right"/>
              <w:ind w:right="380"/>
              <w:spacing w:after="0" w:line="68" w:lineRule="exact"/>
              <w:rPr>
                <w:sz w:val="20"/>
                <w:szCs w:val="20"/>
                <w:color w:val="auto"/>
              </w:rPr>
            </w:pPr>
            <w:r>
              <w:rPr>
                <w:rFonts w:ascii="Arial" w:cs="Arial" w:eastAsia="Arial" w:hAnsi="Arial"/>
                <w:sz w:val="6"/>
                <w:szCs w:val="6"/>
                <w:b w:val="1"/>
                <w:bCs w:val="1"/>
                <w:color w:val="auto"/>
              </w:rPr>
              <w:t>2023​</w:t>
            </w:r>
          </w:p>
        </w:tc>
        <w:tc>
          <w:tcPr>
            <w:tcW w:w="420" w:type="dxa"/>
            <w:vAlign w:val="bottom"/>
          </w:tcPr>
          <w:p>
            <w:pPr>
              <w:ind w:left="60"/>
              <w:spacing w:after="0" w:line="68" w:lineRule="exact"/>
              <w:rPr>
                <w:sz w:val="20"/>
                <w:szCs w:val="20"/>
                <w:color w:val="auto"/>
              </w:rPr>
            </w:pPr>
            <w:r>
              <w:rPr>
                <w:rFonts w:ascii="Arial" w:cs="Arial" w:eastAsia="Arial" w:hAnsi="Arial"/>
                <w:sz w:val="6"/>
                <w:szCs w:val="6"/>
                <w:b w:val="1"/>
                <w:bCs w:val="1"/>
                <w:i w:val="1"/>
                <w:iCs w:val="1"/>
                <w:color w:val="auto"/>
              </w:rPr>
              <w:t>Revenue​</w:t>
            </w:r>
          </w:p>
        </w:tc>
        <w:tc>
          <w:tcPr>
            <w:tcW w:w="100" w:type="dxa"/>
            <w:vAlign w:val="bottom"/>
          </w:tcPr>
          <w:p>
            <w:pPr>
              <w:spacing w:after="0"/>
              <w:rPr>
                <w:sz w:val="5"/>
                <w:szCs w:val="5"/>
                <w:color w:val="auto"/>
              </w:rPr>
            </w:pPr>
          </w:p>
        </w:tc>
        <w:tc>
          <w:tcPr>
            <w:tcW w:w="680" w:type="dxa"/>
            <w:vAlign w:val="bottom"/>
            <w:gridSpan w:val="2"/>
          </w:tcPr>
          <w:p>
            <w:pPr>
              <w:jc w:val="right"/>
              <w:ind w:right="340"/>
              <w:spacing w:after="0" w:line="68" w:lineRule="exact"/>
              <w:rPr>
                <w:sz w:val="20"/>
                <w:szCs w:val="20"/>
                <w:color w:val="auto"/>
              </w:rPr>
            </w:pPr>
            <w:r>
              <w:rPr>
                <w:rFonts w:ascii="Arial" w:cs="Arial" w:eastAsia="Arial" w:hAnsi="Arial"/>
                <w:sz w:val="6"/>
                <w:szCs w:val="6"/>
                <w:b w:val="1"/>
                <w:bCs w:val="1"/>
                <w:color w:val="auto"/>
              </w:rPr>
              <w:t>2022​</w:t>
            </w:r>
          </w:p>
        </w:tc>
        <w:tc>
          <w:tcPr>
            <w:tcW w:w="420" w:type="dxa"/>
            <w:vAlign w:val="bottom"/>
          </w:tcPr>
          <w:p>
            <w:pPr>
              <w:jc w:val="center"/>
              <w:ind w:right="29"/>
              <w:spacing w:after="0" w:line="68" w:lineRule="exact"/>
              <w:rPr>
                <w:sz w:val="20"/>
                <w:szCs w:val="20"/>
                <w:color w:val="auto"/>
              </w:rPr>
            </w:pPr>
            <w:r>
              <w:rPr>
                <w:rFonts w:ascii="Arial" w:cs="Arial" w:eastAsia="Arial" w:hAnsi="Arial"/>
                <w:sz w:val="6"/>
                <w:szCs w:val="6"/>
                <w:b w:val="1"/>
                <w:bCs w:val="1"/>
                <w:i w:val="1"/>
                <w:iCs w:val="1"/>
                <w:color w:val="auto"/>
                <w:w w:val="95"/>
              </w:rPr>
              <w:t>Revenue​</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540" w:type="dxa"/>
            <w:vAlign w:val="bottom"/>
            <w:tcBorders>
              <w:top w:val="single" w:sz="8" w:color="auto"/>
            </w:tcBorders>
            <w:shd w:val="clear" w:color="auto" w:fill="CCEEFF"/>
          </w:tcPr>
          <w:p>
            <w:pPr>
              <w:spacing w:after="0" w:line="63" w:lineRule="exact"/>
              <w:rPr>
                <w:sz w:val="20"/>
                <w:szCs w:val="20"/>
                <w:color w:val="auto"/>
              </w:rPr>
            </w:pPr>
            <w:r>
              <w:rPr>
                <w:rFonts w:ascii="Arial" w:cs="Arial" w:eastAsia="Arial" w:hAnsi="Arial"/>
                <w:sz w:val="7"/>
                <w:szCs w:val="7"/>
                <w:b w:val="1"/>
                <w:bCs w:val="1"/>
                <w:color w:val="auto"/>
              </w:rPr>
              <w:t>REVENUE</w:t>
            </w:r>
          </w:p>
        </w:tc>
        <w:tc>
          <w:tcPr>
            <w:tcW w:w="25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540" w:type="dxa"/>
            <w:vAlign w:val="bottom"/>
          </w:tcPr>
          <w:p>
            <w:pPr>
              <w:ind w:left="200"/>
              <w:spacing w:after="0" w:line="68" w:lineRule="exact"/>
              <w:rPr>
                <w:sz w:val="20"/>
                <w:szCs w:val="20"/>
                <w:color w:val="auto"/>
              </w:rPr>
            </w:pPr>
            <w:r>
              <w:rPr>
                <w:rFonts w:ascii="Arial" w:cs="Arial" w:eastAsia="Arial" w:hAnsi="Arial"/>
                <w:sz w:val="7"/>
                <w:szCs w:val="7"/>
                <w:b w:val="1"/>
                <w:bCs w:val="1"/>
                <w:color w:val="auto"/>
              </w:rPr>
              <w:t>United States</w:t>
            </w:r>
          </w:p>
        </w:tc>
        <w:tc>
          <w:tcPr>
            <w:tcW w:w="2580" w:type="dxa"/>
            <w:vAlign w:val="bottom"/>
          </w:tcPr>
          <w:p>
            <w:pPr>
              <w:ind w:left="80"/>
              <w:spacing w:after="0" w:line="68" w:lineRule="exact"/>
              <w:rPr>
                <w:sz w:val="20"/>
                <w:szCs w:val="20"/>
                <w:color w:val="auto"/>
              </w:rPr>
            </w:pPr>
            <w:r>
              <w:rPr>
                <w:rFonts w:ascii="Arial" w:cs="Arial" w:eastAsia="Arial" w:hAnsi="Arial"/>
                <w:sz w:val="7"/>
                <w:szCs w:val="7"/>
                <w:color w:val="auto"/>
              </w:rPr>
              <w:t>Live theatre rental and ancillary income</w:t>
            </w:r>
          </w:p>
        </w:tc>
        <w:tc>
          <w:tcPr>
            <w:tcW w:w="10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line="68" w:lineRule="exact"/>
              <w:rPr>
                <w:sz w:val="20"/>
                <w:szCs w:val="20"/>
                <w:color w:val="auto"/>
              </w:rPr>
            </w:pPr>
            <w:r>
              <w:rPr>
                <w:rFonts w:ascii="Arial" w:cs="Arial" w:eastAsia="Arial" w:hAnsi="Arial"/>
                <w:sz w:val="7"/>
                <w:szCs w:val="7"/>
                <w:color w:val="auto"/>
              </w:rPr>
              <w:t>465</w:t>
            </w:r>
          </w:p>
        </w:tc>
        <w:tc>
          <w:tcPr>
            <w:tcW w:w="60" w:type="dxa"/>
            <w:vAlign w:val="bottom"/>
          </w:tcPr>
          <w:p>
            <w:pPr>
              <w:spacing w:after="0"/>
              <w:rPr>
                <w:sz w:val="5"/>
                <w:szCs w:val="5"/>
                <w:color w:val="auto"/>
              </w:rPr>
            </w:pP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8"/>
              </w:rPr>
              <w:t>9%</w:t>
            </w:r>
          </w:p>
        </w:tc>
        <w:tc>
          <w:tcPr>
            <w:tcW w:w="80" w:type="dxa"/>
            <w:vAlign w:val="bottom"/>
          </w:tcPr>
          <w:p>
            <w:pPr>
              <w:jc w:val="right"/>
              <w:ind w:right="54"/>
              <w:spacing w:after="0"/>
              <w:rPr>
                <w:sz w:val="20"/>
                <w:szCs w:val="20"/>
                <w:color w:val="auto"/>
              </w:rPr>
            </w:pPr>
            <w:r>
              <w:rPr>
                <w:rFonts w:ascii="Arial" w:cs="Arial" w:eastAsia="Arial" w:hAnsi="Arial"/>
                <w:sz w:val="1"/>
                <w:szCs w:val="1"/>
                <w:color w:val="auto"/>
                <w:w w:val="4294967288"/>
              </w:rPr>
              <w:t>$</w:t>
            </w:r>
          </w:p>
        </w:tc>
        <w:tc>
          <w:tcPr>
            <w:tcW w:w="640" w:type="dxa"/>
            <w:vAlign w:val="bottom"/>
          </w:tcPr>
          <w:p>
            <w:pPr>
              <w:jc w:val="right"/>
              <w:spacing w:after="0" w:line="68" w:lineRule="exact"/>
              <w:rPr>
                <w:sz w:val="20"/>
                <w:szCs w:val="20"/>
                <w:color w:val="auto"/>
              </w:rPr>
            </w:pPr>
            <w:r>
              <w:rPr>
                <w:rFonts w:ascii="Arial" w:cs="Arial" w:eastAsia="Arial" w:hAnsi="Arial"/>
                <w:sz w:val="7"/>
                <w:szCs w:val="7"/>
                <w:color w:val="auto"/>
              </w:rPr>
              <w:t>384</w:t>
            </w:r>
          </w:p>
        </w:tc>
        <w:tc>
          <w:tcPr>
            <w:tcW w:w="60" w:type="dxa"/>
            <w:vAlign w:val="bottom"/>
          </w:tcPr>
          <w:p>
            <w:pPr>
              <w:spacing w:after="0"/>
              <w:rPr>
                <w:sz w:val="5"/>
                <w:szCs w:val="5"/>
                <w:color w:val="auto"/>
              </w:rPr>
            </w:pPr>
          </w:p>
        </w:tc>
        <w:tc>
          <w:tcPr>
            <w:tcW w:w="40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98"/>
              </w:rPr>
              <w:t>9%</w:t>
            </w:r>
          </w:p>
        </w:tc>
        <w:tc>
          <w:tcPr>
            <w:tcW w:w="340" w:type="dxa"/>
            <w:vAlign w:val="bottom"/>
          </w:tcPr>
          <w:p>
            <w:pPr>
              <w:spacing w:after="0"/>
              <w:rPr>
                <w:sz w:val="5"/>
                <w:szCs w:val="5"/>
                <w:color w:val="auto"/>
              </w:rPr>
            </w:pPr>
          </w:p>
        </w:tc>
        <w:tc>
          <w:tcPr>
            <w:tcW w:w="10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68" w:lineRule="exact"/>
              <w:rPr>
                <w:sz w:val="20"/>
                <w:szCs w:val="20"/>
                <w:color w:val="auto"/>
              </w:rPr>
            </w:pPr>
            <w:r>
              <w:rPr>
                <w:rFonts w:ascii="Arial" w:cs="Arial" w:eastAsia="Arial" w:hAnsi="Arial"/>
                <w:sz w:val="7"/>
                <w:szCs w:val="7"/>
                <w:color w:val="auto"/>
              </w:rPr>
              <w:t>1,370</w:t>
            </w:r>
          </w:p>
        </w:tc>
        <w:tc>
          <w:tcPr>
            <w:tcW w:w="60" w:type="dxa"/>
            <w:vAlign w:val="bottom"/>
          </w:tcPr>
          <w:p>
            <w:pPr>
              <w:spacing w:after="0"/>
              <w:rPr>
                <w:sz w:val="5"/>
                <w:szCs w:val="5"/>
                <w:color w:val="auto"/>
              </w:rPr>
            </w:pPr>
          </w:p>
        </w:tc>
        <w:tc>
          <w:tcPr>
            <w:tcW w:w="42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78"/>
              </w:rPr>
              <w:t>9%</w:t>
            </w:r>
          </w:p>
        </w:tc>
        <w:tc>
          <w:tcPr>
            <w:tcW w:w="10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line="68" w:lineRule="exact"/>
              <w:rPr>
                <w:sz w:val="20"/>
                <w:szCs w:val="20"/>
                <w:color w:val="auto"/>
              </w:rPr>
            </w:pPr>
            <w:r>
              <w:rPr>
                <w:rFonts w:ascii="Arial" w:cs="Arial" w:eastAsia="Arial" w:hAnsi="Arial"/>
                <w:sz w:val="7"/>
                <w:szCs w:val="7"/>
                <w:color w:val="auto"/>
              </w:rPr>
              <w:t>1,343</w:t>
            </w:r>
          </w:p>
        </w:tc>
        <w:tc>
          <w:tcPr>
            <w:tcW w:w="60" w:type="dxa"/>
            <w:vAlign w:val="bottom"/>
          </w:tcPr>
          <w:p>
            <w:pPr>
              <w:spacing w:after="0"/>
              <w:rPr>
                <w:sz w:val="5"/>
                <w:szCs w:val="5"/>
                <w:color w:val="auto"/>
              </w:rPr>
            </w:pPr>
          </w:p>
        </w:tc>
        <w:tc>
          <w:tcPr>
            <w:tcW w:w="42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85"/>
              </w:rPr>
              <w:t>11%</w:t>
            </w:r>
          </w:p>
        </w:tc>
        <w:tc>
          <w:tcPr>
            <w:tcW w:w="700" w:type="dxa"/>
            <w:vAlign w:val="bottom"/>
            <w:gridSpan w:val="2"/>
          </w:tcPr>
          <w:p>
            <w:pPr>
              <w:jc w:val="right"/>
              <w:ind w:right="31"/>
              <w:spacing w:after="0" w:line="68" w:lineRule="exact"/>
              <w:rPr>
                <w:sz w:val="20"/>
                <w:szCs w:val="20"/>
                <w:color w:val="auto"/>
              </w:rPr>
            </w:pPr>
            <w:r>
              <w:rPr>
                <w:rFonts w:ascii="Arial" w:cs="Arial" w:eastAsia="Arial" w:hAnsi="Arial"/>
                <w:sz w:val="7"/>
                <w:szCs w:val="7"/>
                <w:color w:val="auto"/>
              </w:rPr>
              <w:t>21%</w:t>
            </w:r>
          </w:p>
        </w:tc>
        <w:tc>
          <w:tcPr>
            <w:tcW w:w="620" w:type="dxa"/>
            <w:vAlign w:val="bottom"/>
          </w:tcPr>
          <w:p>
            <w:pPr>
              <w:jc w:val="right"/>
              <w:ind w:right="49"/>
              <w:spacing w:after="0" w:line="68" w:lineRule="exact"/>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68"/>
        </w:trPr>
        <w:tc>
          <w:tcPr>
            <w:tcW w:w="1540" w:type="dxa"/>
            <w:vAlign w:val="bottom"/>
            <w:shd w:val="clear" w:color="auto" w:fill="CCEEFF"/>
          </w:tcPr>
          <w:p>
            <w:pPr>
              <w:spacing w:after="0"/>
              <w:rPr>
                <w:sz w:val="5"/>
                <w:szCs w:val="5"/>
                <w:color w:val="auto"/>
              </w:rPr>
            </w:pPr>
          </w:p>
        </w:tc>
        <w:tc>
          <w:tcPr>
            <w:tcW w:w="2580" w:type="dxa"/>
            <w:vAlign w:val="bottom"/>
            <w:shd w:val="clear" w:color="auto" w:fill="CCEEFF"/>
          </w:tcPr>
          <w:p>
            <w:pPr>
              <w:ind w:left="80"/>
              <w:spacing w:after="0" w:line="68" w:lineRule="exact"/>
              <w:rPr>
                <w:sz w:val="20"/>
                <w:szCs w:val="20"/>
                <w:color w:val="auto"/>
              </w:rPr>
            </w:pPr>
            <w:r>
              <w:rPr>
                <w:rFonts w:ascii="Arial" w:cs="Arial" w:eastAsia="Arial" w:hAnsi="Arial"/>
                <w:sz w:val="7"/>
                <w:szCs w:val="7"/>
                <w:color w:val="auto"/>
              </w:rPr>
              <w:t>Property rental income</w:t>
            </w:r>
          </w:p>
        </w:tc>
        <w:tc>
          <w:tcPr>
            <w:tcW w:w="10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1,149</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i w:val="1"/>
                <w:iCs w:val="1"/>
                <w:color w:val="auto"/>
                <w:w w:val="99"/>
              </w:rPr>
              <w:t>23%</w:t>
            </w:r>
          </w:p>
        </w:tc>
        <w:tc>
          <w:tcPr>
            <w:tcW w:w="8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143</w:t>
            </w:r>
          </w:p>
        </w:tc>
        <w:tc>
          <w:tcPr>
            <w:tcW w:w="60" w:type="dxa"/>
            <w:vAlign w:val="bottom"/>
            <w:shd w:val="clear" w:color="auto" w:fill="CCEEFF"/>
          </w:tcPr>
          <w:p>
            <w:pPr>
              <w:spacing w:after="0"/>
              <w:rPr>
                <w:sz w:val="5"/>
                <w:szCs w:val="5"/>
                <w:color w:val="auto"/>
              </w:rPr>
            </w:pPr>
          </w:p>
        </w:tc>
        <w:tc>
          <w:tcPr>
            <w:tcW w:w="40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98"/>
              </w:rPr>
              <w:t>4%</w:t>
            </w:r>
          </w:p>
        </w:tc>
        <w:tc>
          <w:tcPr>
            <w:tcW w:w="34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3,632</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85"/>
              </w:rPr>
              <w:t>24%</w:t>
            </w:r>
          </w:p>
        </w:tc>
        <w:tc>
          <w:tcPr>
            <w:tcW w:w="100" w:type="dxa"/>
            <w:vAlign w:val="bottom"/>
            <w:tcBorders>
              <w:bottom w:val="single" w:sz="8" w:color="auto"/>
            </w:tcBorders>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445</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i w:val="1"/>
                <w:iCs w:val="1"/>
                <w:color w:val="auto"/>
                <w:w w:val="98"/>
              </w:rPr>
              <w:t>4%</w:t>
            </w:r>
          </w:p>
        </w:tc>
        <w:tc>
          <w:tcPr>
            <w:tcW w:w="700" w:type="dxa"/>
            <w:vAlign w:val="bottom"/>
            <w:gridSpan w:val="2"/>
            <w:shd w:val="clear" w:color="auto" w:fill="CCEEFF"/>
          </w:tcPr>
          <w:p>
            <w:pPr>
              <w:jc w:val="right"/>
              <w:ind w:right="31"/>
              <w:spacing w:after="0" w:line="68" w:lineRule="exact"/>
              <w:rPr>
                <w:sz w:val="20"/>
                <w:szCs w:val="20"/>
                <w:color w:val="auto"/>
              </w:rPr>
            </w:pPr>
            <w:r>
              <w:rPr>
                <w:rFonts w:ascii="Arial" w:cs="Arial" w:eastAsia="Arial" w:hAnsi="Arial"/>
                <w:sz w:val="7"/>
                <w:szCs w:val="7"/>
                <w:color w:val="auto"/>
              </w:rPr>
              <w:t>&gt;100%</w:t>
            </w:r>
          </w:p>
        </w:tc>
        <w:tc>
          <w:tcPr>
            <w:tcW w:w="620" w:type="dxa"/>
            <w:vAlign w:val="bottom"/>
            <w:shd w:val="clear" w:color="auto" w:fill="CCEEFF"/>
          </w:tcPr>
          <w:p>
            <w:pPr>
              <w:jc w:val="right"/>
              <w:ind w:right="49"/>
              <w:spacing w:after="0" w:line="68" w:lineRule="exact"/>
              <w:rPr>
                <w:sz w:val="20"/>
                <w:szCs w:val="20"/>
                <w:color w:val="auto"/>
              </w:rPr>
            </w:pPr>
            <w:r>
              <w:rPr>
                <w:rFonts w:ascii="Arial" w:cs="Arial" w:eastAsia="Arial" w:hAnsi="Arial"/>
                <w:sz w:val="7"/>
                <w:szCs w:val="7"/>
                <w:color w:val="auto"/>
              </w:rPr>
              <w:t>&gt;100%</w:t>
            </w:r>
          </w:p>
        </w:tc>
        <w:tc>
          <w:tcPr>
            <w:tcW w:w="0" w:type="dxa"/>
            <w:vAlign w:val="bottom"/>
          </w:tcPr>
          <w:p>
            <w:pPr>
              <w:spacing w:after="0"/>
              <w:rPr>
                <w:sz w:val="1"/>
                <w:szCs w:val="1"/>
                <w:color w:val="auto"/>
              </w:rPr>
            </w:pPr>
          </w:p>
        </w:tc>
      </w:tr>
      <w:tr>
        <w:trPr>
          <w:trHeight w:val="55"/>
        </w:trPr>
        <w:tc>
          <w:tcPr>
            <w:tcW w:w="15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jc w:val="right"/>
              <w:spacing w:after="0" w:line="55" w:lineRule="exact"/>
              <w:rPr>
                <w:sz w:val="20"/>
                <w:szCs w:val="20"/>
                <w:color w:val="auto"/>
              </w:rPr>
            </w:pPr>
            <w:r>
              <w:rPr>
                <w:rFonts w:ascii="Arial" w:cs="Arial" w:eastAsia="Arial" w:hAnsi="Arial"/>
                <w:sz w:val="6"/>
                <w:szCs w:val="6"/>
                <w:b w:val="1"/>
                <w:bCs w:val="1"/>
                <w:color w:val="auto"/>
              </w:rPr>
              <w:t>1,614</w:t>
            </w:r>
          </w:p>
        </w:tc>
        <w:tc>
          <w:tcPr>
            <w:tcW w:w="60" w:type="dxa"/>
            <w:vAlign w:val="bottom"/>
          </w:tcPr>
          <w:p>
            <w:pPr>
              <w:spacing w:after="0"/>
              <w:rPr>
                <w:sz w:val="4"/>
                <w:szCs w:val="4"/>
                <w:color w:val="auto"/>
              </w:rPr>
            </w:pPr>
          </w:p>
        </w:tc>
        <w:tc>
          <w:tcPr>
            <w:tcW w:w="420" w:type="dxa"/>
            <w:vAlign w:val="bottom"/>
          </w:tcPr>
          <w:p>
            <w:pPr>
              <w:jc w:val="center"/>
              <w:ind w:right="49"/>
              <w:spacing w:after="0" w:line="55" w:lineRule="exact"/>
              <w:rPr>
                <w:sz w:val="20"/>
                <w:szCs w:val="20"/>
                <w:color w:val="auto"/>
              </w:rPr>
            </w:pPr>
            <w:r>
              <w:rPr>
                <w:rFonts w:ascii="Arial" w:cs="Arial" w:eastAsia="Arial" w:hAnsi="Arial"/>
                <w:sz w:val="6"/>
                <w:szCs w:val="6"/>
                <w:b w:val="1"/>
                <w:bCs w:val="1"/>
                <w:i w:val="1"/>
                <w:iCs w:val="1"/>
                <w:color w:val="auto"/>
              </w:rPr>
              <w:t>32%</w:t>
            </w:r>
          </w:p>
        </w:tc>
        <w:tc>
          <w:tcPr>
            <w:tcW w:w="80" w:type="dxa"/>
            <w:vAlign w:val="bottom"/>
          </w:tcPr>
          <w:p>
            <w:pPr>
              <w:spacing w:after="0"/>
              <w:rPr>
                <w:sz w:val="4"/>
                <w:szCs w:val="4"/>
                <w:color w:val="auto"/>
              </w:rPr>
            </w:pPr>
          </w:p>
        </w:tc>
        <w:tc>
          <w:tcPr>
            <w:tcW w:w="640" w:type="dxa"/>
            <w:vAlign w:val="bottom"/>
          </w:tcPr>
          <w:p>
            <w:pPr>
              <w:jc w:val="right"/>
              <w:spacing w:after="0" w:line="55" w:lineRule="exact"/>
              <w:rPr>
                <w:sz w:val="20"/>
                <w:szCs w:val="20"/>
                <w:color w:val="auto"/>
              </w:rPr>
            </w:pPr>
            <w:r>
              <w:rPr>
                <w:rFonts w:ascii="Arial" w:cs="Arial" w:eastAsia="Arial" w:hAnsi="Arial"/>
                <w:sz w:val="6"/>
                <w:szCs w:val="6"/>
                <w:b w:val="1"/>
                <w:bCs w:val="1"/>
                <w:color w:val="auto"/>
              </w:rPr>
              <w:t>527</w:t>
            </w:r>
          </w:p>
        </w:tc>
        <w:tc>
          <w:tcPr>
            <w:tcW w:w="60" w:type="dxa"/>
            <w:vAlign w:val="bottom"/>
          </w:tcPr>
          <w:p>
            <w:pPr>
              <w:spacing w:after="0"/>
              <w:rPr>
                <w:sz w:val="4"/>
                <w:szCs w:val="4"/>
                <w:color w:val="auto"/>
              </w:rPr>
            </w:pPr>
          </w:p>
        </w:tc>
        <w:tc>
          <w:tcPr>
            <w:tcW w:w="400" w:type="dxa"/>
            <w:vAlign w:val="bottom"/>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rPr>
              <w:t>13%</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jc w:val="right"/>
              <w:spacing w:after="0" w:line="55" w:lineRule="exact"/>
              <w:rPr>
                <w:sz w:val="20"/>
                <w:szCs w:val="20"/>
                <w:color w:val="auto"/>
              </w:rPr>
            </w:pPr>
            <w:r>
              <w:rPr>
                <w:rFonts w:ascii="Arial" w:cs="Arial" w:eastAsia="Arial" w:hAnsi="Arial"/>
                <w:sz w:val="6"/>
                <w:szCs w:val="6"/>
                <w:b w:val="1"/>
                <w:bCs w:val="1"/>
                <w:color w:val="auto"/>
              </w:rPr>
              <w:t>5,002</w:t>
            </w:r>
          </w:p>
        </w:tc>
        <w:tc>
          <w:tcPr>
            <w:tcW w:w="60" w:type="dxa"/>
            <w:vAlign w:val="bottom"/>
          </w:tcPr>
          <w:p>
            <w:pPr>
              <w:spacing w:after="0"/>
              <w:rPr>
                <w:sz w:val="4"/>
                <w:szCs w:val="4"/>
                <w:color w:val="auto"/>
              </w:rPr>
            </w:pPr>
          </w:p>
        </w:tc>
        <w:tc>
          <w:tcPr>
            <w:tcW w:w="420" w:type="dxa"/>
            <w:vAlign w:val="bottom"/>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w w:val="99"/>
              </w:rPr>
              <w:t>33%</w:t>
            </w:r>
          </w:p>
        </w:tc>
        <w:tc>
          <w:tcPr>
            <w:tcW w:w="100" w:type="dxa"/>
            <w:vAlign w:val="bottom"/>
          </w:tcPr>
          <w:p>
            <w:pPr>
              <w:spacing w:after="0"/>
              <w:rPr>
                <w:sz w:val="4"/>
                <w:szCs w:val="4"/>
                <w:color w:val="auto"/>
              </w:rPr>
            </w:pPr>
          </w:p>
        </w:tc>
        <w:tc>
          <w:tcPr>
            <w:tcW w:w="620" w:type="dxa"/>
            <w:vAlign w:val="bottom"/>
          </w:tcPr>
          <w:p>
            <w:pPr>
              <w:jc w:val="right"/>
              <w:spacing w:after="0" w:line="55" w:lineRule="exact"/>
              <w:rPr>
                <w:sz w:val="20"/>
                <w:szCs w:val="20"/>
                <w:color w:val="auto"/>
              </w:rPr>
            </w:pPr>
            <w:r>
              <w:rPr>
                <w:rFonts w:ascii="Arial" w:cs="Arial" w:eastAsia="Arial" w:hAnsi="Arial"/>
                <w:sz w:val="6"/>
                <w:szCs w:val="6"/>
                <w:b w:val="1"/>
                <w:bCs w:val="1"/>
                <w:color w:val="auto"/>
              </w:rPr>
              <w:t>1,788</w:t>
            </w:r>
          </w:p>
        </w:tc>
        <w:tc>
          <w:tcPr>
            <w:tcW w:w="60" w:type="dxa"/>
            <w:vAlign w:val="bottom"/>
          </w:tcPr>
          <w:p>
            <w:pPr>
              <w:spacing w:after="0"/>
              <w:rPr>
                <w:sz w:val="4"/>
                <w:szCs w:val="4"/>
                <w:color w:val="auto"/>
              </w:rPr>
            </w:pPr>
          </w:p>
        </w:tc>
        <w:tc>
          <w:tcPr>
            <w:tcW w:w="420" w:type="dxa"/>
            <w:vAlign w:val="bottom"/>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w w:val="99"/>
              </w:rPr>
              <w:t>15%</w:t>
            </w:r>
          </w:p>
        </w:tc>
        <w:tc>
          <w:tcPr>
            <w:tcW w:w="700" w:type="dxa"/>
            <w:vAlign w:val="bottom"/>
            <w:gridSpan w:val="2"/>
          </w:tcPr>
          <w:p>
            <w:pPr>
              <w:jc w:val="right"/>
              <w:ind w:right="31"/>
              <w:spacing w:after="0" w:line="55" w:lineRule="exact"/>
              <w:rPr>
                <w:sz w:val="20"/>
                <w:szCs w:val="20"/>
                <w:color w:val="auto"/>
              </w:rPr>
            </w:pPr>
            <w:r>
              <w:rPr>
                <w:rFonts w:ascii="Arial" w:cs="Arial" w:eastAsia="Arial" w:hAnsi="Arial"/>
                <w:sz w:val="6"/>
                <w:szCs w:val="6"/>
                <w:b w:val="1"/>
                <w:bCs w:val="1"/>
                <w:color w:val="auto"/>
              </w:rPr>
              <w:t>&gt;100%</w:t>
            </w:r>
          </w:p>
        </w:tc>
        <w:tc>
          <w:tcPr>
            <w:tcW w:w="620" w:type="dxa"/>
            <w:vAlign w:val="bottom"/>
          </w:tcPr>
          <w:p>
            <w:pPr>
              <w:jc w:val="right"/>
              <w:ind w:right="49"/>
              <w:spacing w:after="0" w:line="55" w:lineRule="exact"/>
              <w:rPr>
                <w:sz w:val="20"/>
                <w:szCs w:val="20"/>
                <w:color w:val="auto"/>
              </w:rPr>
            </w:pPr>
            <w:r>
              <w:rPr>
                <w:rFonts w:ascii="Arial" w:cs="Arial" w:eastAsia="Arial" w:hAnsi="Arial"/>
                <w:sz w:val="6"/>
                <w:szCs w:val="6"/>
                <w:b w:val="1"/>
                <w:bCs w:val="1"/>
                <w:color w:val="auto"/>
              </w:rPr>
              <w:t>&gt;100%</w:t>
            </w:r>
          </w:p>
        </w:tc>
        <w:tc>
          <w:tcPr>
            <w:tcW w:w="0" w:type="dxa"/>
            <w:vAlign w:val="bottom"/>
          </w:tcPr>
          <w:p>
            <w:pPr>
              <w:spacing w:after="0"/>
              <w:rPr>
                <w:sz w:val="1"/>
                <w:szCs w:val="1"/>
                <w:color w:val="auto"/>
              </w:rPr>
            </w:pPr>
          </w:p>
        </w:tc>
      </w:tr>
      <w:tr>
        <w:trPr>
          <w:trHeight w:val="68"/>
        </w:trPr>
        <w:tc>
          <w:tcPr>
            <w:tcW w:w="1540" w:type="dxa"/>
            <w:vAlign w:val="bottom"/>
            <w:shd w:val="clear" w:color="auto" w:fill="CCEEFF"/>
          </w:tcPr>
          <w:p>
            <w:pPr>
              <w:ind w:left="200"/>
              <w:spacing w:after="0" w:line="68" w:lineRule="exact"/>
              <w:rPr>
                <w:sz w:val="20"/>
                <w:szCs w:val="20"/>
                <w:color w:val="auto"/>
              </w:rPr>
            </w:pPr>
            <w:r>
              <w:rPr>
                <w:rFonts w:ascii="Arial" w:cs="Arial" w:eastAsia="Arial" w:hAnsi="Arial"/>
                <w:sz w:val="7"/>
                <w:szCs w:val="7"/>
                <w:b w:val="1"/>
                <w:bCs w:val="1"/>
                <w:color w:val="auto"/>
              </w:rPr>
              <w:t>Australia</w:t>
            </w:r>
          </w:p>
        </w:tc>
        <w:tc>
          <w:tcPr>
            <w:tcW w:w="2580" w:type="dxa"/>
            <w:vAlign w:val="bottom"/>
            <w:shd w:val="clear" w:color="auto" w:fill="CCEEFF"/>
          </w:tcPr>
          <w:p>
            <w:pPr>
              <w:ind w:left="80"/>
              <w:spacing w:after="0" w:line="68" w:lineRule="exact"/>
              <w:rPr>
                <w:sz w:val="20"/>
                <w:szCs w:val="20"/>
                <w:color w:val="auto"/>
              </w:rPr>
            </w:pPr>
            <w:r>
              <w:rPr>
                <w:rFonts w:ascii="Arial" w:cs="Arial" w:eastAsia="Arial" w:hAnsi="Arial"/>
                <w:sz w:val="7"/>
                <w:szCs w:val="7"/>
                <w:color w:val="auto"/>
              </w:rPr>
              <w:t>Property rental income</w:t>
            </w: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jc w:val="right"/>
              <w:spacing w:after="0" w:line="68" w:lineRule="exact"/>
              <w:rPr>
                <w:sz w:val="20"/>
                <w:szCs w:val="20"/>
                <w:color w:val="auto"/>
              </w:rPr>
            </w:pPr>
            <w:r>
              <w:rPr>
                <w:rFonts w:ascii="Arial" w:cs="Arial" w:eastAsia="Arial" w:hAnsi="Arial"/>
                <w:sz w:val="7"/>
                <w:szCs w:val="7"/>
                <w:b w:val="1"/>
                <w:bCs w:val="1"/>
                <w:color w:val="auto"/>
              </w:rPr>
              <w:t>3,063</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b w:val="1"/>
                <w:bCs w:val="1"/>
                <w:i w:val="1"/>
                <w:iCs w:val="1"/>
                <w:color w:val="auto"/>
                <w:w w:val="99"/>
              </w:rPr>
              <w:t>61%</w:t>
            </w: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jc w:val="right"/>
              <w:spacing w:after="0" w:line="68" w:lineRule="exact"/>
              <w:rPr>
                <w:sz w:val="20"/>
                <w:szCs w:val="20"/>
                <w:color w:val="auto"/>
              </w:rPr>
            </w:pPr>
            <w:r>
              <w:rPr>
                <w:rFonts w:ascii="Arial" w:cs="Arial" w:eastAsia="Arial" w:hAnsi="Arial"/>
                <w:sz w:val="7"/>
                <w:szCs w:val="7"/>
                <w:b w:val="1"/>
                <w:bCs w:val="1"/>
                <w:color w:val="auto"/>
              </w:rPr>
              <w:t>3,154</w:t>
            </w:r>
          </w:p>
        </w:tc>
        <w:tc>
          <w:tcPr>
            <w:tcW w:w="60" w:type="dxa"/>
            <w:vAlign w:val="bottom"/>
            <w:shd w:val="clear" w:color="auto" w:fill="CCEEFF"/>
          </w:tcPr>
          <w:p>
            <w:pPr>
              <w:spacing w:after="0"/>
              <w:rPr>
                <w:sz w:val="5"/>
                <w:szCs w:val="5"/>
                <w:color w:val="auto"/>
              </w:rPr>
            </w:pPr>
          </w:p>
        </w:tc>
        <w:tc>
          <w:tcPr>
            <w:tcW w:w="40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b w:val="1"/>
                <w:bCs w:val="1"/>
                <w:i w:val="1"/>
                <w:iCs w:val="1"/>
                <w:color w:val="auto"/>
                <w:w w:val="99"/>
              </w:rPr>
              <w:t>77%</w:t>
            </w: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jc w:val="right"/>
              <w:spacing w:after="0" w:line="68" w:lineRule="exact"/>
              <w:rPr>
                <w:sz w:val="20"/>
                <w:szCs w:val="20"/>
                <w:color w:val="auto"/>
              </w:rPr>
            </w:pPr>
            <w:r>
              <w:rPr>
                <w:rFonts w:ascii="Arial" w:cs="Arial" w:eastAsia="Arial" w:hAnsi="Arial"/>
                <w:sz w:val="7"/>
                <w:szCs w:val="7"/>
                <w:b w:val="1"/>
                <w:bCs w:val="1"/>
                <w:color w:val="auto"/>
              </w:rPr>
              <w:t>9,191</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b w:val="1"/>
                <w:bCs w:val="1"/>
                <w:i w:val="1"/>
                <w:iCs w:val="1"/>
                <w:color w:val="auto"/>
                <w:w w:val="85"/>
              </w:rPr>
              <w:t>60%</w:t>
            </w: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jc w:val="right"/>
              <w:spacing w:after="0" w:line="68" w:lineRule="exact"/>
              <w:rPr>
                <w:sz w:val="20"/>
                <w:szCs w:val="20"/>
                <w:color w:val="auto"/>
              </w:rPr>
            </w:pPr>
            <w:r>
              <w:rPr>
                <w:rFonts w:ascii="Arial" w:cs="Arial" w:eastAsia="Arial" w:hAnsi="Arial"/>
                <w:sz w:val="7"/>
                <w:szCs w:val="7"/>
                <w:b w:val="1"/>
                <w:bCs w:val="1"/>
                <w:color w:val="auto"/>
              </w:rPr>
              <w:t>9,336</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b w:val="1"/>
                <w:bCs w:val="1"/>
                <w:i w:val="1"/>
                <w:iCs w:val="1"/>
                <w:color w:val="auto"/>
                <w:w w:val="85"/>
              </w:rPr>
              <w:t>76%</w:t>
            </w:r>
          </w:p>
        </w:tc>
        <w:tc>
          <w:tcPr>
            <w:tcW w:w="700" w:type="dxa"/>
            <w:vAlign w:val="bottom"/>
            <w:gridSpan w:val="2"/>
            <w:shd w:val="clear" w:color="auto" w:fill="CCEEFF"/>
          </w:tcPr>
          <w:p>
            <w:pPr>
              <w:jc w:val="right"/>
              <w:ind w:right="31"/>
              <w:spacing w:after="0" w:line="68" w:lineRule="exact"/>
              <w:rPr>
                <w:sz w:val="20"/>
                <w:szCs w:val="20"/>
                <w:color w:val="auto"/>
              </w:rPr>
            </w:pPr>
            <w:r>
              <w:rPr>
                <w:rFonts w:ascii="Arial" w:cs="Arial" w:eastAsia="Arial" w:hAnsi="Arial"/>
                <w:sz w:val="7"/>
                <w:szCs w:val="7"/>
                <w:color w:val="auto"/>
              </w:rPr>
              <w:t>(3)%</w:t>
            </w:r>
          </w:p>
        </w:tc>
        <w:tc>
          <w:tcPr>
            <w:tcW w:w="620" w:type="dxa"/>
            <w:vAlign w:val="bottom"/>
            <w:shd w:val="clear" w:color="auto" w:fill="CCEEFF"/>
          </w:tcPr>
          <w:p>
            <w:pPr>
              <w:jc w:val="right"/>
              <w:ind w:right="49"/>
              <w:spacing w:after="0" w:line="68" w:lineRule="exact"/>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68"/>
        </w:trPr>
        <w:tc>
          <w:tcPr>
            <w:tcW w:w="1540" w:type="dxa"/>
            <w:vAlign w:val="bottom"/>
          </w:tcPr>
          <w:p>
            <w:pPr>
              <w:ind w:left="200"/>
              <w:spacing w:after="0" w:line="68" w:lineRule="exact"/>
              <w:rPr>
                <w:sz w:val="20"/>
                <w:szCs w:val="20"/>
                <w:color w:val="auto"/>
              </w:rPr>
            </w:pPr>
            <w:r>
              <w:rPr>
                <w:rFonts w:ascii="Arial" w:cs="Arial" w:eastAsia="Arial" w:hAnsi="Arial"/>
                <w:sz w:val="7"/>
                <w:szCs w:val="7"/>
                <w:b w:val="1"/>
                <w:bCs w:val="1"/>
                <w:color w:val="auto"/>
              </w:rPr>
              <w:t>New Zealand</w:t>
            </w:r>
          </w:p>
        </w:tc>
        <w:tc>
          <w:tcPr>
            <w:tcW w:w="2580" w:type="dxa"/>
            <w:vAlign w:val="bottom"/>
          </w:tcPr>
          <w:p>
            <w:pPr>
              <w:ind w:left="80"/>
              <w:spacing w:after="0" w:line="68" w:lineRule="exact"/>
              <w:rPr>
                <w:sz w:val="20"/>
                <w:szCs w:val="20"/>
                <w:color w:val="auto"/>
              </w:rPr>
            </w:pPr>
            <w:r>
              <w:rPr>
                <w:rFonts w:ascii="Arial" w:cs="Arial" w:eastAsia="Arial" w:hAnsi="Arial"/>
                <w:sz w:val="7"/>
                <w:szCs w:val="7"/>
                <w:color w:val="auto"/>
              </w:rPr>
              <w:t>Property rental income</w:t>
            </w:r>
          </w:p>
        </w:tc>
        <w:tc>
          <w:tcPr>
            <w:tcW w:w="100" w:type="dxa"/>
            <w:vAlign w:val="bottom"/>
          </w:tcPr>
          <w:p>
            <w:pPr>
              <w:spacing w:after="0"/>
              <w:rPr>
                <w:sz w:val="5"/>
                <w:szCs w:val="5"/>
                <w:color w:val="auto"/>
              </w:rPr>
            </w:pPr>
          </w:p>
        </w:tc>
        <w:tc>
          <w:tcPr>
            <w:tcW w:w="64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380</w:t>
            </w:r>
          </w:p>
        </w:tc>
        <w:tc>
          <w:tcPr>
            <w:tcW w:w="60" w:type="dxa"/>
            <w:vAlign w:val="bottom"/>
          </w:tcPr>
          <w:p>
            <w:pPr>
              <w:spacing w:after="0"/>
              <w:rPr>
                <w:sz w:val="5"/>
                <w:szCs w:val="5"/>
                <w:color w:val="auto"/>
              </w:rPr>
            </w:pP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b w:val="1"/>
                <w:bCs w:val="1"/>
                <w:i w:val="1"/>
                <w:iCs w:val="1"/>
                <w:color w:val="auto"/>
                <w:w w:val="98"/>
              </w:rPr>
              <w:t>8%</w:t>
            </w:r>
          </w:p>
        </w:tc>
        <w:tc>
          <w:tcPr>
            <w:tcW w:w="80" w:type="dxa"/>
            <w:vAlign w:val="bottom"/>
          </w:tcPr>
          <w:p>
            <w:pPr>
              <w:spacing w:after="0"/>
              <w:rPr>
                <w:sz w:val="5"/>
                <w:szCs w:val="5"/>
                <w:color w:val="auto"/>
              </w:rPr>
            </w:pPr>
          </w:p>
        </w:tc>
        <w:tc>
          <w:tcPr>
            <w:tcW w:w="64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390</w:t>
            </w:r>
          </w:p>
        </w:tc>
        <w:tc>
          <w:tcPr>
            <w:tcW w:w="60" w:type="dxa"/>
            <w:vAlign w:val="bottom"/>
          </w:tcPr>
          <w:p>
            <w:pPr>
              <w:spacing w:after="0"/>
              <w:rPr>
                <w:sz w:val="5"/>
                <w:szCs w:val="5"/>
                <w:color w:val="auto"/>
              </w:rPr>
            </w:pPr>
          </w:p>
        </w:tc>
        <w:tc>
          <w:tcPr>
            <w:tcW w:w="400" w:type="dxa"/>
            <w:vAlign w:val="bottom"/>
          </w:tcPr>
          <w:p>
            <w:pPr>
              <w:jc w:val="center"/>
              <w:ind w:right="29"/>
              <w:spacing w:after="0" w:line="68" w:lineRule="exact"/>
              <w:rPr>
                <w:sz w:val="20"/>
                <w:szCs w:val="20"/>
                <w:color w:val="auto"/>
              </w:rPr>
            </w:pPr>
            <w:r>
              <w:rPr>
                <w:rFonts w:ascii="Arial" w:cs="Arial" w:eastAsia="Arial" w:hAnsi="Arial"/>
                <w:sz w:val="7"/>
                <w:szCs w:val="7"/>
                <w:b w:val="1"/>
                <w:bCs w:val="1"/>
                <w:i w:val="1"/>
                <w:iCs w:val="1"/>
                <w:color w:val="auto"/>
                <w:w w:val="99"/>
              </w:rPr>
              <w:t>10%</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1,145</w:t>
            </w:r>
          </w:p>
        </w:tc>
        <w:tc>
          <w:tcPr>
            <w:tcW w:w="60" w:type="dxa"/>
            <w:vAlign w:val="bottom"/>
          </w:tcPr>
          <w:p>
            <w:pPr>
              <w:spacing w:after="0"/>
              <w:rPr>
                <w:sz w:val="5"/>
                <w:szCs w:val="5"/>
                <w:color w:val="auto"/>
              </w:rPr>
            </w:pPr>
          </w:p>
        </w:tc>
        <w:tc>
          <w:tcPr>
            <w:tcW w:w="420" w:type="dxa"/>
            <w:vAlign w:val="bottom"/>
          </w:tcPr>
          <w:p>
            <w:pPr>
              <w:jc w:val="center"/>
              <w:ind w:right="29"/>
              <w:spacing w:after="0" w:line="68" w:lineRule="exact"/>
              <w:rPr>
                <w:sz w:val="20"/>
                <w:szCs w:val="20"/>
                <w:color w:val="auto"/>
              </w:rPr>
            </w:pPr>
            <w:r>
              <w:rPr>
                <w:rFonts w:ascii="Arial" w:cs="Arial" w:eastAsia="Arial" w:hAnsi="Arial"/>
                <w:sz w:val="7"/>
                <w:szCs w:val="7"/>
                <w:b w:val="1"/>
                <w:bCs w:val="1"/>
                <w:i w:val="1"/>
                <w:iCs w:val="1"/>
                <w:color w:val="auto"/>
                <w:w w:val="78"/>
              </w:rPr>
              <w:t>7%</w:t>
            </w:r>
          </w:p>
        </w:tc>
        <w:tc>
          <w:tcPr>
            <w:tcW w:w="100" w:type="dxa"/>
            <w:vAlign w:val="bottom"/>
          </w:tcPr>
          <w:p>
            <w:pPr>
              <w:spacing w:after="0"/>
              <w:rPr>
                <w:sz w:val="5"/>
                <w:szCs w:val="5"/>
                <w:color w:val="auto"/>
              </w:rPr>
            </w:pPr>
          </w:p>
        </w:tc>
        <w:tc>
          <w:tcPr>
            <w:tcW w:w="62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1,141</w:t>
            </w:r>
          </w:p>
        </w:tc>
        <w:tc>
          <w:tcPr>
            <w:tcW w:w="60" w:type="dxa"/>
            <w:vAlign w:val="bottom"/>
          </w:tcPr>
          <w:p>
            <w:pPr>
              <w:spacing w:after="0"/>
              <w:rPr>
                <w:sz w:val="5"/>
                <w:szCs w:val="5"/>
                <w:color w:val="auto"/>
              </w:rPr>
            </w:pP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b w:val="1"/>
                <w:bCs w:val="1"/>
                <w:i w:val="1"/>
                <w:iCs w:val="1"/>
                <w:color w:val="auto"/>
                <w:w w:val="98"/>
              </w:rPr>
              <w:t>9%</w:t>
            </w:r>
          </w:p>
        </w:tc>
        <w:tc>
          <w:tcPr>
            <w:tcW w:w="700" w:type="dxa"/>
            <w:vAlign w:val="bottom"/>
            <w:gridSpan w:val="2"/>
          </w:tcPr>
          <w:p>
            <w:pPr>
              <w:jc w:val="right"/>
              <w:ind w:right="31"/>
              <w:spacing w:after="0" w:line="68" w:lineRule="exact"/>
              <w:rPr>
                <w:sz w:val="20"/>
                <w:szCs w:val="20"/>
                <w:color w:val="auto"/>
              </w:rPr>
            </w:pPr>
            <w:r>
              <w:rPr>
                <w:rFonts w:ascii="Arial" w:cs="Arial" w:eastAsia="Arial" w:hAnsi="Arial"/>
                <w:sz w:val="7"/>
                <w:szCs w:val="7"/>
                <w:color w:val="auto"/>
              </w:rPr>
              <w:t>(3)%</w:t>
            </w:r>
          </w:p>
        </w:tc>
        <w:tc>
          <w:tcPr>
            <w:tcW w:w="620" w:type="dxa"/>
            <w:vAlign w:val="bottom"/>
          </w:tcPr>
          <w:p>
            <w:pPr>
              <w:jc w:val="right"/>
              <w:ind w:right="49"/>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540" w:type="dxa"/>
            <w:vAlign w:val="bottom"/>
            <w:shd w:val="clear" w:color="auto" w:fill="CCEEFF"/>
          </w:tcPr>
          <w:p>
            <w:pPr>
              <w:spacing w:after="0"/>
              <w:rPr>
                <w:sz w:val="5"/>
                <w:szCs w:val="5"/>
                <w:color w:val="auto"/>
              </w:rPr>
            </w:pPr>
          </w:p>
        </w:tc>
        <w:tc>
          <w:tcPr>
            <w:tcW w:w="2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540" w:type="dxa"/>
            <w:vAlign w:val="bottom"/>
            <w:tcBorders>
              <w:bottom w:val="single" w:sz="8" w:color="CCEEFF"/>
            </w:tcBorders>
          </w:tcPr>
          <w:p>
            <w:pPr>
              <w:ind w:left="200"/>
              <w:spacing w:after="0" w:line="48" w:lineRule="exact"/>
              <w:rPr>
                <w:sz w:val="20"/>
                <w:szCs w:val="20"/>
                <w:color w:val="auto"/>
              </w:rPr>
            </w:pPr>
            <w:r>
              <w:rPr>
                <w:rFonts w:ascii="Arial" w:cs="Arial" w:eastAsia="Arial" w:hAnsi="Arial"/>
                <w:sz w:val="5"/>
                <w:szCs w:val="5"/>
                <w:b w:val="1"/>
                <w:bCs w:val="1"/>
                <w:color w:val="auto"/>
              </w:rPr>
              <w:t>Total revenue</w:t>
            </w:r>
          </w:p>
        </w:tc>
        <w:tc>
          <w:tcPr>
            <w:tcW w:w="25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jc w:val="right"/>
              <w:ind w:right="38"/>
              <w:spacing w:after="0" w:line="48" w:lineRule="exact"/>
              <w:rPr>
                <w:sz w:val="20"/>
                <w:szCs w:val="20"/>
                <w:color w:val="auto"/>
              </w:rPr>
            </w:pPr>
            <w:r>
              <w:rPr>
                <w:rFonts w:ascii="Arial" w:cs="Arial" w:eastAsia="Arial" w:hAnsi="Arial"/>
                <w:sz w:val="5"/>
                <w:szCs w:val="5"/>
                <w:b w:val="1"/>
                <w:bCs w:val="1"/>
                <w:color w:val="auto"/>
                <w:w w:val="70"/>
              </w:rPr>
              <w:t>$</w:t>
            </w:r>
          </w:p>
        </w:tc>
        <w:tc>
          <w:tcPr>
            <w:tcW w:w="640" w:type="dxa"/>
            <w:vAlign w:val="bottom"/>
            <w:tcBorders>
              <w:bottom w:val="single" w:sz="8" w:color="auto"/>
            </w:tcBorders>
          </w:tcPr>
          <w:p>
            <w:pPr>
              <w:jc w:val="right"/>
              <w:spacing w:after="0" w:line="48" w:lineRule="exact"/>
              <w:rPr>
                <w:sz w:val="20"/>
                <w:szCs w:val="20"/>
                <w:color w:val="auto"/>
              </w:rPr>
            </w:pPr>
            <w:r>
              <w:rPr>
                <w:rFonts w:ascii="Arial" w:cs="Arial" w:eastAsia="Arial" w:hAnsi="Arial"/>
                <w:sz w:val="5"/>
                <w:szCs w:val="5"/>
                <w:b w:val="1"/>
                <w:bCs w:val="1"/>
                <w:color w:val="auto"/>
              </w:rPr>
              <w:t>5,057</w:t>
            </w:r>
          </w:p>
        </w:tc>
        <w:tc>
          <w:tcPr>
            <w:tcW w:w="6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jc w:val="center"/>
              <w:ind w:right="49"/>
              <w:spacing w:after="0" w:line="48" w:lineRule="exact"/>
              <w:rPr>
                <w:sz w:val="20"/>
                <w:szCs w:val="20"/>
                <w:color w:val="auto"/>
              </w:rPr>
            </w:pPr>
            <w:r>
              <w:rPr>
                <w:rFonts w:ascii="Arial" w:cs="Arial" w:eastAsia="Arial" w:hAnsi="Arial"/>
                <w:sz w:val="5"/>
                <w:szCs w:val="5"/>
                <w:b w:val="1"/>
                <w:bCs w:val="1"/>
                <w:i w:val="1"/>
                <w:iCs w:val="1"/>
                <w:color w:val="auto"/>
              </w:rPr>
              <w:t>100%</w:t>
            </w:r>
          </w:p>
        </w:tc>
        <w:tc>
          <w:tcPr>
            <w:tcW w:w="80" w:type="dxa"/>
            <w:vAlign w:val="bottom"/>
            <w:tcBorders>
              <w:bottom w:val="single" w:sz="8" w:color="auto"/>
            </w:tcBorders>
          </w:tcPr>
          <w:p>
            <w:pPr>
              <w:jc w:val="right"/>
              <w:ind w:right="54"/>
              <w:spacing w:after="0"/>
              <w:rPr>
                <w:sz w:val="20"/>
                <w:szCs w:val="20"/>
                <w:color w:val="auto"/>
              </w:rPr>
            </w:pPr>
            <w:r>
              <w:rPr>
                <w:rFonts w:ascii="Arial" w:cs="Arial" w:eastAsia="Arial" w:hAnsi="Arial"/>
                <w:sz w:val="1"/>
                <w:szCs w:val="1"/>
                <w:b w:val="1"/>
                <w:bCs w:val="1"/>
                <w:color w:val="auto"/>
                <w:w w:val="4294967288"/>
              </w:rPr>
              <w:t>$</w:t>
            </w:r>
          </w:p>
        </w:tc>
        <w:tc>
          <w:tcPr>
            <w:tcW w:w="640" w:type="dxa"/>
            <w:vAlign w:val="bottom"/>
            <w:tcBorders>
              <w:bottom w:val="single" w:sz="8" w:color="auto"/>
            </w:tcBorders>
          </w:tcPr>
          <w:p>
            <w:pPr>
              <w:jc w:val="right"/>
              <w:spacing w:after="0" w:line="48" w:lineRule="exact"/>
              <w:rPr>
                <w:sz w:val="20"/>
                <w:szCs w:val="20"/>
                <w:color w:val="auto"/>
              </w:rPr>
            </w:pPr>
            <w:r>
              <w:rPr>
                <w:rFonts w:ascii="Arial" w:cs="Arial" w:eastAsia="Arial" w:hAnsi="Arial"/>
                <w:sz w:val="5"/>
                <w:szCs w:val="5"/>
                <w:b w:val="1"/>
                <w:bCs w:val="1"/>
                <w:color w:val="auto"/>
              </w:rPr>
              <w:t>4,071</w:t>
            </w:r>
          </w:p>
        </w:tc>
        <w:tc>
          <w:tcPr>
            <w:tcW w:w="6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jc w:val="center"/>
              <w:ind w:right="29"/>
              <w:spacing w:after="0" w:line="48" w:lineRule="exact"/>
              <w:rPr>
                <w:sz w:val="20"/>
                <w:szCs w:val="20"/>
                <w:color w:val="auto"/>
              </w:rPr>
            </w:pPr>
            <w:r>
              <w:rPr>
                <w:rFonts w:ascii="Arial" w:cs="Arial" w:eastAsia="Arial" w:hAnsi="Arial"/>
                <w:sz w:val="5"/>
                <w:szCs w:val="5"/>
                <w:b w:val="1"/>
                <w:bCs w:val="1"/>
                <w:i w:val="1"/>
                <w:iCs w:val="1"/>
                <w:color w:val="auto"/>
              </w:rPr>
              <w:t>100%</w:t>
            </w:r>
          </w:p>
        </w:tc>
        <w:tc>
          <w:tcPr>
            <w:tcW w:w="3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jc w:val="right"/>
              <w:ind w:right="38"/>
              <w:spacing w:after="0" w:line="48" w:lineRule="exact"/>
              <w:rPr>
                <w:sz w:val="20"/>
                <w:szCs w:val="20"/>
                <w:color w:val="auto"/>
              </w:rPr>
            </w:pPr>
            <w:r>
              <w:rPr>
                <w:rFonts w:ascii="Arial" w:cs="Arial" w:eastAsia="Arial" w:hAnsi="Arial"/>
                <w:sz w:val="5"/>
                <w:szCs w:val="5"/>
                <w:b w:val="1"/>
                <w:bCs w:val="1"/>
                <w:color w:val="auto"/>
                <w:w w:val="70"/>
              </w:rPr>
              <w:t>$</w:t>
            </w:r>
          </w:p>
        </w:tc>
        <w:tc>
          <w:tcPr>
            <w:tcW w:w="660" w:type="dxa"/>
            <w:vAlign w:val="bottom"/>
            <w:tcBorders>
              <w:bottom w:val="single" w:sz="8" w:color="auto"/>
            </w:tcBorders>
          </w:tcPr>
          <w:p>
            <w:pPr>
              <w:jc w:val="right"/>
              <w:spacing w:after="0" w:line="48" w:lineRule="exact"/>
              <w:rPr>
                <w:sz w:val="20"/>
                <w:szCs w:val="20"/>
                <w:color w:val="auto"/>
              </w:rPr>
            </w:pPr>
            <w:r>
              <w:rPr>
                <w:rFonts w:ascii="Arial" w:cs="Arial" w:eastAsia="Arial" w:hAnsi="Arial"/>
                <w:sz w:val="5"/>
                <w:szCs w:val="5"/>
                <w:b w:val="1"/>
                <w:bCs w:val="1"/>
                <w:color w:val="auto"/>
              </w:rPr>
              <w:t>15,338</w:t>
            </w:r>
          </w:p>
        </w:tc>
        <w:tc>
          <w:tcPr>
            <w:tcW w:w="6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jc w:val="center"/>
              <w:ind w:right="29"/>
              <w:spacing w:after="0" w:line="48" w:lineRule="exact"/>
              <w:rPr>
                <w:sz w:val="20"/>
                <w:szCs w:val="20"/>
                <w:color w:val="auto"/>
              </w:rPr>
            </w:pPr>
            <w:r>
              <w:rPr>
                <w:rFonts w:ascii="Arial" w:cs="Arial" w:eastAsia="Arial" w:hAnsi="Arial"/>
                <w:sz w:val="5"/>
                <w:szCs w:val="5"/>
                <w:b w:val="1"/>
                <w:bCs w:val="1"/>
                <w:i w:val="1"/>
                <w:iCs w:val="1"/>
                <w:color w:val="auto"/>
              </w:rPr>
              <w:t>100%</w:t>
            </w:r>
          </w:p>
        </w:tc>
        <w:tc>
          <w:tcPr>
            <w:tcW w:w="100" w:type="dxa"/>
            <w:vAlign w:val="bottom"/>
            <w:tcBorders>
              <w:bottom w:val="single" w:sz="8" w:color="auto"/>
            </w:tcBorders>
          </w:tcPr>
          <w:p>
            <w:pPr>
              <w:jc w:val="right"/>
              <w:ind w:right="38"/>
              <w:spacing w:after="0" w:line="48" w:lineRule="exact"/>
              <w:rPr>
                <w:sz w:val="20"/>
                <w:szCs w:val="20"/>
                <w:color w:val="auto"/>
              </w:rPr>
            </w:pPr>
            <w:r>
              <w:rPr>
                <w:rFonts w:ascii="Arial" w:cs="Arial" w:eastAsia="Arial" w:hAnsi="Arial"/>
                <w:sz w:val="5"/>
                <w:szCs w:val="5"/>
                <w:b w:val="1"/>
                <w:bCs w:val="1"/>
                <w:color w:val="auto"/>
                <w:w w:val="70"/>
              </w:rPr>
              <w:t>$</w:t>
            </w:r>
          </w:p>
        </w:tc>
        <w:tc>
          <w:tcPr>
            <w:tcW w:w="620" w:type="dxa"/>
            <w:vAlign w:val="bottom"/>
            <w:tcBorders>
              <w:bottom w:val="single" w:sz="8" w:color="auto"/>
            </w:tcBorders>
          </w:tcPr>
          <w:p>
            <w:pPr>
              <w:jc w:val="right"/>
              <w:spacing w:after="0" w:line="48" w:lineRule="exact"/>
              <w:rPr>
                <w:sz w:val="20"/>
                <w:szCs w:val="20"/>
                <w:color w:val="auto"/>
              </w:rPr>
            </w:pPr>
            <w:r>
              <w:rPr>
                <w:rFonts w:ascii="Arial" w:cs="Arial" w:eastAsia="Arial" w:hAnsi="Arial"/>
                <w:sz w:val="5"/>
                <w:szCs w:val="5"/>
                <w:b w:val="1"/>
                <w:bCs w:val="1"/>
                <w:color w:val="auto"/>
              </w:rPr>
              <w:t>12,265</w:t>
            </w:r>
          </w:p>
        </w:tc>
        <w:tc>
          <w:tcPr>
            <w:tcW w:w="6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jc w:val="center"/>
              <w:ind w:right="29"/>
              <w:spacing w:after="0" w:line="48" w:lineRule="exact"/>
              <w:rPr>
                <w:sz w:val="20"/>
                <w:szCs w:val="20"/>
                <w:color w:val="auto"/>
              </w:rPr>
            </w:pPr>
            <w:r>
              <w:rPr>
                <w:rFonts w:ascii="Arial" w:cs="Arial" w:eastAsia="Arial" w:hAnsi="Arial"/>
                <w:sz w:val="5"/>
                <w:szCs w:val="5"/>
                <w:b w:val="1"/>
                <w:bCs w:val="1"/>
                <w:i w:val="1"/>
                <w:iCs w:val="1"/>
                <w:color w:val="auto"/>
              </w:rPr>
              <w:t>100%</w:t>
            </w:r>
          </w:p>
        </w:tc>
        <w:tc>
          <w:tcPr>
            <w:tcW w:w="700" w:type="dxa"/>
            <w:vAlign w:val="bottom"/>
            <w:tcBorders>
              <w:bottom w:val="single" w:sz="8" w:color="CCEEFF"/>
            </w:tcBorders>
            <w:gridSpan w:val="2"/>
          </w:tcPr>
          <w:p>
            <w:pPr>
              <w:jc w:val="right"/>
              <w:ind w:right="31"/>
              <w:spacing w:after="0" w:line="48" w:lineRule="exact"/>
              <w:rPr>
                <w:sz w:val="20"/>
                <w:szCs w:val="20"/>
                <w:color w:val="auto"/>
              </w:rPr>
            </w:pPr>
            <w:r>
              <w:rPr>
                <w:rFonts w:ascii="Arial" w:cs="Arial" w:eastAsia="Arial" w:hAnsi="Arial"/>
                <w:sz w:val="5"/>
                <w:szCs w:val="5"/>
                <w:b w:val="1"/>
                <w:bCs w:val="1"/>
                <w:color w:val="auto"/>
              </w:rPr>
              <w:t>24%</w:t>
            </w:r>
          </w:p>
        </w:tc>
        <w:tc>
          <w:tcPr>
            <w:tcW w:w="620" w:type="dxa"/>
            <w:vAlign w:val="bottom"/>
            <w:tcBorders>
              <w:bottom w:val="single" w:sz="8" w:color="CCEEFF"/>
            </w:tcBorders>
          </w:tcPr>
          <w:p>
            <w:pPr>
              <w:jc w:val="right"/>
              <w:ind w:right="49"/>
              <w:spacing w:after="0" w:line="48" w:lineRule="exact"/>
              <w:rPr>
                <w:sz w:val="20"/>
                <w:szCs w:val="20"/>
                <w:color w:val="auto"/>
              </w:rPr>
            </w:pPr>
            <w:r>
              <w:rPr>
                <w:rFonts w:ascii="Arial" w:cs="Arial" w:eastAsia="Arial" w:hAnsi="Arial"/>
                <w:sz w:val="5"/>
                <w:szCs w:val="5"/>
                <w:b w:val="1"/>
                <w:bCs w:val="1"/>
                <w:color w:val="auto"/>
              </w:rPr>
              <w:t>25%</w:t>
            </w:r>
          </w:p>
        </w:tc>
        <w:tc>
          <w:tcPr>
            <w:tcW w:w="0" w:type="dxa"/>
            <w:vAlign w:val="bottom"/>
          </w:tcPr>
          <w:p>
            <w:pPr>
              <w:spacing w:after="0"/>
              <w:rPr>
                <w:sz w:val="1"/>
                <w:szCs w:val="1"/>
                <w:color w:val="auto"/>
              </w:rPr>
            </w:pPr>
          </w:p>
        </w:tc>
      </w:tr>
      <w:tr>
        <w:trPr>
          <w:trHeight w:val="63"/>
        </w:trPr>
        <w:tc>
          <w:tcPr>
            <w:tcW w:w="1540" w:type="dxa"/>
            <w:vAlign w:val="bottom"/>
            <w:shd w:val="clear" w:color="auto" w:fill="CCEEFF"/>
          </w:tcPr>
          <w:p>
            <w:pPr>
              <w:spacing w:after="0" w:line="63" w:lineRule="exact"/>
              <w:rPr>
                <w:sz w:val="20"/>
                <w:szCs w:val="20"/>
                <w:color w:val="auto"/>
              </w:rPr>
            </w:pPr>
            <w:r>
              <w:rPr>
                <w:rFonts w:ascii="Arial" w:cs="Arial" w:eastAsia="Arial" w:hAnsi="Arial"/>
                <w:sz w:val="7"/>
                <w:szCs w:val="7"/>
                <w:b w:val="1"/>
                <w:bCs w:val="1"/>
                <w:color w:val="auto"/>
              </w:rPr>
              <w:t>OPERATING EXPENSE</w:t>
            </w:r>
          </w:p>
        </w:tc>
        <w:tc>
          <w:tcPr>
            <w:tcW w:w="2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540" w:type="dxa"/>
            <w:vAlign w:val="bottom"/>
          </w:tcPr>
          <w:p>
            <w:pPr>
              <w:ind w:left="200"/>
              <w:spacing w:after="0" w:line="68" w:lineRule="exact"/>
              <w:rPr>
                <w:sz w:val="20"/>
                <w:szCs w:val="20"/>
                <w:color w:val="auto"/>
              </w:rPr>
            </w:pPr>
            <w:r>
              <w:rPr>
                <w:rFonts w:ascii="Arial" w:cs="Arial" w:eastAsia="Arial" w:hAnsi="Arial"/>
                <w:sz w:val="7"/>
                <w:szCs w:val="7"/>
                <w:b w:val="1"/>
                <w:bCs w:val="1"/>
                <w:color w:val="auto"/>
              </w:rPr>
              <w:t>United States</w:t>
            </w:r>
          </w:p>
        </w:tc>
        <w:tc>
          <w:tcPr>
            <w:tcW w:w="2580" w:type="dxa"/>
            <w:vAlign w:val="bottom"/>
          </w:tcPr>
          <w:p>
            <w:pPr>
              <w:ind w:left="80"/>
              <w:spacing w:after="0" w:line="68" w:lineRule="exact"/>
              <w:rPr>
                <w:sz w:val="20"/>
                <w:szCs w:val="20"/>
                <w:color w:val="auto"/>
              </w:rPr>
            </w:pPr>
            <w:r>
              <w:rPr>
                <w:rFonts w:ascii="Arial" w:cs="Arial" w:eastAsia="Arial" w:hAnsi="Arial"/>
                <w:sz w:val="7"/>
                <w:szCs w:val="7"/>
                <w:color w:val="auto"/>
              </w:rPr>
              <w:t>Live theatre cost</w:t>
            </w:r>
          </w:p>
        </w:tc>
        <w:tc>
          <w:tcPr>
            <w:tcW w:w="10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(122)</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8"/>
              </w:rPr>
              <w:t>2%</w:t>
            </w:r>
          </w:p>
        </w:tc>
        <w:tc>
          <w:tcPr>
            <w:tcW w:w="80" w:type="dxa"/>
            <w:vAlign w:val="bottom"/>
          </w:tcPr>
          <w:p>
            <w:pPr>
              <w:jc w:val="right"/>
              <w:ind w:right="54"/>
              <w:spacing w:after="0"/>
              <w:rPr>
                <w:sz w:val="20"/>
                <w:szCs w:val="20"/>
                <w:color w:val="auto"/>
              </w:rPr>
            </w:pPr>
            <w:r>
              <w:rPr>
                <w:rFonts w:ascii="Arial" w:cs="Arial" w:eastAsia="Arial" w:hAnsi="Arial"/>
                <w:sz w:val="1"/>
                <w:szCs w:val="1"/>
                <w:color w:val="auto"/>
                <w:w w:val="4294967288"/>
              </w:rPr>
              <w:t>$</w:t>
            </w: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(160)</w:t>
            </w:r>
          </w:p>
        </w:tc>
        <w:tc>
          <w:tcPr>
            <w:tcW w:w="40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98"/>
              </w:rPr>
              <w:t>4%</w:t>
            </w:r>
          </w:p>
        </w:tc>
        <w:tc>
          <w:tcPr>
            <w:tcW w:w="340" w:type="dxa"/>
            <w:vAlign w:val="bottom"/>
          </w:tcPr>
          <w:p>
            <w:pPr>
              <w:spacing w:after="0"/>
              <w:rPr>
                <w:sz w:val="5"/>
                <w:szCs w:val="5"/>
                <w:color w:val="auto"/>
              </w:rPr>
            </w:pPr>
          </w:p>
        </w:tc>
        <w:tc>
          <w:tcPr>
            <w:tcW w:w="10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(476)</w:t>
            </w:r>
          </w:p>
        </w:tc>
        <w:tc>
          <w:tcPr>
            <w:tcW w:w="42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78"/>
              </w:rPr>
              <w:t>3%</w:t>
            </w:r>
          </w:p>
        </w:tc>
        <w:tc>
          <w:tcPr>
            <w:tcW w:w="10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68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(531)</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8"/>
              </w:rPr>
              <w:t>4%</w:t>
            </w:r>
          </w:p>
        </w:tc>
        <w:tc>
          <w:tcPr>
            <w:tcW w:w="700" w:type="dxa"/>
            <w:vAlign w:val="bottom"/>
            <w:gridSpan w:val="2"/>
          </w:tcPr>
          <w:p>
            <w:pPr>
              <w:jc w:val="right"/>
              <w:ind w:right="31"/>
              <w:spacing w:after="0" w:line="68" w:lineRule="exact"/>
              <w:rPr>
                <w:sz w:val="20"/>
                <w:szCs w:val="20"/>
                <w:color w:val="auto"/>
              </w:rPr>
            </w:pPr>
            <w:r>
              <w:rPr>
                <w:rFonts w:ascii="Arial" w:cs="Arial" w:eastAsia="Arial" w:hAnsi="Arial"/>
                <w:sz w:val="7"/>
                <w:szCs w:val="7"/>
                <w:color w:val="auto"/>
              </w:rPr>
              <w:t>24%</w:t>
            </w:r>
          </w:p>
        </w:tc>
        <w:tc>
          <w:tcPr>
            <w:tcW w:w="620" w:type="dxa"/>
            <w:vAlign w:val="bottom"/>
          </w:tcPr>
          <w:p>
            <w:pPr>
              <w:jc w:val="right"/>
              <w:ind w:right="49"/>
              <w:spacing w:after="0" w:line="68" w:lineRule="exact"/>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68"/>
        </w:trPr>
        <w:tc>
          <w:tcPr>
            <w:tcW w:w="1540" w:type="dxa"/>
            <w:vAlign w:val="bottom"/>
            <w:shd w:val="clear" w:color="auto" w:fill="CCEEFF"/>
          </w:tcPr>
          <w:p>
            <w:pPr>
              <w:spacing w:after="0"/>
              <w:rPr>
                <w:sz w:val="5"/>
                <w:szCs w:val="5"/>
                <w:color w:val="auto"/>
              </w:rPr>
            </w:pPr>
          </w:p>
        </w:tc>
        <w:tc>
          <w:tcPr>
            <w:tcW w:w="2580" w:type="dxa"/>
            <w:vAlign w:val="bottom"/>
            <w:shd w:val="clear" w:color="auto" w:fill="CCEEFF"/>
          </w:tcPr>
          <w:p>
            <w:pPr>
              <w:ind w:left="80"/>
              <w:spacing w:after="0" w:line="68" w:lineRule="exact"/>
              <w:rPr>
                <w:sz w:val="20"/>
                <w:szCs w:val="20"/>
                <w:color w:val="auto"/>
              </w:rPr>
            </w:pPr>
            <w:r>
              <w:rPr>
                <w:rFonts w:ascii="Arial" w:cs="Arial" w:eastAsia="Arial" w:hAnsi="Arial"/>
                <w:sz w:val="7"/>
                <w:szCs w:val="7"/>
                <w:color w:val="auto"/>
              </w:rPr>
              <w:t>Property cost</w:t>
            </w:r>
          </w:p>
        </w:tc>
        <w:tc>
          <w:tcPr>
            <w:tcW w:w="100" w:type="dxa"/>
            <w:vAlign w:val="bottom"/>
            <w:shd w:val="clear" w:color="auto" w:fill="CCEEFF"/>
          </w:tcPr>
          <w:p>
            <w:pPr>
              <w:spacing w:after="0"/>
              <w:rPr>
                <w:sz w:val="5"/>
                <w:szCs w:val="5"/>
                <w:color w:val="auto"/>
              </w:rPr>
            </w:pPr>
          </w:p>
        </w:tc>
        <w:tc>
          <w:tcPr>
            <w:tcW w:w="70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(466)</w:t>
            </w: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i w:val="1"/>
                <w:iCs w:val="1"/>
                <w:color w:val="auto"/>
                <w:w w:val="98"/>
              </w:rPr>
              <w:t>9%</w:t>
            </w:r>
          </w:p>
        </w:tc>
        <w:tc>
          <w:tcPr>
            <w:tcW w:w="80" w:type="dxa"/>
            <w:vAlign w:val="bottom"/>
            <w:shd w:val="clear" w:color="auto" w:fill="CCEEFF"/>
          </w:tcPr>
          <w:p>
            <w:pPr>
              <w:spacing w:after="0"/>
              <w:rPr>
                <w:sz w:val="5"/>
                <w:szCs w:val="5"/>
                <w:color w:val="auto"/>
              </w:rPr>
            </w:pPr>
          </w:p>
        </w:tc>
        <w:tc>
          <w:tcPr>
            <w:tcW w:w="70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(330)</w:t>
            </w:r>
          </w:p>
        </w:tc>
        <w:tc>
          <w:tcPr>
            <w:tcW w:w="40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98"/>
              </w:rPr>
              <w:t>8%</w:t>
            </w: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(1,132)</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78"/>
              </w:rPr>
              <w:t>7%</w:t>
            </w:r>
          </w:p>
        </w:tc>
        <w:tc>
          <w:tcPr>
            <w:tcW w:w="100" w:type="dxa"/>
            <w:vAlign w:val="bottom"/>
            <w:shd w:val="clear" w:color="auto" w:fill="CCEEFF"/>
          </w:tcPr>
          <w:p>
            <w:pPr>
              <w:spacing w:after="0"/>
              <w:rPr>
                <w:sz w:val="5"/>
                <w:szCs w:val="5"/>
                <w:color w:val="auto"/>
              </w:rPr>
            </w:pPr>
          </w:p>
        </w:tc>
        <w:tc>
          <w:tcPr>
            <w:tcW w:w="68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(894)</w:t>
            </w: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i w:val="1"/>
                <w:iCs w:val="1"/>
                <w:color w:val="auto"/>
                <w:w w:val="98"/>
              </w:rPr>
              <w:t>7%</w:t>
            </w:r>
          </w:p>
        </w:tc>
        <w:tc>
          <w:tcPr>
            <w:tcW w:w="700" w:type="dxa"/>
            <w:vAlign w:val="bottom"/>
            <w:gridSpan w:val="2"/>
            <w:shd w:val="clear" w:color="auto" w:fill="CCEEFF"/>
          </w:tcPr>
          <w:p>
            <w:pPr>
              <w:jc w:val="right"/>
              <w:ind w:right="31"/>
              <w:spacing w:after="0" w:line="68" w:lineRule="exact"/>
              <w:rPr>
                <w:sz w:val="20"/>
                <w:szCs w:val="20"/>
                <w:color w:val="auto"/>
              </w:rPr>
            </w:pPr>
            <w:r>
              <w:rPr>
                <w:rFonts w:ascii="Arial" w:cs="Arial" w:eastAsia="Arial" w:hAnsi="Arial"/>
                <w:sz w:val="7"/>
                <w:szCs w:val="7"/>
                <w:color w:val="auto"/>
              </w:rPr>
              <w:t>(41)%</w:t>
            </w:r>
          </w:p>
        </w:tc>
        <w:tc>
          <w:tcPr>
            <w:tcW w:w="620" w:type="dxa"/>
            <w:vAlign w:val="bottom"/>
            <w:shd w:val="clear" w:color="auto" w:fill="CCEEFF"/>
          </w:tcPr>
          <w:p>
            <w:pPr>
              <w:jc w:val="right"/>
              <w:ind w:right="49"/>
              <w:spacing w:after="0" w:line="68" w:lineRule="exact"/>
              <w:rPr>
                <w:sz w:val="20"/>
                <w:szCs w:val="20"/>
                <w:color w:val="auto"/>
              </w:rPr>
            </w:pPr>
            <w:r>
              <w:rPr>
                <w:rFonts w:ascii="Arial" w:cs="Arial" w:eastAsia="Arial" w:hAnsi="Arial"/>
                <w:sz w:val="7"/>
                <w:szCs w:val="7"/>
                <w:color w:val="auto"/>
              </w:rPr>
              <w:t>(27)%</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2580" w:type="dxa"/>
            <w:vAlign w:val="bottom"/>
          </w:tcPr>
          <w:p>
            <w:pPr>
              <w:ind w:left="80"/>
              <w:spacing w:after="0" w:line="68" w:lineRule="exact"/>
              <w:rPr>
                <w:sz w:val="20"/>
                <w:szCs w:val="20"/>
                <w:color w:val="auto"/>
              </w:rPr>
            </w:pPr>
            <w:r>
              <w:rPr>
                <w:rFonts w:ascii="Arial" w:cs="Arial" w:eastAsia="Arial" w:hAnsi="Arial"/>
                <w:sz w:val="7"/>
                <w:szCs w:val="7"/>
                <w:color w:val="auto"/>
              </w:rPr>
              <w:t>Occupancy expense</w:t>
            </w:r>
          </w:p>
        </w:tc>
        <w:tc>
          <w:tcPr>
            <w:tcW w:w="100" w:type="dxa"/>
            <w:vAlign w:val="bottom"/>
          </w:tcPr>
          <w:p>
            <w:pPr>
              <w:spacing w:after="0"/>
              <w:rPr>
                <w:sz w:val="5"/>
                <w:szCs w:val="5"/>
                <w:color w:val="auto"/>
              </w:rPr>
            </w:pP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(260)</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8"/>
              </w:rPr>
              <w:t>5%</w:t>
            </w:r>
          </w:p>
        </w:tc>
        <w:tc>
          <w:tcPr>
            <w:tcW w:w="80" w:type="dxa"/>
            <w:vAlign w:val="bottom"/>
          </w:tcPr>
          <w:p>
            <w:pPr>
              <w:spacing w:after="0"/>
              <w:rPr>
                <w:sz w:val="5"/>
                <w:szCs w:val="5"/>
                <w:color w:val="auto"/>
              </w:rPr>
            </w:pP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(240)</w:t>
            </w:r>
          </w:p>
        </w:tc>
        <w:tc>
          <w:tcPr>
            <w:tcW w:w="40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98"/>
              </w:rPr>
              <w:t>6%</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(743)</w:t>
            </w:r>
          </w:p>
        </w:tc>
        <w:tc>
          <w:tcPr>
            <w:tcW w:w="42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78"/>
              </w:rPr>
              <w:t>5%</w:t>
            </w:r>
          </w:p>
        </w:tc>
        <w:tc>
          <w:tcPr>
            <w:tcW w:w="100" w:type="dxa"/>
            <w:vAlign w:val="bottom"/>
          </w:tcPr>
          <w:p>
            <w:pPr>
              <w:spacing w:after="0"/>
              <w:rPr>
                <w:sz w:val="5"/>
                <w:szCs w:val="5"/>
                <w:color w:val="auto"/>
              </w:rPr>
            </w:pPr>
          </w:p>
        </w:tc>
        <w:tc>
          <w:tcPr>
            <w:tcW w:w="68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(750)</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8"/>
              </w:rPr>
              <w:t>6%</w:t>
            </w:r>
          </w:p>
        </w:tc>
        <w:tc>
          <w:tcPr>
            <w:tcW w:w="700" w:type="dxa"/>
            <w:vAlign w:val="bottom"/>
            <w:gridSpan w:val="2"/>
          </w:tcPr>
          <w:p>
            <w:pPr>
              <w:jc w:val="right"/>
              <w:ind w:right="31"/>
              <w:spacing w:after="0" w:line="68" w:lineRule="exact"/>
              <w:rPr>
                <w:sz w:val="20"/>
                <w:szCs w:val="20"/>
                <w:color w:val="auto"/>
              </w:rPr>
            </w:pPr>
            <w:r>
              <w:rPr>
                <w:rFonts w:ascii="Arial" w:cs="Arial" w:eastAsia="Arial" w:hAnsi="Arial"/>
                <w:sz w:val="7"/>
                <w:szCs w:val="7"/>
                <w:color w:val="auto"/>
              </w:rPr>
              <w:t>(8)%</w:t>
            </w:r>
          </w:p>
        </w:tc>
        <w:tc>
          <w:tcPr>
            <w:tcW w:w="620" w:type="dxa"/>
            <w:vAlign w:val="bottom"/>
          </w:tcPr>
          <w:p>
            <w:pPr>
              <w:jc w:val="right"/>
              <w:ind w:right="49"/>
              <w:spacing w:after="0" w:line="68" w:lineRule="exact"/>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55"/>
        </w:trPr>
        <w:tc>
          <w:tcPr>
            <w:tcW w:w="154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(848)</w:t>
            </w: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jc w:val="center"/>
              <w:ind w:right="49"/>
              <w:spacing w:after="0" w:line="55" w:lineRule="exact"/>
              <w:rPr>
                <w:sz w:val="20"/>
                <w:szCs w:val="20"/>
                <w:color w:val="auto"/>
              </w:rPr>
            </w:pPr>
            <w:r>
              <w:rPr>
                <w:rFonts w:ascii="Arial" w:cs="Arial" w:eastAsia="Arial" w:hAnsi="Arial"/>
                <w:sz w:val="6"/>
                <w:szCs w:val="6"/>
                <w:b w:val="1"/>
                <w:bCs w:val="1"/>
                <w:i w:val="1"/>
                <w:iCs w:val="1"/>
                <w:color w:val="auto"/>
              </w:rPr>
              <w:t>17%</w:t>
            </w:r>
          </w:p>
        </w:tc>
        <w:tc>
          <w:tcPr>
            <w:tcW w:w="8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(730)</w:t>
            </w: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rPr>
              <w:t>18%</w:t>
            </w: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(2,351)</w:t>
            </w: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w w:val="99"/>
              </w:rPr>
              <w:t>15%</w:t>
            </w:r>
          </w:p>
        </w:tc>
        <w:tc>
          <w:tcPr>
            <w:tcW w:w="1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(2,175)</w:t>
            </w: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w w:val="99"/>
              </w:rPr>
              <w:t>18%</w:t>
            </w:r>
          </w:p>
        </w:tc>
        <w:tc>
          <w:tcPr>
            <w:tcW w:w="700" w:type="dxa"/>
            <w:vAlign w:val="bottom"/>
            <w:tcBorders>
              <w:top w:val="single" w:sz="8" w:color="CCEEFF"/>
            </w:tcBorders>
            <w:gridSpan w:val="2"/>
            <w:shd w:val="clear" w:color="auto" w:fill="CCEEFF"/>
          </w:tcPr>
          <w:p>
            <w:pPr>
              <w:jc w:val="right"/>
              <w:ind w:right="31"/>
              <w:spacing w:after="0" w:line="55" w:lineRule="exact"/>
              <w:rPr>
                <w:sz w:val="20"/>
                <w:szCs w:val="20"/>
                <w:color w:val="auto"/>
              </w:rPr>
            </w:pPr>
            <w:r>
              <w:rPr>
                <w:rFonts w:ascii="Arial" w:cs="Arial" w:eastAsia="Arial" w:hAnsi="Arial"/>
                <w:sz w:val="6"/>
                <w:szCs w:val="6"/>
                <w:b w:val="1"/>
                <w:bCs w:val="1"/>
                <w:color w:val="auto"/>
              </w:rPr>
              <w:t>(16)%</w:t>
            </w:r>
          </w:p>
        </w:tc>
        <w:tc>
          <w:tcPr>
            <w:tcW w:w="620" w:type="dxa"/>
            <w:vAlign w:val="bottom"/>
            <w:tcBorders>
              <w:top w:val="single" w:sz="8" w:color="CCEEFF"/>
            </w:tcBorders>
            <w:shd w:val="clear" w:color="auto" w:fill="CCEEFF"/>
          </w:tcPr>
          <w:p>
            <w:pPr>
              <w:jc w:val="right"/>
              <w:ind w:right="49"/>
              <w:spacing w:after="0" w:line="55" w:lineRule="exact"/>
              <w:rPr>
                <w:sz w:val="20"/>
                <w:szCs w:val="20"/>
                <w:color w:val="auto"/>
              </w:rPr>
            </w:pPr>
            <w:r>
              <w:rPr>
                <w:rFonts w:ascii="Arial" w:cs="Arial" w:eastAsia="Arial" w:hAnsi="Arial"/>
                <w:sz w:val="6"/>
                <w:szCs w:val="6"/>
                <w:b w:val="1"/>
                <w:bCs w:val="1"/>
                <w:color w:val="auto"/>
              </w:rPr>
              <w:t>(8)%</w:t>
            </w:r>
          </w:p>
        </w:tc>
        <w:tc>
          <w:tcPr>
            <w:tcW w:w="0" w:type="dxa"/>
            <w:vAlign w:val="bottom"/>
          </w:tcPr>
          <w:p>
            <w:pPr>
              <w:spacing w:after="0"/>
              <w:rPr>
                <w:sz w:val="1"/>
                <w:szCs w:val="1"/>
                <w:color w:val="auto"/>
              </w:rPr>
            </w:pPr>
          </w:p>
        </w:tc>
      </w:tr>
      <w:tr>
        <w:trPr>
          <w:trHeight w:val="68"/>
        </w:trPr>
        <w:tc>
          <w:tcPr>
            <w:tcW w:w="1540" w:type="dxa"/>
            <w:vAlign w:val="bottom"/>
          </w:tcPr>
          <w:p>
            <w:pPr>
              <w:ind w:left="200"/>
              <w:spacing w:after="0" w:line="68" w:lineRule="exact"/>
              <w:rPr>
                <w:sz w:val="20"/>
                <w:szCs w:val="20"/>
                <w:color w:val="auto"/>
              </w:rPr>
            </w:pPr>
            <w:r>
              <w:rPr>
                <w:rFonts w:ascii="Arial" w:cs="Arial" w:eastAsia="Arial" w:hAnsi="Arial"/>
                <w:sz w:val="7"/>
                <w:szCs w:val="7"/>
                <w:b w:val="1"/>
                <w:bCs w:val="1"/>
                <w:color w:val="auto"/>
              </w:rPr>
              <w:t>Australia</w:t>
            </w:r>
          </w:p>
        </w:tc>
        <w:tc>
          <w:tcPr>
            <w:tcW w:w="2580" w:type="dxa"/>
            <w:vAlign w:val="bottom"/>
          </w:tcPr>
          <w:p>
            <w:pPr>
              <w:ind w:left="80"/>
              <w:spacing w:after="0" w:line="68" w:lineRule="exact"/>
              <w:rPr>
                <w:sz w:val="20"/>
                <w:szCs w:val="20"/>
                <w:color w:val="auto"/>
              </w:rPr>
            </w:pPr>
            <w:r>
              <w:rPr>
                <w:rFonts w:ascii="Arial" w:cs="Arial" w:eastAsia="Arial" w:hAnsi="Arial"/>
                <w:sz w:val="7"/>
                <w:szCs w:val="7"/>
                <w:color w:val="auto"/>
              </w:rPr>
              <w:t>Property cost</w:t>
            </w:r>
          </w:p>
        </w:tc>
        <w:tc>
          <w:tcPr>
            <w:tcW w:w="100" w:type="dxa"/>
            <w:vAlign w:val="bottom"/>
          </w:tcPr>
          <w:p>
            <w:pPr>
              <w:spacing w:after="0"/>
              <w:rPr>
                <w:sz w:val="5"/>
                <w:szCs w:val="5"/>
                <w:color w:val="auto"/>
              </w:rPr>
            </w:pP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(548)</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9"/>
              </w:rPr>
              <w:t>11%</w:t>
            </w:r>
          </w:p>
        </w:tc>
        <w:tc>
          <w:tcPr>
            <w:tcW w:w="80" w:type="dxa"/>
            <w:vAlign w:val="bottom"/>
          </w:tcPr>
          <w:p>
            <w:pPr>
              <w:spacing w:after="0"/>
              <w:rPr>
                <w:sz w:val="5"/>
                <w:szCs w:val="5"/>
                <w:color w:val="auto"/>
              </w:rPr>
            </w:pP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(588)</w:t>
            </w:r>
          </w:p>
        </w:tc>
        <w:tc>
          <w:tcPr>
            <w:tcW w:w="40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99"/>
              </w:rPr>
              <w:t>14%</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jc w:val="right"/>
              <w:spacing w:after="0" w:line="68" w:lineRule="exact"/>
              <w:rPr>
                <w:sz w:val="20"/>
                <w:szCs w:val="20"/>
                <w:color w:val="auto"/>
              </w:rPr>
            </w:pPr>
            <w:r>
              <w:rPr>
                <w:rFonts w:ascii="Arial" w:cs="Arial" w:eastAsia="Arial" w:hAnsi="Arial"/>
                <w:sz w:val="7"/>
                <w:szCs w:val="7"/>
                <w:color w:val="auto"/>
              </w:rPr>
              <w:t>(1,653)</w:t>
            </w:r>
          </w:p>
        </w:tc>
        <w:tc>
          <w:tcPr>
            <w:tcW w:w="60" w:type="dxa"/>
            <w:vAlign w:val="bottom"/>
          </w:tcPr>
          <w:p>
            <w:pPr>
              <w:spacing w:after="0"/>
              <w:rPr>
                <w:sz w:val="5"/>
                <w:szCs w:val="5"/>
                <w:color w:val="auto"/>
              </w:rPr>
            </w:pPr>
          </w:p>
        </w:tc>
        <w:tc>
          <w:tcPr>
            <w:tcW w:w="42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85"/>
              </w:rPr>
              <w:t>11%</w:t>
            </w:r>
          </w:p>
        </w:tc>
        <w:tc>
          <w:tcPr>
            <w:tcW w:w="100" w:type="dxa"/>
            <w:vAlign w:val="bottom"/>
          </w:tcPr>
          <w:p>
            <w:pPr>
              <w:spacing w:after="0"/>
              <w:rPr>
                <w:sz w:val="5"/>
                <w:szCs w:val="5"/>
                <w:color w:val="auto"/>
              </w:rPr>
            </w:pPr>
          </w:p>
        </w:tc>
        <w:tc>
          <w:tcPr>
            <w:tcW w:w="620" w:type="dxa"/>
            <w:vAlign w:val="bottom"/>
          </w:tcPr>
          <w:p>
            <w:pPr>
              <w:jc w:val="right"/>
              <w:spacing w:after="0" w:line="68" w:lineRule="exact"/>
              <w:rPr>
                <w:sz w:val="20"/>
                <w:szCs w:val="20"/>
                <w:color w:val="auto"/>
              </w:rPr>
            </w:pPr>
            <w:r>
              <w:rPr>
                <w:rFonts w:ascii="Arial" w:cs="Arial" w:eastAsia="Arial" w:hAnsi="Arial"/>
                <w:sz w:val="7"/>
                <w:szCs w:val="7"/>
                <w:color w:val="auto"/>
              </w:rPr>
              <w:t>(1,596)</w:t>
            </w:r>
          </w:p>
        </w:tc>
        <w:tc>
          <w:tcPr>
            <w:tcW w:w="60" w:type="dxa"/>
            <w:vAlign w:val="bottom"/>
          </w:tcPr>
          <w:p>
            <w:pPr>
              <w:spacing w:after="0"/>
              <w:rPr>
                <w:sz w:val="5"/>
                <w:szCs w:val="5"/>
                <w:color w:val="auto"/>
              </w:rPr>
            </w:pPr>
          </w:p>
        </w:tc>
        <w:tc>
          <w:tcPr>
            <w:tcW w:w="42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85"/>
              </w:rPr>
              <w:t>13%</w:t>
            </w:r>
          </w:p>
        </w:tc>
        <w:tc>
          <w:tcPr>
            <w:tcW w:w="700" w:type="dxa"/>
            <w:vAlign w:val="bottom"/>
            <w:gridSpan w:val="2"/>
          </w:tcPr>
          <w:p>
            <w:pPr>
              <w:jc w:val="right"/>
              <w:ind w:right="31"/>
              <w:spacing w:after="0" w:line="68" w:lineRule="exact"/>
              <w:rPr>
                <w:sz w:val="20"/>
                <w:szCs w:val="20"/>
                <w:color w:val="auto"/>
              </w:rPr>
            </w:pPr>
            <w:r>
              <w:rPr>
                <w:rFonts w:ascii="Arial" w:cs="Arial" w:eastAsia="Arial" w:hAnsi="Arial"/>
                <w:sz w:val="7"/>
                <w:szCs w:val="7"/>
                <w:color w:val="auto"/>
              </w:rPr>
              <w:t>7%</w:t>
            </w:r>
          </w:p>
        </w:tc>
        <w:tc>
          <w:tcPr>
            <w:tcW w:w="620" w:type="dxa"/>
            <w:vAlign w:val="bottom"/>
          </w:tcPr>
          <w:p>
            <w:pPr>
              <w:jc w:val="right"/>
              <w:ind w:right="49"/>
              <w:spacing w:after="0" w:line="68" w:lineRule="exact"/>
              <w:rPr>
                <w:sz w:val="20"/>
                <w:szCs w:val="20"/>
                <w:color w:val="auto"/>
              </w:rPr>
            </w:pP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68"/>
        </w:trPr>
        <w:tc>
          <w:tcPr>
            <w:tcW w:w="1540" w:type="dxa"/>
            <w:vAlign w:val="bottom"/>
            <w:shd w:val="clear" w:color="auto" w:fill="CCEEFF"/>
          </w:tcPr>
          <w:p>
            <w:pPr>
              <w:spacing w:after="0"/>
              <w:rPr>
                <w:sz w:val="5"/>
                <w:szCs w:val="5"/>
                <w:color w:val="auto"/>
              </w:rPr>
            </w:pPr>
          </w:p>
        </w:tc>
        <w:tc>
          <w:tcPr>
            <w:tcW w:w="2580" w:type="dxa"/>
            <w:vAlign w:val="bottom"/>
            <w:shd w:val="clear" w:color="auto" w:fill="CCEEFF"/>
          </w:tcPr>
          <w:p>
            <w:pPr>
              <w:ind w:left="80"/>
              <w:spacing w:after="0" w:line="68" w:lineRule="exact"/>
              <w:rPr>
                <w:sz w:val="20"/>
                <w:szCs w:val="20"/>
                <w:color w:val="auto"/>
              </w:rPr>
            </w:pPr>
            <w:r>
              <w:rPr>
                <w:rFonts w:ascii="Arial" w:cs="Arial" w:eastAsia="Arial" w:hAnsi="Arial"/>
                <w:sz w:val="7"/>
                <w:szCs w:val="7"/>
                <w:color w:val="auto"/>
              </w:rPr>
              <w:t>Occupancy expense</w:t>
            </w:r>
          </w:p>
        </w:tc>
        <w:tc>
          <w:tcPr>
            <w:tcW w:w="100" w:type="dxa"/>
            <w:vAlign w:val="bottom"/>
            <w:shd w:val="clear" w:color="auto" w:fill="CCEEFF"/>
          </w:tcPr>
          <w:p>
            <w:pPr>
              <w:spacing w:after="0"/>
              <w:rPr>
                <w:sz w:val="5"/>
                <w:szCs w:val="5"/>
                <w:color w:val="auto"/>
              </w:rPr>
            </w:pPr>
          </w:p>
        </w:tc>
        <w:tc>
          <w:tcPr>
            <w:tcW w:w="70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(505)</w:t>
            </w: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i w:val="1"/>
                <w:iCs w:val="1"/>
                <w:color w:val="auto"/>
                <w:w w:val="99"/>
              </w:rPr>
              <w:t>10%</w:t>
            </w:r>
          </w:p>
        </w:tc>
        <w:tc>
          <w:tcPr>
            <w:tcW w:w="80" w:type="dxa"/>
            <w:vAlign w:val="bottom"/>
            <w:shd w:val="clear" w:color="auto" w:fill="CCEEFF"/>
          </w:tcPr>
          <w:p>
            <w:pPr>
              <w:spacing w:after="0"/>
              <w:rPr>
                <w:sz w:val="5"/>
                <w:szCs w:val="5"/>
                <w:color w:val="auto"/>
              </w:rPr>
            </w:pPr>
          </w:p>
        </w:tc>
        <w:tc>
          <w:tcPr>
            <w:tcW w:w="70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(500)</w:t>
            </w:r>
          </w:p>
        </w:tc>
        <w:tc>
          <w:tcPr>
            <w:tcW w:w="40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99"/>
              </w:rPr>
              <w:t>12%</w:t>
            </w: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(1,477)</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85"/>
              </w:rPr>
              <w:t>10%</w:t>
            </w: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(1,541)</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85"/>
              </w:rPr>
              <w:t>13%</w:t>
            </w:r>
          </w:p>
        </w:tc>
        <w:tc>
          <w:tcPr>
            <w:tcW w:w="700" w:type="dxa"/>
            <w:vAlign w:val="bottom"/>
            <w:gridSpan w:val="2"/>
            <w:shd w:val="clear" w:color="auto" w:fill="CCEEFF"/>
          </w:tcPr>
          <w:p>
            <w:pPr>
              <w:jc w:val="right"/>
              <w:ind w:right="31"/>
              <w:spacing w:after="0" w:line="68" w:lineRule="exact"/>
              <w:rPr>
                <w:sz w:val="20"/>
                <w:szCs w:val="20"/>
                <w:color w:val="auto"/>
              </w:rPr>
            </w:pPr>
            <w:r>
              <w:rPr>
                <w:rFonts w:ascii="Arial" w:cs="Arial" w:eastAsia="Arial" w:hAnsi="Arial"/>
                <w:sz w:val="7"/>
                <w:szCs w:val="7"/>
                <w:color w:val="auto"/>
              </w:rPr>
              <w:t>(1)%</w:t>
            </w:r>
          </w:p>
        </w:tc>
        <w:tc>
          <w:tcPr>
            <w:tcW w:w="620" w:type="dxa"/>
            <w:vAlign w:val="bottom"/>
            <w:shd w:val="clear" w:color="auto" w:fill="CCEEFF"/>
          </w:tcPr>
          <w:p>
            <w:pPr>
              <w:jc w:val="right"/>
              <w:ind w:right="49"/>
              <w:spacing w:after="0" w:line="68" w:lineRule="exact"/>
              <w:rPr>
                <w:sz w:val="20"/>
                <w:szCs w:val="20"/>
                <w:color w:val="auto"/>
              </w:rPr>
            </w:pP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55"/>
        </w:trPr>
        <w:tc>
          <w:tcPr>
            <w:tcW w:w="15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jc w:val="right"/>
              <w:spacing w:after="0" w:line="55" w:lineRule="exact"/>
              <w:rPr>
                <w:sz w:val="20"/>
                <w:szCs w:val="20"/>
                <w:color w:val="auto"/>
              </w:rPr>
            </w:pPr>
            <w:r>
              <w:rPr>
                <w:rFonts w:ascii="Arial" w:cs="Arial" w:eastAsia="Arial" w:hAnsi="Arial"/>
                <w:sz w:val="6"/>
                <w:szCs w:val="6"/>
                <w:b w:val="1"/>
                <w:bCs w:val="1"/>
                <w:color w:val="auto"/>
              </w:rPr>
              <w:t>(1,053)</w:t>
            </w:r>
          </w:p>
        </w:tc>
        <w:tc>
          <w:tcPr>
            <w:tcW w:w="60" w:type="dxa"/>
            <w:vAlign w:val="bottom"/>
          </w:tcPr>
          <w:p>
            <w:pPr>
              <w:spacing w:after="0"/>
              <w:rPr>
                <w:sz w:val="4"/>
                <w:szCs w:val="4"/>
                <w:color w:val="auto"/>
              </w:rPr>
            </w:pPr>
          </w:p>
        </w:tc>
        <w:tc>
          <w:tcPr>
            <w:tcW w:w="420" w:type="dxa"/>
            <w:vAlign w:val="bottom"/>
          </w:tcPr>
          <w:p>
            <w:pPr>
              <w:jc w:val="center"/>
              <w:ind w:right="49"/>
              <w:spacing w:after="0" w:line="55" w:lineRule="exact"/>
              <w:rPr>
                <w:sz w:val="20"/>
                <w:szCs w:val="20"/>
                <w:color w:val="auto"/>
              </w:rPr>
            </w:pPr>
            <w:r>
              <w:rPr>
                <w:rFonts w:ascii="Arial" w:cs="Arial" w:eastAsia="Arial" w:hAnsi="Arial"/>
                <w:sz w:val="6"/>
                <w:szCs w:val="6"/>
                <w:b w:val="1"/>
                <w:bCs w:val="1"/>
                <w:i w:val="1"/>
                <w:iCs w:val="1"/>
                <w:color w:val="auto"/>
              </w:rPr>
              <w:t>21%</w:t>
            </w:r>
          </w:p>
        </w:tc>
        <w:tc>
          <w:tcPr>
            <w:tcW w:w="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jc w:val="right"/>
              <w:spacing w:after="0" w:line="55" w:lineRule="exact"/>
              <w:rPr>
                <w:sz w:val="20"/>
                <w:szCs w:val="20"/>
                <w:color w:val="auto"/>
              </w:rPr>
            </w:pPr>
            <w:r>
              <w:rPr>
                <w:rFonts w:ascii="Arial" w:cs="Arial" w:eastAsia="Arial" w:hAnsi="Arial"/>
                <w:sz w:val="6"/>
                <w:szCs w:val="6"/>
                <w:b w:val="1"/>
                <w:bCs w:val="1"/>
                <w:color w:val="auto"/>
              </w:rPr>
              <w:t>(1,088)</w:t>
            </w:r>
          </w:p>
        </w:tc>
        <w:tc>
          <w:tcPr>
            <w:tcW w:w="60" w:type="dxa"/>
            <w:vAlign w:val="bottom"/>
          </w:tcPr>
          <w:p>
            <w:pPr>
              <w:spacing w:after="0"/>
              <w:rPr>
                <w:sz w:val="4"/>
                <w:szCs w:val="4"/>
                <w:color w:val="auto"/>
              </w:rPr>
            </w:pPr>
          </w:p>
        </w:tc>
        <w:tc>
          <w:tcPr>
            <w:tcW w:w="400" w:type="dxa"/>
            <w:vAlign w:val="bottom"/>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rPr>
              <w:t>27%</w:t>
            </w:r>
          </w:p>
        </w:tc>
        <w:tc>
          <w:tcPr>
            <w:tcW w:w="3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jc w:val="right"/>
              <w:spacing w:after="0" w:line="55" w:lineRule="exact"/>
              <w:rPr>
                <w:sz w:val="20"/>
                <w:szCs w:val="20"/>
                <w:color w:val="auto"/>
              </w:rPr>
            </w:pPr>
            <w:r>
              <w:rPr>
                <w:rFonts w:ascii="Arial" w:cs="Arial" w:eastAsia="Arial" w:hAnsi="Arial"/>
                <w:sz w:val="6"/>
                <w:szCs w:val="6"/>
                <w:b w:val="1"/>
                <w:bCs w:val="1"/>
                <w:color w:val="auto"/>
              </w:rPr>
              <w:t>(3,130)</w:t>
            </w:r>
          </w:p>
        </w:tc>
        <w:tc>
          <w:tcPr>
            <w:tcW w:w="60" w:type="dxa"/>
            <w:vAlign w:val="bottom"/>
          </w:tcPr>
          <w:p>
            <w:pPr>
              <w:spacing w:after="0"/>
              <w:rPr>
                <w:sz w:val="4"/>
                <w:szCs w:val="4"/>
                <w:color w:val="auto"/>
              </w:rPr>
            </w:pPr>
          </w:p>
        </w:tc>
        <w:tc>
          <w:tcPr>
            <w:tcW w:w="420" w:type="dxa"/>
            <w:vAlign w:val="bottom"/>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w w:val="99"/>
              </w:rPr>
              <w:t>20%</w:t>
            </w: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jc w:val="right"/>
              <w:spacing w:after="0" w:line="55" w:lineRule="exact"/>
              <w:rPr>
                <w:sz w:val="20"/>
                <w:szCs w:val="20"/>
                <w:color w:val="auto"/>
              </w:rPr>
            </w:pPr>
            <w:r>
              <w:rPr>
                <w:rFonts w:ascii="Arial" w:cs="Arial" w:eastAsia="Arial" w:hAnsi="Arial"/>
                <w:sz w:val="6"/>
                <w:szCs w:val="6"/>
                <w:b w:val="1"/>
                <w:bCs w:val="1"/>
                <w:color w:val="auto"/>
              </w:rPr>
              <w:t>(3,137)</w:t>
            </w:r>
          </w:p>
        </w:tc>
        <w:tc>
          <w:tcPr>
            <w:tcW w:w="60" w:type="dxa"/>
            <w:vAlign w:val="bottom"/>
          </w:tcPr>
          <w:p>
            <w:pPr>
              <w:spacing w:after="0"/>
              <w:rPr>
                <w:sz w:val="4"/>
                <w:szCs w:val="4"/>
                <w:color w:val="auto"/>
              </w:rPr>
            </w:pPr>
          </w:p>
        </w:tc>
        <w:tc>
          <w:tcPr>
            <w:tcW w:w="420" w:type="dxa"/>
            <w:vAlign w:val="bottom"/>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w w:val="99"/>
              </w:rPr>
              <w:t>26%</w:t>
            </w:r>
          </w:p>
        </w:tc>
        <w:tc>
          <w:tcPr>
            <w:tcW w:w="700" w:type="dxa"/>
            <w:vAlign w:val="bottom"/>
            <w:gridSpan w:val="2"/>
          </w:tcPr>
          <w:p>
            <w:pPr>
              <w:jc w:val="right"/>
              <w:ind w:right="31"/>
              <w:spacing w:after="0" w:line="55" w:lineRule="exact"/>
              <w:rPr>
                <w:sz w:val="20"/>
                <w:szCs w:val="20"/>
                <w:color w:val="auto"/>
              </w:rPr>
            </w:pPr>
            <w:r>
              <w:rPr>
                <w:rFonts w:ascii="Arial" w:cs="Arial" w:eastAsia="Arial" w:hAnsi="Arial"/>
                <w:sz w:val="6"/>
                <w:szCs w:val="6"/>
                <w:b w:val="1"/>
                <w:bCs w:val="1"/>
                <w:color w:val="auto"/>
              </w:rPr>
              <w:t>3%</w:t>
            </w:r>
          </w:p>
        </w:tc>
        <w:tc>
          <w:tcPr>
            <w:tcW w:w="620" w:type="dxa"/>
            <w:vAlign w:val="bottom"/>
          </w:tcPr>
          <w:p>
            <w:pPr>
              <w:jc w:val="right"/>
              <w:ind w:right="49"/>
              <w:spacing w:after="0" w:line="55"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68"/>
        </w:trPr>
        <w:tc>
          <w:tcPr>
            <w:tcW w:w="1540" w:type="dxa"/>
            <w:vAlign w:val="bottom"/>
            <w:shd w:val="clear" w:color="auto" w:fill="CCEEFF"/>
          </w:tcPr>
          <w:p>
            <w:pPr>
              <w:ind w:left="200"/>
              <w:spacing w:after="0" w:line="68" w:lineRule="exact"/>
              <w:rPr>
                <w:sz w:val="20"/>
                <w:szCs w:val="20"/>
                <w:color w:val="auto"/>
              </w:rPr>
            </w:pPr>
            <w:r>
              <w:rPr>
                <w:rFonts w:ascii="Arial" w:cs="Arial" w:eastAsia="Arial" w:hAnsi="Arial"/>
                <w:sz w:val="7"/>
                <w:szCs w:val="7"/>
                <w:b w:val="1"/>
                <w:bCs w:val="1"/>
                <w:color w:val="auto"/>
              </w:rPr>
              <w:t>New Zealand</w:t>
            </w:r>
          </w:p>
        </w:tc>
        <w:tc>
          <w:tcPr>
            <w:tcW w:w="2580" w:type="dxa"/>
            <w:vAlign w:val="bottom"/>
            <w:shd w:val="clear" w:color="auto" w:fill="CCEEFF"/>
          </w:tcPr>
          <w:p>
            <w:pPr>
              <w:ind w:left="80"/>
              <w:spacing w:after="0" w:line="68" w:lineRule="exact"/>
              <w:rPr>
                <w:sz w:val="20"/>
                <w:szCs w:val="20"/>
                <w:color w:val="auto"/>
              </w:rPr>
            </w:pPr>
            <w:r>
              <w:rPr>
                <w:rFonts w:ascii="Arial" w:cs="Arial" w:eastAsia="Arial" w:hAnsi="Arial"/>
                <w:sz w:val="7"/>
                <w:szCs w:val="7"/>
                <w:color w:val="auto"/>
              </w:rPr>
              <w:t>Property cost</w:t>
            </w:r>
          </w:p>
        </w:tc>
        <w:tc>
          <w:tcPr>
            <w:tcW w:w="100" w:type="dxa"/>
            <w:vAlign w:val="bottom"/>
            <w:shd w:val="clear" w:color="auto" w:fill="CCEEFF"/>
          </w:tcPr>
          <w:p>
            <w:pPr>
              <w:spacing w:after="0"/>
              <w:rPr>
                <w:sz w:val="5"/>
                <w:szCs w:val="5"/>
                <w:color w:val="auto"/>
              </w:rPr>
            </w:pPr>
          </w:p>
        </w:tc>
        <w:tc>
          <w:tcPr>
            <w:tcW w:w="70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(273)</w:t>
            </w: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i w:val="1"/>
                <w:iCs w:val="1"/>
                <w:color w:val="auto"/>
                <w:w w:val="98"/>
              </w:rPr>
              <w:t>5%</w:t>
            </w:r>
          </w:p>
        </w:tc>
        <w:tc>
          <w:tcPr>
            <w:tcW w:w="80" w:type="dxa"/>
            <w:vAlign w:val="bottom"/>
            <w:shd w:val="clear" w:color="auto" w:fill="CCEEFF"/>
          </w:tcPr>
          <w:p>
            <w:pPr>
              <w:spacing w:after="0"/>
              <w:rPr>
                <w:sz w:val="5"/>
                <w:szCs w:val="5"/>
                <w:color w:val="auto"/>
              </w:rPr>
            </w:pPr>
          </w:p>
        </w:tc>
        <w:tc>
          <w:tcPr>
            <w:tcW w:w="70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(420)</w:t>
            </w:r>
          </w:p>
        </w:tc>
        <w:tc>
          <w:tcPr>
            <w:tcW w:w="40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99"/>
              </w:rPr>
              <w:t>10%</w:t>
            </w: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(810)</w:t>
            </w:r>
          </w:p>
        </w:tc>
        <w:tc>
          <w:tcPr>
            <w:tcW w:w="42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78"/>
              </w:rPr>
              <w:t>5%</w:t>
            </w: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(1,085)</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i w:val="1"/>
                <w:iCs w:val="1"/>
                <w:color w:val="auto"/>
                <w:w w:val="98"/>
              </w:rPr>
              <w:t>9%</w:t>
            </w:r>
          </w:p>
        </w:tc>
        <w:tc>
          <w:tcPr>
            <w:tcW w:w="700" w:type="dxa"/>
            <w:vAlign w:val="bottom"/>
            <w:gridSpan w:val="2"/>
            <w:shd w:val="clear" w:color="auto" w:fill="CCEEFF"/>
          </w:tcPr>
          <w:p>
            <w:pPr>
              <w:jc w:val="right"/>
              <w:ind w:right="31"/>
              <w:spacing w:after="0" w:line="68" w:lineRule="exact"/>
              <w:rPr>
                <w:sz w:val="20"/>
                <w:szCs w:val="20"/>
                <w:color w:val="auto"/>
              </w:rPr>
            </w:pPr>
            <w:r>
              <w:rPr>
                <w:rFonts w:ascii="Arial" w:cs="Arial" w:eastAsia="Arial" w:hAnsi="Arial"/>
                <w:sz w:val="7"/>
                <w:szCs w:val="7"/>
                <w:color w:val="auto"/>
              </w:rPr>
              <w:t>35%</w:t>
            </w:r>
          </w:p>
        </w:tc>
        <w:tc>
          <w:tcPr>
            <w:tcW w:w="620" w:type="dxa"/>
            <w:vAlign w:val="bottom"/>
            <w:shd w:val="clear" w:color="auto" w:fill="CCEEFF"/>
          </w:tcPr>
          <w:p>
            <w:pPr>
              <w:jc w:val="right"/>
              <w:ind w:right="49"/>
              <w:spacing w:after="0" w:line="68" w:lineRule="exact"/>
              <w:rPr>
                <w:sz w:val="20"/>
                <w:szCs w:val="20"/>
                <w:color w:val="auto"/>
              </w:rPr>
            </w:pPr>
            <w:r>
              <w:rPr>
                <w:rFonts w:ascii="Arial" w:cs="Arial" w:eastAsia="Arial" w:hAnsi="Arial"/>
                <w:sz w:val="7"/>
                <w:szCs w:val="7"/>
                <w:color w:val="auto"/>
              </w:rPr>
              <w:t>25%</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2580" w:type="dxa"/>
            <w:vAlign w:val="bottom"/>
          </w:tcPr>
          <w:p>
            <w:pPr>
              <w:ind w:left="80"/>
              <w:spacing w:after="0" w:line="68" w:lineRule="exact"/>
              <w:rPr>
                <w:sz w:val="20"/>
                <w:szCs w:val="20"/>
                <w:color w:val="auto"/>
              </w:rPr>
            </w:pPr>
            <w:r>
              <w:rPr>
                <w:rFonts w:ascii="Arial" w:cs="Arial" w:eastAsia="Arial" w:hAnsi="Arial"/>
                <w:sz w:val="7"/>
                <w:szCs w:val="7"/>
                <w:color w:val="auto"/>
              </w:rPr>
              <w:t>Occupancy expense</w:t>
            </w:r>
          </w:p>
        </w:tc>
        <w:tc>
          <w:tcPr>
            <w:tcW w:w="100" w:type="dxa"/>
            <w:vAlign w:val="bottom"/>
          </w:tcPr>
          <w:p>
            <w:pPr>
              <w:spacing w:after="0"/>
              <w:rPr>
                <w:sz w:val="5"/>
                <w:szCs w:val="5"/>
                <w:color w:val="auto"/>
              </w:rPr>
            </w:pP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(108)</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8"/>
              </w:rPr>
              <w:t>2%</w:t>
            </w:r>
          </w:p>
        </w:tc>
        <w:tc>
          <w:tcPr>
            <w:tcW w:w="80" w:type="dxa"/>
            <w:vAlign w:val="bottom"/>
          </w:tcPr>
          <w:p>
            <w:pPr>
              <w:spacing w:after="0"/>
              <w:rPr>
                <w:sz w:val="5"/>
                <w:szCs w:val="5"/>
                <w:color w:val="auto"/>
              </w:rPr>
            </w:pP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(116)</w:t>
            </w:r>
          </w:p>
        </w:tc>
        <w:tc>
          <w:tcPr>
            <w:tcW w:w="40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98"/>
              </w:rPr>
              <w:t>3%</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(309)</w:t>
            </w:r>
          </w:p>
        </w:tc>
        <w:tc>
          <w:tcPr>
            <w:tcW w:w="42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78"/>
              </w:rPr>
              <w:t>2%</w:t>
            </w:r>
          </w:p>
        </w:tc>
        <w:tc>
          <w:tcPr>
            <w:tcW w:w="100" w:type="dxa"/>
            <w:vAlign w:val="bottom"/>
          </w:tcPr>
          <w:p>
            <w:pPr>
              <w:spacing w:after="0"/>
              <w:rPr>
                <w:sz w:val="5"/>
                <w:szCs w:val="5"/>
                <w:color w:val="auto"/>
              </w:rPr>
            </w:pPr>
          </w:p>
        </w:tc>
        <w:tc>
          <w:tcPr>
            <w:tcW w:w="68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(318)</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8"/>
              </w:rPr>
              <w:t>3%</w:t>
            </w:r>
          </w:p>
        </w:tc>
        <w:tc>
          <w:tcPr>
            <w:tcW w:w="700" w:type="dxa"/>
            <w:vAlign w:val="bottom"/>
            <w:gridSpan w:val="2"/>
          </w:tcPr>
          <w:p>
            <w:pPr>
              <w:jc w:val="right"/>
              <w:ind w:right="31"/>
              <w:spacing w:after="0" w:line="68" w:lineRule="exact"/>
              <w:rPr>
                <w:sz w:val="20"/>
                <w:szCs w:val="20"/>
                <w:color w:val="auto"/>
              </w:rPr>
            </w:pPr>
            <w:r>
              <w:rPr>
                <w:rFonts w:ascii="Arial" w:cs="Arial" w:eastAsia="Arial" w:hAnsi="Arial"/>
                <w:sz w:val="7"/>
                <w:szCs w:val="7"/>
                <w:color w:val="auto"/>
              </w:rPr>
              <w:t>7%</w:t>
            </w:r>
          </w:p>
        </w:tc>
        <w:tc>
          <w:tcPr>
            <w:tcW w:w="620" w:type="dxa"/>
            <w:vAlign w:val="bottom"/>
          </w:tcPr>
          <w:p>
            <w:pPr>
              <w:jc w:val="right"/>
              <w:ind w:right="49"/>
              <w:spacing w:after="0" w:line="68" w:lineRule="exact"/>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55"/>
        </w:trPr>
        <w:tc>
          <w:tcPr>
            <w:tcW w:w="154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(381)</w:t>
            </w: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jc w:val="center"/>
              <w:ind w:right="49"/>
              <w:spacing w:after="0" w:line="55" w:lineRule="exact"/>
              <w:rPr>
                <w:sz w:val="20"/>
                <w:szCs w:val="20"/>
                <w:color w:val="auto"/>
              </w:rPr>
            </w:pPr>
            <w:r>
              <w:rPr>
                <w:rFonts w:ascii="Arial" w:cs="Arial" w:eastAsia="Arial" w:hAnsi="Arial"/>
                <w:sz w:val="6"/>
                <w:szCs w:val="6"/>
                <w:b w:val="1"/>
                <w:bCs w:val="1"/>
                <w:i w:val="1"/>
                <w:iCs w:val="1"/>
                <w:color w:val="auto"/>
              </w:rPr>
              <w:t>8%</w:t>
            </w:r>
          </w:p>
        </w:tc>
        <w:tc>
          <w:tcPr>
            <w:tcW w:w="8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(536)</w:t>
            </w: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rPr>
              <w:t>13%</w:t>
            </w: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(1,119)</w:t>
            </w: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w w:val="91"/>
              </w:rPr>
              <w:t>7%</w:t>
            </w:r>
          </w:p>
        </w:tc>
        <w:tc>
          <w:tcPr>
            <w:tcW w:w="1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(1,403)</w:t>
            </w: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w w:val="99"/>
              </w:rPr>
              <w:t>11%</w:t>
            </w:r>
          </w:p>
        </w:tc>
        <w:tc>
          <w:tcPr>
            <w:tcW w:w="700" w:type="dxa"/>
            <w:vAlign w:val="bottom"/>
            <w:tcBorders>
              <w:top w:val="single" w:sz="8" w:color="CCEEFF"/>
            </w:tcBorders>
            <w:gridSpan w:val="2"/>
            <w:shd w:val="clear" w:color="auto" w:fill="CCEEFF"/>
          </w:tcPr>
          <w:p>
            <w:pPr>
              <w:jc w:val="right"/>
              <w:ind w:right="31"/>
              <w:spacing w:after="0" w:line="55" w:lineRule="exact"/>
              <w:rPr>
                <w:sz w:val="20"/>
                <w:szCs w:val="20"/>
                <w:color w:val="auto"/>
              </w:rPr>
            </w:pPr>
            <w:r>
              <w:rPr>
                <w:rFonts w:ascii="Arial" w:cs="Arial" w:eastAsia="Arial" w:hAnsi="Arial"/>
                <w:sz w:val="6"/>
                <w:szCs w:val="6"/>
                <w:b w:val="1"/>
                <w:bCs w:val="1"/>
                <w:color w:val="auto"/>
              </w:rPr>
              <w:t>29%</w:t>
            </w:r>
          </w:p>
        </w:tc>
        <w:tc>
          <w:tcPr>
            <w:tcW w:w="620" w:type="dxa"/>
            <w:vAlign w:val="bottom"/>
            <w:tcBorders>
              <w:top w:val="single" w:sz="8" w:color="CCEEFF"/>
            </w:tcBorders>
            <w:shd w:val="clear" w:color="auto" w:fill="CCEEFF"/>
          </w:tcPr>
          <w:p>
            <w:pPr>
              <w:jc w:val="right"/>
              <w:ind w:right="49"/>
              <w:spacing w:after="0" w:line="55" w:lineRule="exact"/>
              <w:rPr>
                <w:sz w:val="20"/>
                <w:szCs w:val="20"/>
                <w:color w:val="auto"/>
              </w:rPr>
            </w:pPr>
            <w:r>
              <w:rPr>
                <w:rFonts w:ascii="Arial" w:cs="Arial" w:eastAsia="Arial" w:hAnsi="Arial"/>
                <w:sz w:val="6"/>
                <w:szCs w:val="6"/>
                <w:b w:val="1"/>
                <w:bCs w:val="1"/>
                <w:color w:val="auto"/>
              </w:rPr>
              <w:t>20%</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540" w:type="dxa"/>
            <w:vAlign w:val="bottom"/>
            <w:tcBorders>
              <w:bottom w:val="single" w:sz="8" w:color="CCEEFF"/>
            </w:tcBorders>
            <w:shd w:val="clear" w:color="auto" w:fill="CCEEFF"/>
          </w:tcPr>
          <w:p>
            <w:pPr>
              <w:ind w:left="200"/>
              <w:spacing w:after="0" w:line="48" w:lineRule="exact"/>
              <w:rPr>
                <w:sz w:val="20"/>
                <w:szCs w:val="20"/>
                <w:color w:val="auto"/>
              </w:rPr>
            </w:pPr>
            <w:r>
              <w:rPr>
                <w:rFonts w:ascii="Arial" w:cs="Arial" w:eastAsia="Arial" w:hAnsi="Arial"/>
                <w:sz w:val="5"/>
                <w:szCs w:val="5"/>
                <w:b w:val="1"/>
                <w:bCs w:val="1"/>
                <w:color w:val="auto"/>
              </w:rPr>
              <w:t>Total operating expense</w:t>
            </w:r>
          </w:p>
        </w:tc>
        <w:tc>
          <w:tcPr>
            <w:tcW w:w="25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jc w:val="right"/>
              <w:ind w:right="38"/>
              <w:spacing w:after="0" w:line="48" w:lineRule="exact"/>
              <w:rPr>
                <w:sz w:val="20"/>
                <w:szCs w:val="20"/>
                <w:color w:val="auto"/>
              </w:rPr>
            </w:pPr>
            <w:r>
              <w:rPr>
                <w:rFonts w:ascii="Arial" w:cs="Arial" w:eastAsia="Arial" w:hAnsi="Arial"/>
                <w:sz w:val="5"/>
                <w:szCs w:val="5"/>
                <w:b w:val="1"/>
                <w:bCs w:val="1"/>
                <w:color w:val="auto"/>
                <w:w w:val="70"/>
              </w:rPr>
              <w:t>$</w:t>
            </w:r>
          </w:p>
        </w:tc>
        <w:tc>
          <w:tcPr>
            <w:tcW w:w="640" w:type="dxa"/>
            <w:vAlign w:val="bottom"/>
            <w:tcBorders>
              <w:bottom w:val="single" w:sz="8" w:color="auto"/>
            </w:tcBorders>
            <w:shd w:val="clear" w:color="auto" w:fill="CCEEFF"/>
          </w:tcPr>
          <w:p>
            <w:pPr>
              <w:jc w:val="right"/>
              <w:spacing w:after="0" w:line="48" w:lineRule="exact"/>
              <w:rPr>
                <w:sz w:val="20"/>
                <w:szCs w:val="20"/>
                <w:color w:val="auto"/>
              </w:rPr>
            </w:pPr>
            <w:r>
              <w:rPr>
                <w:rFonts w:ascii="Arial" w:cs="Arial" w:eastAsia="Arial" w:hAnsi="Arial"/>
                <w:sz w:val="5"/>
                <w:szCs w:val="5"/>
                <w:b w:val="1"/>
                <w:bCs w:val="1"/>
                <w:color w:val="auto"/>
              </w:rPr>
              <w:t>(2,282)</w:t>
            </w:r>
          </w:p>
        </w:tc>
        <w:tc>
          <w:tcPr>
            <w:tcW w:w="60" w:type="dxa"/>
            <w:vAlign w:val="bottom"/>
            <w:tcBorders>
              <w:bottom w:val="single" w:sz="8" w:color="CCEEFF"/>
            </w:tcBorders>
            <w:shd w:val="clear" w:color="auto" w:fill="CCEEFF"/>
          </w:tcPr>
          <w:p>
            <w:pPr>
              <w:spacing w:after="0"/>
              <w:rPr>
                <w:sz w:val="7"/>
                <w:szCs w:val="7"/>
                <w:color w:val="auto"/>
              </w:rPr>
            </w:pPr>
          </w:p>
        </w:tc>
        <w:tc>
          <w:tcPr>
            <w:tcW w:w="420" w:type="dxa"/>
            <w:vAlign w:val="bottom"/>
            <w:tcBorders>
              <w:bottom w:val="single" w:sz="8" w:color="CCEEFF"/>
            </w:tcBorders>
            <w:shd w:val="clear" w:color="auto" w:fill="CCEEFF"/>
          </w:tcPr>
          <w:p>
            <w:pPr>
              <w:jc w:val="center"/>
              <w:ind w:right="49"/>
              <w:spacing w:after="0" w:line="48" w:lineRule="exact"/>
              <w:rPr>
                <w:sz w:val="20"/>
                <w:szCs w:val="20"/>
                <w:color w:val="auto"/>
              </w:rPr>
            </w:pPr>
            <w:r>
              <w:rPr>
                <w:rFonts w:ascii="Arial" w:cs="Arial" w:eastAsia="Arial" w:hAnsi="Arial"/>
                <w:sz w:val="5"/>
                <w:szCs w:val="5"/>
                <w:b w:val="1"/>
                <w:bCs w:val="1"/>
                <w:i w:val="1"/>
                <w:iCs w:val="1"/>
                <w:color w:val="auto"/>
              </w:rPr>
              <w:t>45%</w:t>
            </w:r>
          </w:p>
        </w:tc>
        <w:tc>
          <w:tcPr>
            <w:tcW w:w="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
                <w:szCs w:val="1"/>
                <w:b w:val="1"/>
                <w:bCs w:val="1"/>
                <w:color w:val="auto"/>
                <w:w w:val="4294967288"/>
              </w:rPr>
              <w:t>$</w:t>
            </w:r>
          </w:p>
        </w:tc>
        <w:tc>
          <w:tcPr>
            <w:tcW w:w="640" w:type="dxa"/>
            <w:vAlign w:val="bottom"/>
            <w:tcBorders>
              <w:bottom w:val="single" w:sz="8" w:color="auto"/>
            </w:tcBorders>
            <w:shd w:val="clear" w:color="auto" w:fill="CCEEFF"/>
          </w:tcPr>
          <w:p>
            <w:pPr>
              <w:jc w:val="right"/>
              <w:spacing w:after="0" w:line="48" w:lineRule="exact"/>
              <w:rPr>
                <w:sz w:val="20"/>
                <w:szCs w:val="20"/>
                <w:color w:val="auto"/>
              </w:rPr>
            </w:pPr>
            <w:r>
              <w:rPr>
                <w:rFonts w:ascii="Arial" w:cs="Arial" w:eastAsia="Arial" w:hAnsi="Arial"/>
                <w:sz w:val="5"/>
                <w:szCs w:val="5"/>
                <w:b w:val="1"/>
                <w:bCs w:val="1"/>
                <w:color w:val="auto"/>
              </w:rPr>
              <w:t>(2,354)</w:t>
            </w:r>
          </w:p>
        </w:tc>
        <w:tc>
          <w:tcPr>
            <w:tcW w:w="6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jc w:val="center"/>
              <w:ind w:right="29"/>
              <w:spacing w:after="0" w:line="48" w:lineRule="exact"/>
              <w:rPr>
                <w:sz w:val="20"/>
                <w:szCs w:val="20"/>
                <w:color w:val="auto"/>
              </w:rPr>
            </w:pPr>
            <w:r>
              <w:rPr>
                <w:rFonts w:ascii="Arial" w:cs="Arial" w:eastAsia="Arial" w:hAnsi="Arial"/>
                <w:sz w:val="5"/>
                <w:szCs w:val="5"/>
                <w:b w:val="1"/>
                <w:bCs w:val="1"/>
                <w:i w:val="1"/>
                <w:iCs w:val="1"/>
                <w:color w:val="auto"/>
              </w:rPr>
              <w:t>58%</w:t>
            </w:r>
          </w:p>
        </w:tc>
        <w:tc>
          <w:tcPr>
            <w:tcW w:w="3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jc w:val="right"/>
              <w:ind w:right="38"/>
              <w:spacing w:after="0" w:line="48" w:lineRule="exact"/>
              <w:rPr>
                <w:sz w:val="20"/>
                <w:szCs w:val="20"/>
                <w:color w:val="auto"/>
              </w:rPr>
            </w:pPr>
            <w:r>
              <w:rPr>
                <w:rFonts w:ascii="Arial" w:cs="Arial" w:eastAsia="Arial" w:hAnsi="Arial"/>
                <w:sz w:val="5"/>
                <w:szCs w:val="5"/>
                <w:b w:val="1"/>
                <w:bCs w:val="1"/>
                <w:color w:val="auto"/>
                <w:w w:val="70"/>
              </w:rPr>
              <w:t>$</w:t>
            </w:r>
          </w:p>
        </w:tc>
        <w:tc>
          <w:tcPr>
            <w:tcW w:w="660" w:type="dxa"/>
            <w:vAlign w:val="bottom"/>
            <w:tcBorders>
              <w:bottom w:val="single" w:sz="8" w:color="auto"/>
            </w:tcBorders>
            <w:shd w:val="clear" w:color="auto" w:fill="CCEEFF"/>
          </w:tcPr>
          <w:p>
            <w:pPr>
              <w:jc w:val="right"/>
              <w:spacing w:after="0" w:line="48" w:lineRule="exact"/>
              <w:rPr>
                <w:sz w:val="20"/>
                <w:szCs w:val="20"/>
                <w:color w:val="auto"/>
              </w:rPr>
            </w:pPr>
            <w:r>
              <w:rPr>
                <w:rFonts w:ascii="Arial" w:cs="Arial" w:eastAsia="Arial" w:hAnsi="Arial"/>
                <w:sz w:val="5"/>
                <w:szCs w:val="5"/>
                <w:b w:val="1"/>
                <w:bCs w:val="1"/>
                <w:color w:val="auto"/>
              </w:rPr>
              <w:t>(6,600)</w:t>
            </w:r>
          </w:p>
        </w:tc>
        <w:tc>
          <w:tcPr>
            <w:tcW w:w="60" w:type="dxa"/>
            <w:vAlign w:val="bottom"/>
            <w:tcBorders>
              <w:bottom w:val="single" w:sz="8" w:color="CCEEFF"/>
            </w:tcBorders>
            <w:shd w:val="clear" w:color="auto" w:fill="CCEEFF"/>
          </w:tcPr>
          <w:p>
            <w:pPr>
              <w:spacing w:after="0"/>
              <w:rPr>
                <w:sz w:val="7"/>
                <w:szCs w:val="7"/>
                <w:color w:val="auto"/>
              </w:rPr>
            </w:pPr>
          </w:p>
        </w:tc>
        <w:tc>
          <w:tcPr>
            <w:tcW w:w="420" w:type="dxa"/>
            <w:vAlign w:val="bottom"/>
            <w:tcBorders>
              <w:bottom w:val="single" w:sz="8" w:color="CCEEFF"/>
            </w:tcBorders>
            <w:shd w:val="clear" w:color="auto" w:fill="CCEEFF"/>
          </w:tcPr>
          <w:p>
            <w:pPr>
              <w:jc w:val="center"/>
              <w:ind w:right="29"/>
              <w:spacing w:after="0" w:line="48" w:lineRule="exact"/>
              <w:rPr>
                <w:sz w:val="20"/>
                <w:szCs w:val="20"/>
                <w:color w:val="auto"/>
              </w:rPr>
            </w:pPr>
            <w:r>
              <w:rPr>
                <w:rFonts w:ascii="Arial" w:cs="Arial" w:eastAsia="Arial" w:hAnsi="Arial"/>
                <w:sz w:val="5"/>
                <w:szCs w:val="5"/>
                <w:b w:val="1"/>
                <w:bCs w:val="1"/>
                <w:i w:val="1"/>
                <w:iCs w:val="1"/>
                <w:color w:val="auto"/>
              </w:rPr>
              <w:t>43%</w:t>
            </w:r>
          </w:p>
        </w:tc>
        <w:tc>
          <w:tcPr>
            <w:tcW w:w="100" w:type="dxa"/>
            <w:vAlign w:val="bottom"/>
            <w:tcBorders>
              <w:bottom w:val="single" w:sz="8" w:color="auto"/>
            </w:tcBorders>
            <w:shd w:val="clear" w:color="auto" w:fill="CCEEFF"/>
          </w:tcPr>
          <w:p>
            <w:pPr>
              <w:jc w:val="right"/>
              <w:ind w:right="38"/>
              <w:spacing w:after="0" w:line="48" w:lineRule="exact"/>
              <w:rPr>
                <w:sz w:val="20"/>
                <w:szCs w:val="20"/>
                <w:color w:val="auto"/>
              </w:rPr>
            </w:pPr>
            <w:r>
              <w:rPr>
                <w:rFonts w:ascii="Arial" w:cs="Arial" w:eastAsia="Arial" w:hAnsi="Arial"/>
                <w:sz w:val="5"/>
                <w:szCs w:val="5"/>
                <w:b w:val="1"/>
                <w:bCs w:val="1"/>
                <w:color w:val="auto"/>
                <w:w w:val="70"/>
              </w:rPr>
              <w:t>$</w:t>
            </w:r>
          </w:p>
        </w:tc>
        <w:tc>
          <w:tcPr>
            <w:tcW w:w="620" w:type="dxa"/>
            <w:vAlign w:val="bottom"/>
            <w:tcBorders>
              <w:bottom w:val="single" w:sz="8" w:color="auto"/>
            </w:tcBorders>
            <w:shd w:val="clear" w:color="auto" w:fill="CCEEFF"/>
          </w:tcPr>
          <w:p>
            <w:pPr>
              <w:jc w:val="right"/>
              <w:spacing w:after="0" w:line="48" w:lineRule="exact"/>
              <w:rPr>
                <w:sz w:val="20"/>
                <w:szCs w:val="20"/>
                <w:color w:val="auto"/>
              </w:rPr>
            </w:pPr>
            <w:r>
              <w:rPr>
                <w:rFonts w:ascii="Arial" w:cs="Arial" w:eastAsia="Arial" w:hAnsi="Arial"/>
                <w:sz w:val="5"/>
                <w:szCs w:val="5"/>
                <w:b w:val="1"/>
                <w:bCs w:val="1"/>
                <w:color w:val="auto"/>
              </w:rPr>
              <w:t>(6,715)</w:t>
            </w:r>
          </w:p>
        </w:tc>
        <w:tc>
          <w:tcPr>
            <w:tcW w:w="60" w:type="dxa"/>
            <w:vAlign w:val="bottom"/>
            <w:tcBorders>
              <w:bottom w:val="single" w:sz="8" w:color="CCEEFF"/>
            </w:tcBorders>
            <w:shd w:val="clear" w:color="auto" w:fill="CCEEFF"/>
          </w:tcPr>
          <w:p>
            <w:pPr>
              <w:spacing w:after="0"/>
              <w:rPr>
                <w:sz w:val="7"/>
                <w:szCs w:val="7"/>
                <w:color w:val="auto"/>
              </w:rPr>
            </w:pPr>
          </w:p>
        </w:tc>
        <w:tc>
          <w:tcPr>
            <w:tcW w:w="420" w:type="dxa"/>
            <w:vAlign w:val="bottom"/>
            <w:tcBorders>
              <w:bottom w:val="single" w:sz="8" w:color="CCEEFF"/>
            </w:tcBorders>
            <w:shd w:val="clear" w:color="auto" w:fill="CCEEFF"/>
          </w:tcPr>
          <w:p>
            <w:pPr>
              <w:jc w:val="center"/>
              <w:ind w:right="29"/>
              <w:spacing w:after="0" w:line="48" w:lineRule="exact"/>
              <w:rPr>
                <w:sz w:val="20"/>
                <w:szCs w:val="20"/>
                <w:color w:val="auto"/>
              </w:rPr>
            </w:pPr>
            <w:r>
              <w:rPr>
                <w:rFonts w:ascii="Arial" w:cs="Arial" w:eastAsia="Arial" w:hAnsi="Arial"/>
                <w:sz w:val="5"/>
                <w:szCs w:val="5"/>
                <w:b w:val="1"/>
                <w:bCs w:val="1"/>
                <w:i w:val="1"/>
                <w:iCs w:val="1"/>
                <w:color w:val="auto"/>
              </w:rPr>
              <w:t>55%</w:t>
            </w:r>
          </w:p>
        </w:tc>
        <w:tc>
          <w:tcPr>
            <w:tcW w:w="700" w:type="dxa"/>
            <w:vAlign w:val="bottom"/>
            <w:tcBorders>
              <w:bottom w:val="single" w:sz="8" w:color="CCEEFF"/>
            </w:tcBorders>
            <w:gridSpan w:val="2"/>
            <w:shd w:val="clear" w:color="auto" w:fill="CCEEFF"/>
          </w:tcPr>
          <w:p>
            <w:pPr>
              <w:jc w:val="right"/>
              <w:ind w:right="31"/>
              <w:spacing w:after="0" w:line="48" w:lineRule="exact"/>
              <w:rPr>
                <w:sz w:val="20"/>
                <w:szCs w:val="20"/>
                <w:color w:val="auto"/>
              </w:rPr>
            </w:pPr>
            <w:r>
              <w:rPr>
                <w:rFonts w:ascii="Arial" w:cs="Arial" w:eastAsia="Arial" w:hAnsi="Arial"/>
                <w:sz w:val="5"/>
                <w:szCs w:val="5"/>
                <w:b w:val="1"/>
                <w:bCs w:val="1"/>
                <w:color w:val="auto"/>
              </w:rPr>
              <w:t>3%</w:t>
            </w:r>
          </w:p>
        </w:tc>
        <w:tc>
          <w:tcPr>
            <w:tcW w:w="620" w:type="dxa"/>
            <w:vAlign w:val="bottom"/>
            <w:tcBorders>
              <w:bottom w:val="single" w:sz="8" w:color="CCEEFF"/>
            </w:tcBorders>
            <w:shd w:val="clear" w:color="auto" w:fill="CCEEFF"/>
          </w:tcPr>
          <w:p>
            <w:pPr>
              <w:jc w:val="right"/>
              <w:ind w:right="49"/>
              <w:spacing w:after="0" w:line="48" w:lineRule="exact"/>
              <w:rPr>
                <w:sz w:val="20"/>
                <w:szCs w:val="20"/>
                <w:color w:val="auto"/>
              </w:rPr>
            </w:pPr>
            <w:r>
              <w:rPr>
                <w:rFonts w:ascii="Arial" w:cs="Arial" w:eastAsia="Arial" w:hAnsi="Arial"/>
                <w:sz w:val="5"/>
                <w:szCs w:val="5"/>
                <w:b w:val="1"/>
                <w:bCs w:val="1"/>
                <w:color w:val="auto"/>
              </w:rPr>
              <w:t>2%</w:t>
            </w:r>
          </w:p>
        </w:tc>
        <w:tc>
          <w:tcPr>
            <w:tcW w:w="0" w:type="dxa"/>
            <w:vAlign w:val="bottom"/>
          </w:tcPr>
          <w:p>
            <w:pPr>
              <w:spacing w:after="0"/>
              <w:rPr>
                <w:sz w:val="1"/>
                <w:szCs w:val="1"/>
                <w:color w:val="auto"/>
              </w:rPr>
            </w:pPr>
          </w:p>
        </w:tc>
      </w:tr>
      <w:tr>
        <w:trPr>
          <w:trHeight w:val="43"/>
        </w:trPr>
        <w:tc>
          <w:tcPr>
            <w:tcW w:w="4120" w:type="dxa"/>
            <w:vAlign w:val="bottom"/>
            <w:gridSpan w:val="2"/>
          </w:tcPr>
          <w:p>
            <w:pPr>
              <w:spacing w:after="0"/>
              <w:rPr>
                <w:sz w:val="20"/>
                <w:szCs w:val="20"/>
                <w:color w:val="auto"/>
              </w:rPr>
            </w:pPr>
            <w:r>
              <w:rPr>
                <w:rFonts w:ascii="Arial" w:cs="Arial" w:eastAsia="Arial" w:hAnsi="Arial"/>
                <w:sz w:val="3"/>
                <w:szCs w:val="3"/>
                <w:b w:val="1"/>
                <w:bCs w:val="1"/>
                <w:color w:val="auto"/>
              </w:rPr>
              <w:t>DEPRECIATION, AMORTIZATION, GENERAL AND ADMINISTRATIVE EXPENSE</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1540" w:type="dxa"/>
            <w:vAlign w:val="bottom"/>
            <w:shd w:val="clear" w:color="auto" w:fill="CCEEFF"/>
          </w:tcPr>
          <w:p>
            <w:pPr>
              <w:ind w:left="200"/>
              <w:spacing w:after="0" w:line="68" w:lineRule="exact"/>
              <w:rPr>
                <w:sz w:val="20"/>
                <w:szCs w:val="20"/>
                <w:color w:val="auto"/>
              </w:rPr>
            </w:pPr>
            <w:r>
              <w:rPr>
                <w:rFonts w:ascii="Arial" w:cs="Arial" w:eastAsia="Arial" w:hAnsi="Arial"/>
                <w:sz w:val="7"/>
                <w:szCs w:val="7"/>
                <w:b w:val="1"/>
                <w:bCs w:val="1"/>
                <w:color w:val="auto"/>
              </w:rPr>
              <w:t>United States</w:t>
            </w:r>
          </w:p>
        </w:tc>
        <w:tc>
          <w:tcPr>
            <w:tcW w:w="2580" w:type="dxa"/>
            <w:vAlign w:val="bottom"/>
            <w:shd w:val="clear" w:color="auto" w:fill="CCEEFF"/>
          </w:tcPr>
          <w:p>
            <w:pPr>
              <w:ind w:left="80"/>
              <w:spacing w:after="0" w:line="68" w:lineRule="exact"/>
              <w:rPr>
                <w:sz w:val="20"/>
                <w:szCs w:val="20"/>
                <w:color w:val="auto"/>
              </w:rPr>
            </w:pPr>
            <w:r>
              <w:rPr>
                <w:rFonts w:ascii="Arial" w:cs="Arial" w:eastAsia="Arial" w:hAnsi="Arial"/>
                <w:sz w:val="7"/>
                <w:szCs w:val="7"/>
                <w:color w:val="auto"/>
              </w:rPr>
              <w:t>Depreciation and amortization</w:t>
            </w:r>
          </w:p>
        </w:tc>
        <w:tc>
          <w:tcPr>
            <w:tcW w:w="100" w:type="dxa"/>
            <w:vAlign w:val="bottom"/>
            <w:shd w:val="clear" w:color="auto" w:fill="CCEEFF"/>
          </w:tcPr>
          <w:p>
            <w:pPr>
              <w:jc w:val="right"/>
              <w:ind w:right="38"/>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(824)</w:t>
            </w: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i w:val="1"/>
                <w:iCs w:val="1"/>
                <w:color w:val="auto"/>
                <w:w w:val="99"/>
              </w:rPr>
              <w:t>16%</w:t>
            </w:r>
          </w:p>
        </w:tc>
        <w:tc>
          <w:tcPr>
            <w:tcW w:w="80" w:type="dxa"/>
            <w:vAlign w:val="bottom"/>
            <w:shd w:val="clear" w:color="auto" w:fill="CCEEFF"/>
          </w:tcPr>
          <w:p>
            <w:pPr>
              <w:jc w:val="right"/>
              <w:ind w:right="54"/>
              <w:spacing w:after="0"/>
              <w:rPr>
                <w:sz w:val="20"/>
                <w:szCs w:val="20"/>
                <w:color w:val="auto"/>
              </w:rPr>
            </w:pPr>
            <w:r>
              <w:rPr>
                <w:rFonts w:ascii="Arial" w:cs="Arial" w:eastAsia="Arial" w:hAnsi="Arial"/>
                <w:sz w:val="1"/>
                <w:szCs w:val="1"/>
                <w:color w:val="auto"/>
                <w:w w:val="4294967288"/>
              </w:rPr>
              <w:t>$</w:t>
            </w:r>
          </w:p>
        </w:tc>
        <w:tc>
          <w:tcPr>
            <w:tcW w:w="70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(745)</w:t>
            </w:r>
          </w:p>
        </w:tc>
        <w:tc>
          <w:tcPr>
            <w:tcW w:w="40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99"/>
              </w:rPr>
              <w:t>18%</w:t>
            </w: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jc w:val="right"/>
              <w:ind w:right="38"/>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(2,358)</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85"/>
              </w:rPr>
              <w:t>15%</w:t>
            </w:r>
          </w:p>
        </w:tc>
        <w:tc>
          <w:tcPr>
            <w:tcW w:w="100" w:type="dxa"/>
            <w:vAlign w:val="bottom"/>
            <w:shd w:val="clear" w:color="auto" w:fill="CCEEFF"/>
          </w:tcPr>
          <w:p>
            <w:pPr>
              <w:jc w:val="right"/>
              <w:ind w:right="38"/>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(2,243)</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85"/>
              </w:rPr>
              <w:t>18%</w:t>
            </w:r>
          </w:p>
        </w:tc>
        <w:tc>
          <w:tcPr>
            <w:tcW w:w="700" w:type="dxa"/>
            <w:vAlign w:val="bottom"/>
            <w:gridSpan w:val="2"/>
            <w:shd w:val="clear" w:color="auto" w:fill="CCEEFF"/>
          </w:tcPr>
          <w:p>
            <w:pPr>
              <w:jc w:val="right"/>
              <w:ind w:right="31"/>
              <w:spacing w:after="0" w:line="68" w:lineRule="exact"/>
              <w:rPr>
                <w:sz w:val="20"/>
                <w:szCs w:val="20"/>
                <w:color w:val="auto"/>
              </w:rPr>
            </w:pPr>
            <w:r>
              <w:rPr>
                <w:rFonts w:ascii="Arial" w:cs="Arial" w:eastAsia="Arial" w:hAnsi="Arial"/>
                <w:sz w:val="7"/>
                <w:szCs w:val="7"/>
                <w:color w:val="auto"/>
              </w:rPr>
              <w:t>(11)%</w:t>
            </w:r>
          </w:p>
        </w:tc>
        <w:tc>
          <w:tcPr>
            <w:tcW w:w="620" w:type="dxa"/>
            <w:vAlign w:val="bottom"/>
            <w:shd w:val="clear" w:color="auto" w:fill="CCEEFF"/>
          </w:tcPr>
          <w:p>
            <w:pPr>
              <w:jc w:val="right"/>
              <w:ind w:right="49"/>
              <w:spacing w:after="0" w:line="68" w:lineRule="exact"/>
              <w:rPr>
                <w:sz w:val="20"/>
                <w:szCs w:val="20"/>
                <w:color w:val="auto"/>
              </w:rPr>
            </w:pPr>
            <w:r>
              <w:rPr>
                <w:rFonts w:ascii="Arial" w:cs="Arial" w:eastAsia="Arial" w:hAnsi="Arial"/>
                <w:sz w:val="7"/>
                <w:szCs w:val="7"/>
                <w:color w:val="auto"/>
              </w:rPr>
              <w:t>(5)%</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2580" w:type="dxa"/>
            <w:vAlign w:val="bottom"/>
          </w:tcPr>
          <w:p>
            <w:pPr>
              <w:ind w:left="80"/>
              <w:spacing w:after="0" w:line="68" w:lineRule="exact"/>
              <w:rPr>
                <w:sz w:val="20"/>
                <w:szCs w:val="20"/>
                <w:color w:val="auto"/>
              </w:rPr>
            </w:pPr>
            <w:r>
              <w:rPr>
                <w:rFonts w:ascii="Arial" w:cs="Arial" w:eastAsia="Arial" w:hAnsi="Arial"/>
                <w:sz w:val="7"/>
                <w:szCs w:val="7"/>
                <w:color w:val="auto"/>
              </w:rPr>
              <w:t>General and administrative expense</w:t>
            </w:r>
          </w:p>
        </w:tc>
        <w:tc>
          <w:tcPr>
            <w:tcW w:w="100" w:type="dxa"/>
            <w:vAlign w:val="bottom"/>
          </w:tcPr>
          <w:p>
            <w:pPr>
              <w:spacing w:after="0"/>
              <w:rPr>
                <w:sz w:val="5"/>
                <w:szCs w:val="5"/>
                <w:color w:val="auto"/>
              </w:rPr>
            </w:pP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(171)</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8"/>
              </w:rPr>
              <w:t>3%</w:t>
            </w:r>
          </w:p>
        </w:tc>
        <w:tc>
          <w:tcPr>
            <w:tcW w:w="80" w:type="dxa"/>
            <w:vAlign w:val="bottom"/>
          </w:tcPr>
          <w:p>
            <w:pPr>
              <w:spacing w:after="0"/>
              <w:rPr>
                <w:sz w:val="5"/>
                <w:szCs w:val="5"/>
                <w:color w:val="auto"/>
              </w:rPr>
            </w:pP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(211)</w:t>
            </w:r>
          </w:p>
        </w:tc>
        <w:tc>
          <w:tcPr>
            <w:tcW w:w="40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98"/>
              </w:rPr>
              <w:t>5%</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(507)</w:t>
            </w:r>
          </w:p>
        </w:tc>
        <w:tc>
          <w:tcPr>
            <w:tcW w:w="42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78"/>
              </w:rPr>
              <w:t>3%</w:t>
            </w:r>
          </w:p>
        </w:tc>
        <w:tc>
          <w:tcPr>
            <w:tcW w:w="100" w:type="dxa"/>
            <w:vAlign w:val="bottom"/>
          </w:tcPr>
          <w:p>
            <w:pPr>
              <w:spacing w:after="0"/>
              <w:rPr>
                <w:sz w:val="5"/>
                <w:szCs w:val="5"/>
                <w:color w:val="auto"/>
              </w:rPr>
            </w:pPr>
          </w:p>
        </w:tc>
        <w:tc>
          <w:tcPr>
            <w:tcW w:w="68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(643)</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8"/>
              </w:rPr>
              <w:t>5%</w:t>
            </w:r>
          </w:p>
        </w:tc>
        <w:tc>
          <w:tcPr>
            <w:tcW w:w="700" w:type="dxa"/>
            <w:vAlign w:val="bottom"/>
            <w:gridSpan w:val="2"/>
          </w:tcPr>
          <w:p>
            <w:pPr>
              <w:jc w:val="right"/>
              <w:ind w:right="31"/>
              <w:spacing w:after="0" w:line="68" w:lineRule="exact"/>
              <w:rPr>
                <w:sz w:val="20"/>
                <w:szCs w:val="20"/>
                <w:color w:val="auto"/>
              </w:rPr>
            </w:pPr>
            <w:r>
              <w:rPr>
                <w:rFonts w:ascii="Arial" w:cs="Arial" w:eastAsia="Arial" w:hAnsi="Arial"/>
                <w:sz w:val="7"/>
                <w:szCs w:val="7"/>
                <w:color w:val="auto"/>
              </w:rPr>
              <w:t>19%</w:t>
            </w:r>
          </w:p>
        </w:tc>
        <w:tc>
          <w:tcPr>
            <w:tcW w:w="620" w:type="dxa"/>
            <w:vAlign w:val="bottom"/>
          </w:tcPr>
          <w:p>
            <w:pPr>
              <w:jc w:val="right"/>
              <w:ind w:right="49"/>
              <w:spacing w:after="0" w:line="68" w:lineRule="exact"/>
              <w:rPr>
                <w:sz w:val="20"/>
                <w:szCs w:val="20"/>
                <w:color w:val="auto"/>
              </w:rPr>
            </w:pPr>
            <w:r>
              <w:rPr>
                <w:rFonts w:ascii="Arial" w:cs="Arial" w:eastAsia="Arial" w:hAnsi="Arial"/>
                <w:sz w:val="7"/>
                <w:szCs w:val="7"/>
                <w:color w:val="auto"/>
              </w:rPr>
              <w:t>21%</w:t>
            </w:r>
          </w:p>
        </w:tc>
        <w:tc>
          <w:tcPr>
            <w:tcW w:w="0" w:type="dxa"/>
            <w:vAlign w:val="bottom"/>
          </w:tcPr>
          <w:p>
            <w:pPr>
              <w:spacing w:after="0"/>
              <w:rPr>
                <w:sz w:val="1"/>
                <w:szCs w:val="1"/>
                <w:color w:val="auto"/>
              </w:rPr>
            </w:pPr>
          </w:p>
        </w:tc>
      </w:tr>
      <w:tr>
        <w:trPr>
          <w:trHeight w:val="55"/>
        </w:trPr>
        <w:tc>
          <w:tcPr>
            <w:tcW w:w="154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(995)</w:t>
            </w: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jc w:val="center"/>
              <w:ind w:right="49"/>
              <w:spacing w:after="0" w:line="55" w:lineRule="exact"/>
              <w:rPr>
                <w:sz w:val="20"/>
                <w:szCs w:val="20"/>
                <w:color w:val="auto"/>
              </w:rPr>
            </w:pPr>
            <w:r>
              <w:rPr>
                <w:rFonts w:ascii="Arial" w:cs="Arial" w:eastAsia="Arial" w:hAnsi="Arial"/>
                <w:sz w:val="6"/>
                <w:szCs w:val="6"/>
                <w:b w:val="1"/>
                <w:bCs w:val="1"/>
                <w:i w:val="1"/>
                <w:iCs w:val="1"/>
                <w:color w:val="auto"/>
              </w:rPr>
              <w:t>20%</w:t>
            </w:r>
          </w:p>
        </w:tc>
        <w:tc>
          <w:tcPr>
            <w:tcW w:w="8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(956)</w:t>
            </w: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rPr>
              <w:t>23%</w:t>
            </w: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(2,865)</w:t>
            </w: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w w:val="99"/>
              </w:rPr>
              <w:t>19%</w:t>
            </w:r>
          </w:p>
        </w:tc>
        <w:tc>
          <w:tcPr>
            <w:tcW w:w="1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(2,886)</w:t>
            </w: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w w:val="99"/>
              </w:rPr>
              <w:t>24%</w:t>
            </w:r>
          </w:p>
        </w:tc>
        <w:tc>
          <w:tcPr>
            <w:tcW w:w="700" w:type="dxa"/>
            <w:vAlign w:val="bottom"/>
            <w:tcBorders>
              <w:top w:val="single" w:sz="8" w:color="CCEEFF"/>
            </w:tcBorders>
            <w:gridSpan w:val="2"/>
            <w:shd w:val="clear" w:color="auto" w:fill="CCEEFF"/>
          </w:tcPr>
          <w:p>
            <w:pPr>
              <w:jc w:val="right"/>
              <w:ind w:right="31"/>
              <w:spacing w:after="0" w:line="55" w:lineRule="exact"/>
              <w:rPr>
                <w:sz w:val="20"/>
                <w:szCs w:val="20"/>
                <w:color w:val="auto"/>
              </w:rPr>
            </w:pPr>
            <w:r>
              <w:rPr>
                <w:rFonts w:ascii="Arial" w:cs="Arial" w:eastAsia="Arial" w:hAnsi="Arial"/>
                <w:sz w:val="6"/>
                <w:szCs w:val="6"/>
                <w:b w:val="1"/>
                <w:bCs w:val="1"/>
                <w:color w:val="auto"/>
              </w:rPr>
              <w:t>(4)%</w:t>
            </w:r>
          </w:p>
        </w:tc>
        <w:tc>
          <w:tcPr>
            <w:tcW w:w="620" w:type="dxa"/>
            <w:vAlign w:val="bottom"/>
            <w:tcBorders>
              <w:top w:val="single" w:sz="8" w:color="CCEEFF"/>
            </w:tcBorders>
            <w:shd w:val="clear" w:color="auto" w:fill="CCEEFF"/>
          </w:tcPr>
          <w:p>
            <w:pPr>
              <w:jc w:val="right"/>
              <w:ind w:right="49"/>
              <w:spacing w:after="0" w:line="55" w:lineRule="exact"/>
              <w:rPr>
                <w:sz w:val="20"/>
                <w:szCs w:val="20"/>
                <w:color w:val="auto"/>
              </w:rPr>
            </w:pPr>
            <w:r>
              <w:rPr>
                <w:rFonts w:ascii="Arial" w:cs="Arial" w:eastAsia="Arial" w:hAnsi="Arial"/>
                <w:sz w:val="6"/>
                <w:szCs w:val="6"/>
                <w:color w:val="auto"/>
              </w:rPr>
              <w:t>1</w:t>
            </w: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68"/>
        </w:trPr>
        <w:tc>
          <w:tcPr>
            <w:tcW w:w="1540" w:type="dxa"/>
            <w:vAlign w:val="bottom"/>
          </w:tcPr>
          <w:p>
            <w:pPr>
              <w:ind w:left="200"/>
              <w:spacing w:after="0" w:line="68" w:lineRule="exact"/>
              <w:rPr>
                <w:sz w:val="20"/>
                <w:szCs w:val="20"/>
                <w:color w:val="auto"/>
              </w:rPr>
            </w:pPr>
            <w:r>
              <w:rPr>
                <w:rFonts w:ascii="Arial" w:cs="Arial" w:eastAsia="Arial" w:hAnsi="Arial"/>
                <w:sz w:val="7"/>
                <w:szCs w:val="7"/>
                <w:b w:val="1"/>
                <w:bCs w:val="1"/>
                <w:color w:val="auto"/>
              </w:rPr>
              <w:t>Australia</w:t>
            </w:r>
          </w:p>
        </w:tc>
        <w:tc>
          <w:tcPr>
            <w:tcW w:w="2580" w:type="dxa"/>
            <w:vAlign w:val="bottom"/>
          </w:tcPr>
          <w:p>
            <w:pPr>
              <w:ind w:left="80"/>
              <w:spacing w:after="0" w:line="68" w:lineRule="exact"/>
              <w:rPr>
                <w:sz w:val="20"/>
                <w:szCs w:val="20"/>
                <w:color w:val="auto"/>
              </w:rPr>
            </w:pPr>
            <w:r>
              <w:rPr>
                <w:rFonts w:ascii="Arial" w:cs="Arial" w:eastAsia="Arial" w:hAnsi="Arial"/>
                <w:sz w:val="7"/>
                <w:szCs w:val="7"/>
                <w:color w:val="auto"/>
              </w:rPr>
              <w:t>Depreciation and amortization</w:t>
            </w:r>
          </w:p>
        </w:tc>
        <w:tc>
          <w:tcPr>
            <w:tcW w:w="10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(617)</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9"/>
              </w:rPr>
              <w:t>12%</w:t>
            </w:r>
          </w:p>
        </w:tc>
        <w:tc>
          <w:tcPr>
            <w:tcW w:w="80" w:type="dxa"/>
            <w:vAlign w:val="bottom"/>
          </w:tcPr>
          <w:p>
            <w:pPr>
              <w:jc w:val="right"/>
              <w:ind w:right="54"/>
              <w:spacing w:after="0"/>
              <w:rPr>
                <w:sz w:val="20"/>
                <w:szCs w:val="20"/>
                <w:color w:val="auto"/>
              </w:rPr>
            </w:pPr>
            <w:r>
              <w:rPr>
                <w:rFonts w:ascii="Arial" w:cs="Arial" w:eastAsia="Arial" w:hAnsi="Arial"/>
                <w:sz w:val="1"/>
                <w:szCs w:val="1"/>
                <w:color w:val="auto"/>
                <w:w w:val="4294967288"/>
              </w:rPr>
              <w:t>$</w:t>
            </w: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(655)</w:t>
            </w:r>
          </w:p>
        </w:tc>
        <w:tc>
          <w:tcPr>
            <w:tcW w:w="40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99"/>
              </w:rPr>
              <w:t>16%</w:t>
            </w:r>
          </w:p>
        </w:tc>
        <w:tc>
          <w:tcPr>
            <w:tcW w:w="340" w:type="dxa"/>
            <w:vAlign w:val="bottom"/>
          </w:tcPr>
          <w:p>
            <w:pPr>
              <w:spacing w:after="0"/>
              <w:rPr>
                <w:sz w:val="5"/>
                <w:szCs w:val="5"/>
                <w:color w:val="auto"/>
              </w:rPr>
            </w:pPr>
          </w:p>
        </w:tc>
        <w:tc>
          <w:tcPr>
            <w:tcW w:w="10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68" w:lineRule="exact"/>
              <w:rPr>
                <w:sz w:val="20"/>
                <w:szCs w:val="20"/>
                <w:color w:val="auto"/>
              </w:rPr>
            </w:pPr>
            <w:r>
              <w:rPr>
                <w:rFonts w:ascii="Arial" w:cs="Arial" w:eastAsia="Arial" w:hAnsi="Arial"/>
                <w:sz w:val="7"/>
                <w:szCs w:val="7"/>
                <w:color w:val="auto"/>
              </w:rPr>
              <w:t>(1,900)</w:t>
            </w:r>
          </w:p>
        </w:tc>
        <w:tc>
          <w:tcPr>
            <w:tcW w:w="60" w:type="dxa"/>
            <w:vAlign w:val="bottom"/>
          </w:tcPr>
          <w:p>
            <w:pPr>
              <w:spacing w:after="0"/>
              <w:rPr>
                <w:sz w:val="5"/>
                <w:szCs w:val="5"/>
                <w:color w:val="auto"/>
              </w:rPr>
            </w:pPr>
          </w:p>
        </w:tc>
        <w:tc>
          <w:tcPr>
            <w:tcW w:w="42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85"/>
              </w:rPr>
              <w:t>12%</w:t>
            </w:r>
          </w:p>
        </w:tc>
        <w:tc>
          <w:tcPr>
            <w:tcW w:w="10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line="68" w:lineRule="exact"/>
              <w:rPr>
                <w:sz w:val="20"/>
                <w:szCs w:val="20"/>
                <w:color w:val="auto"/>
              </w:rPr>
            </w:pPr>
            <w:r>
              <w:rPr>
                <w:rFonts w:ascii="Arial" w:cs="Arial" w:eastAsia="Arial" w:hAnsi="Arial"/>
                <w:sz w:val="7"/>
                <w:szCs w:val="7"/>
                <w:color w:val="auto"/>
              </w:rPr>
              <w:t>(2,042)</w:t>
            </w:r>
          </w:p>
        </w:tc>
        <w:tc>
          <w:tcPr>
            <w:tcW w:w="60" w:type="dxa"/>
            <w:vAlign w:val="bottom"/>
          </w:tcPr>
          <w:p>
            <w:pPr>
              <w:spacing w:after="0"/>
              <w:rPr>
                <w:sz w:val="5"/>
                <w:szCs w:val="5"/>
                <w:color w:val="auto"/>
              </w:rPr>
            </w:pPr>
          </w:p>
        </w:tc>
        <w:tc>
          <w:tcPr>
            <w:tcW w:w="42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85"/>
              </w:rPr>
              <w:t>17%</w:t>
            </w:r>
          </w:p>
        </w:tc>
        <w:tc>
          <w:tcPr>
            <w:tcW w:w="700" w:type="dxa"/>
            <w:vAlign w:val="bottom"/>
            <w:gridSpan w:val="2"/>
          </w:tcPr>
          <w:p>
            <w:pPr>
              <w:jc w:val="right"/>
              <w:ind w:right="31"/>
              <w:spacing w:after="0" w:line="68" w:lineRule="exact"/>
              <w:rPr>
                <w:sz w:val="20"/>
                <w:szCs w:val="20"/>
                <w:color w:val="auto"/>
              </w:rPr>
            </w:pPr>
            <w:r>
              <w:rPr>
                <w:rFonts w:ascii="Arial" w:cs="Arial" w:eastAsia="Arial" w:hAnsi="Arial"/>
                <w:sz w:val="7"/>
                <w:szCs w:val="7"/>
                <w:color w:val="auto"/>
              </w:rPr>
              <w:t>6%</w:t>
            </w:r>
          </w:p>
        </w:tc>
        <w:tc>
          <w:tcPr>
            <w:tcW w:w="620" w:type="dxa"/>
            <w:vAlign w:val="bottom"/>
          </w:tcPr>
          <w:p>
            <w:pPr>
              <w:jc w:val="right"/>
              <w:ind w:right="49"/>
              <w:spacing w:after="0" w:line="68" w:lineRule="exact"/>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68"/>
        </w:trPr>
        <w:tc>
          <w:tcPr>
            <w:tcW w:w="1540" w:type="dxa"/>
            <w:vAlign w:val="bottom"/>
            <w:shd w:val="clear" w:color="auto" w:fill="CCEEFF"/>
          </w:tcPr>
          <w:p>
            <w:pPr>
              <w:spacing w:after="0"/>
              <w:rPr>
                <w:sz w:val="5"/>
                <w:szCs w:val="5"/>
                <w:color w:val="auto"/>
              </w:rPr>
            </w:pPr>
          </w:p>
        </w:tc>
        <w:tc>
          <w:tcPr>
            <w:tcW w:w="2580" w:type="dxa"/>
            <w:vAlign w:val="bottom"/>
            <w:shd w:val="clear" w:color="auto" w:fill="CCEEFF"/>
          </w:tcPr>
          <w:p>
            <w:pPr>
              <w:ind w:left="80"/>
              <w:spacing w:after="0" w:line="68" w:lineRule="exact"/>
              <w:rPr>
                <w:sz w:val="20"/>
                <w:szCs w:val="20"/>
                <w:color w:val="auto"/>
              </w:rPr>
            </w:pPr>
            <w:r>
              <w:rPr>
                <w:rFonts w:ascii="Arial" w:cs="Arial" w:eastAsia="Arial" w:hAnsi="Arial"/>
                <w:sz w:val="7"/>
                <w:szCs w:val="7"/>
                <w:color w:val="auto"/>
              </w:rPr>
              <w:t>General and administrative expense</w:t>
            </w:r>
          </w:p>
        </w:tc>
        <w:tc>
          <w:tcPr>
            <w:tcW w:w="100" w:type="dxa"/>
            <w:vAlign w:val="bottom"/>
            <w:shd w:val="clear" w:color="auto" w:fill="CCEEFF"/>
          </w:tcPr>
          <w:p>
            <w:pPr>
              <w:spacing w:after="0"/>
              <w:rPr>
                <w:sz w:val="5"/>
                <w:szCs w:val="5"/>
                <w:color w:val="auto"/>
              </w:rPr>
            </w:pPr>
          </w:p>
        </w:tc>
        <w:tc>
          <w:tcPr>
            <w:tcW w:w="70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(60)</w:t>
            </w: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i w:val="1"/>
                <w:iCs w:val="1"/>
                <w:color w:val="auto"/>
                <w:w w:val="98"/>
              </w:rPr>
              <w:t>1%</w:t>
            </w:r>
          </w:p>
        </w:tc>
        <w:tc>
          <w:tcPr>
            <w:tcW w:w="80" w:type="dxa"/>
            <w:vAlign w:val="bottom"/>
            <w:shd w:val="clear" w:color="auto" w:fill="CCEEFF"/>
          </w:tcPr>
          <w:p>
            <w:pPr>
              <w:spacing w:after="0"/>
              <w:rPr>
                <w:sz w:val="5"/>
                <w:szCs w:val="5"/>
                <w:color w:val="auto"/>
              </w:rPr>
            </w:pPr>
          </w:p>
        </w:tc>
        <w:tc>
          <w:tcPr>
            <w:tcW w:w="70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(60)</w:t>
            </w:r>
          </w:p>
        </w:tc>
        <w:tc>
          <w:tcPr>
            <w:tcW w:w="40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98"/>
              </w:rPr>
              <w:t>1%</w:t>
            </w: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(189)</w:t>
            </w:r>
          </w:p>
        </w:tc>
        <w:tc>
          <w:tcPr>
            <w:tcW w:w="42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78"/>
              </w:rPr>
              <w:t>1%</w:t>
            </w:r>
          </w:p>
        </w:tc>
        <w:tc>
          <w:tcPr>
            <w:tcW w:w="100" w:type="dxa"/>
            <w:vAlign w:val="bottom"/>
            <w:shd w:val="clear" w:color="auto" w:fill="CCEEFF"/>
          </w:tcPr>
          <w:p>
            <w:pPr>
              <w:spacing w:after="0"/>
              <w:rPr>
                <w:sz w:val="5"/>
                <w:szCs w:val="5"/>
                <w:color w:val="auto"/>
              </w:rPr>
            </w:pPr>
          </w:p>
        </w:tc>
        <w:tc>
          <w:tcPr>
            <w:tcW w:w="68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(112)</w:t>
            </w: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i w:val="1"/>
                <w:iCs w:val="1"/>
                <w:color w:val="auto"/>
                <w:w w:val="98"/>
              </w:rPr>
              <w:t>1%</w:t>
            </w:r>
          </w:p>
        </w:tc>
        <w:tc>
          <w:tcPr>
            <w:tcW w:w="700" w:type="dxa"/>
            <w:vAlign w:val="bottom"/>
            <w:gridSpan w:val="2"/>
            <w:shd w:val="clear" w:color="auto" w:fill="CCEEFF"/>
          </w:tcPr>
          <w:p>
            <w:pPr>
              <w:jc w:val="right"/>
              <w:ind w:right="31"/>
              <w:spacing w:after="0" w:line="68" w:lineRule="exact"/>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ind w:right="49"/>
              <w:spacing w:after="0" w:line="68" w:lineRule="exact"/>
              <w:rPr>
                <w:sz w:val="20"/>
                <w:szCs w:val="20"/>
                <w:color w:val="auto"/>
              </w:rPr>
            </w:pPr>
            <w:r>
              <w:rPr>
                <w:rFonts w:ascii="Arial" w:cs="Arial" w:eastAsia="Arial" w:hAnsi="Arial"/>
                <w:sz w:val="7"/>
                <w:szCs w:val="7"/>
                <w:color w:val="auto"/>
              </w:rPr>
              <w:t>(69)%</w:t>
            </w:r>
          </w:p>
        </w:tc>
        <w:tc>
          <w:tcPr>
            <w:tcW w:w="0" w:type="dxa"/>
            <w:vAlign w:val="bottom"/>
          </w:tcPr>
          <w:p>
            <w:pPr>
              <w:spacing w:after="0"/>
              <w:rPr>
                <w:sz w:val="1"/>
                <w:szCs w:val="1"/>
                <w:color w:val="auto"/>
              </w:rPr>
            </w:pPr>
          </w:p>
        </w:tc>
      </w:tr>
      <w:tr>
        <w:trPr>
          <w:trHeight w:val="55"/>
        </w:trPr>
        <w:tc>
          <w:tcPr>
            <w:tcW w:w="15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jc w:val="right"/>
              <w:spacing w:after="0" w:line="55" w:lineRule="exact"/>
              <w:rPr>
                <w:sz w:val="20"/>
                <w:szCs w:val="20"/>
                <w:color w:val="auto"/>
              </w:rPr>
            </w:pPr>
            <w:r>
              <w:rPr>
                <w:rFonts w:ascii="Arial" w:cs="Arial" w:eastAsia="Arial" w:hAnsi="Arial"/>
                <w:sz w:val="6"/>
                <w:szCs w:val="6"/>
                <w:b w:val="1"/>
                <w:bCs w:val="1"/>
                <w:color w:val="auto"/>
              </w:rPr>
              <w:t>(677)</w:t>
            </w:r>
          </w:p>
        </w:tc>
        <w:tc>
          <w:tcPr>
            <w:tcW w:w="60" w:type="dxa"/>
            <w:vAlign w:val="bottom"/>
          </w:tcPr>
          <w:p>
            <w:pPr>
              <w:spacing w:after="0"/>
              <w:rPr>
                <w:sz w:val="4"/>
                <w:szCs w:val="4"/>
                <w:color w:val="auto"/>
              </w:rPr>
            </w:pPr>
          </w:p>
        </w:tc>
        <w:tc>
          <w:tcPr>
            <w:tcW w:w="420" w:type="dxa"/>
            <w:vAlign w:val="bottom"/>
          </w:tcPr>
          <w:p>
            <w:pPr>
              <w:jc w:val="center"/>
              <w:ind w:right="49"/>
              <w:spacing w:after="0" w:line="55" w:lineRule="exact"/>
              <w:rPr>
                <w:sz w:val="20"/>
                <w:szCs w:val="20"/>
                <w:color w:val="auto"/>
              </w:rPr>
            </w:pPr>
            <w:r>
              <w:rPr>
                <w:rFonts w:ascii="Arial" w:cs="Arial" w:eastAsia="Arial" w:hAnsi="Arial"/>
                <w:sz w:val="6"/>
                <w:szCs w:val="6"/>
                <w:b w:val="1"/>
                <w:bCs w:val="1"/>
                <w:i w:val="1"/>
                <w:iCs w:val="1"/>
                <w:color w:val="auto"/>
              </w:rPr>
              <w:t>13%</w:t>
            </w:r>
          </w:p>
        </w:tc>
        <w:tc>
          <w:tcPr>
            <w:tcW w:w="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jc w:val="right"/>
              <w:spacing w:after="0" w:line="55" w:lineRule="exact"/>
              <w:rPr>
                <w:sz w:val="20"/>
                <w:szCs w:val="20"/>
                <w:color w:val="auto"/>
              </w:rPr>
            </w:pPr>
            <w:r>
              <w:rPr>
                <w:rFonts w:ascii="Arial" w:cs="Arial" w:eastAsia="Arial" w:hAnsi="Arial"/>
                <w:sz w:val="6"/>
                <w:szCs w:val="6"/>
                <w:b w:val="1"/>
                <w:bCs w:val="1"/>
                <w:color w:val="auto"/>
              </w:rPr>
              <w:t>(715)</w:t>
            </w:r>
          </w:p>
        </w:tc>
        <w:tc>
          <w:tcPr>
            <w:tcW w:w="60" w:type="dxa"/>
            <w:vAlign w:val="bottom"/>
          </w:tcPr>
          <w:p>
            <w:pPr>
              <w:spacing w:after="0"/>
              <w:rPr>
                <w:sz w:val="4"/>
                <w:szCs w:val="4"/>
                <w:color w:val="auto"/>
              </w:rPr>
            </w:pPr>
          </w:p>
        </w:tc>
        <w:tc>
          <w:tcPr>
            <w:tcW w:w="400" w:type="dxa"/>
            <w:vAlign w:val="bottom"/>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rPr>
              <w:t>18%</w:t>
            </w:r>
          </w:p>
        </w:tc>
        <w:tc>
          <w:tcPr>
            <w:tcW w:w="3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jc w:val="right"/>
              <w:spacing w:after="0" w:line="55" w:lineRule="exact"/>
              <w:rPr>
                <w:sz w:val="20"/>
                <w:szCs w:val="20"/>
                <w:color w:val="auto"/>
              </w:rPr>
            </w:pPr>
            <w:r>
              <w:rPr>
                <w:rFonts w:ascii="Arial" w:cs="Arial" w:eastAsia="Arial" w:hAnsi="Arial"/>
                <w:sz w:val="6"/>
                <w:szCs w:val="6"/>
                <w:b w:val="1"/>
                <w:bCs w:val="1"/>
                <w:color w:val="auto"/>
              </w:rPr>
              <w:t>(2,089)</w:t>
            </w:r>
          </w:p>
        </w:tc>
        <w:tc>
          <w:tcPr>
            <w:tcW w:w="60" w:type="dxa"/>
            <w:vAlign w:val="bottom"/>
          </w:tcPr>
          <w:p>
            <w:pPr>
              <w:spacing w:after="0"/>
              <w:rPr>
                <w:sz w:val="4"/>
                <w:szCs w:val="4"/>
                <w:color w:val="auto"/>
              </w:rPr>
            </w:pPr>
          </w:p>
        </w:tc>
        <w:tc>
          <w:tcPr>
            <w:tcW w:w="420" w:type="dxa"/>
            <w:vAlign w:val="bottom"/>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w w:val="99"/>
              </w:rPr>
              <w:t>14%</w:t>
            </w: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jc w:val="right"/>
              <w:spacing w:after="0" w:line="55" w:lineRule="exact"/>
              <w:rPr>
                <w:sz w:val="20"/>
                <w:szCs w:val="20"/>
                <w:color w:val="auto"/>
              </w:rPr>
            </w:pPr>
            <w:r>
              <w:rPr>
                <w:rFonts w:ascii="Arial" w:cs="Arial" w:eastAsia="Arial" w:hAnsi="Arial"/>
                <w:sz w:val="6"/>
                <w:szCs w:val="6"/>
                <w:b w:val="1"/>
                <w:bCs w:val="1"/>
                <w:color w:val="auto"/>
              </w:rPr>
              <w:t>(2,154)</w:t>
            </w:r>
          </w:p>
        </w:tc>
        <w:tc>
          <w:tcPr>
            <w:tcW w:w="60" w:type="dxa"/>
            <w:vAlign w:val="bottom"/>
          </w:tcPr>
          <w:p>
            <w:pPr>
              <w:spacing w:after="0"/>
              <w:rPr>
                <w:sz w:val="4"/>
                <w:szCs w:val="4"/>
                <w:color w:val="auto"/>
              </w:rPr>
            </w:pPr>
          </w:p>
        </w:tc>
        <w:tc>
          <w:tcPr>
            <w:tcW w:w="420" w:type="dxa"/>
            <w:vAlign w:val="bottom"/>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w w:val="99"/>
              </w:rPr>
              <w:t>18%</w:t>
            </w:r>
          </w:p>
        </w:tc>
        <w:tc>
          <w:tcPr>
            <w:tcW w:w="700" w:type="dxa"/>
            <w:vAlign w:val="bottom"/>
            <w:gridSpan w:val="2"/>
          </w:tcPr>
          <w:p>
            <w:pPr>
              <w:jc w:val="right"/>
              <w:ind w:right="31"/>
              <w:spacing w:after="0" w:line="55" w:lineRule="exact"/>
              <w:rPr>
                <w:sz w:val="20"/>
                <w:szCs w:val="20"/>
                <w:color w:val="auto"/>
              </w:rPr>
            </w:pPr>
            <w:r>
              <w:rPr>
                <w:rFonts w:ascii="Arial" w:cs="Arial" w:eastAsia="Arial" w:hAnsi="Arial"/>
                <w:sz w:val="6"/>
                <w:szCs w:val="6"/>
                <w:b w:val="1"/>
                <w:bCs w:val="1"/>
                <w:color w:val="auto"/>
              </w:rPr>
              <w:t>5%</w:t>
            </w:r>
          </w:p>
        </w:tc>
        <w:tc>
          <w:tcPr>
            <w:tcW w:w="620" w:type="dxa"/>
            <w:vAlign w:val="bottom"/>
          </w:tcPr>
          <w:p>
            <w:pPr>
              <w:jc w:val="right"/>
              <w:ind w:right="49"/>
              <w:spacing w:after="0" w:line="55" w:lineRule="exact"/>
              <w:rPr>
                <w:sz w:val="20"/>
                <w:szCs w:val="20"/>
                <w:color w:val="auto"/>
              </w:rPr>
            </w:pPr>
            <w:r>
              <w:rPr>
                <w:rFonts w:ascii="Arial" w:cs="Arial" w:eastAsia="Arial" w:hAnsi="Arial"/>
                <w:sz w:val="6"/>
                <w:szCs w:val="6"/>
                <w:b w:val="1"/>
                <w:bCs w:val="1"/>
                <w:color w:val="auto"/>
              </w:rPr>
              <w:t>3%</w:t>
            </w:r>
          </w:p>
        </w:tc>
        <w:tc>
          <w:tcPr>
            <w:tcW w:w="0" w:type="dxa"/>
            <w:vAlign w:val="bottom"/>
          </w:tcPr>
          <w:p>
            <w:pPr>
              <w:spacing w:after="0"/>
              <w:rPr>
                <w:sz w:val="1"/>
                <w:szCs w:val="1"/>
                <w:color w:val="auto"/>
              </w:rPr>
            </w:pPr>
          </w:p>
        </w:tc>
      </w:tr>
      <w:tr>
        <w:trPr>
          <w:trHeight w:val="68"/>
        </w:trPr>
        <w:tc>
          <w:tcPr>
            <w:tcW w:w="1540" w:type="dxa"/>
            <w:vAlign w:val="bottom"/>
            <w:shd w:val="clear" w:color="auto" w:fill="CCEEFF"/>
          </w:tcPr>
          <w:p>
            <w:pPr>
              <w:ind w:left="200"/>
              <w:spacing w:after="0" w:line="68" w:lineRule="exact"/>
              <w:rPr>
                <w:sz w:val="20"/>
                <w:szCs w:val="20"/>
                <w:color w:val="auto"/>
              </w:rPr>
            </w:pPr>
            <w:r>
              <w:rPr>
                <w:rFonts w:ascii="Arial" w:cs="Arial" w:eastAsia="Arial" w:hAnsi="Arial"/>
                <w:sz w:val="7"/>
                <w:szCs w:val="7"/>
                <w:b w:val="1"/>
                <w:bCs w:val="1"/>
                <w:color w:val="auto"/>
              </w:rPr>
              <w:t>New Zealand</w:t>
            </w:r>
          </w:p>
        </w:tc>
        <w:tc>
          <w:tcPr>
            <w:tcW w:w="2580" w:type="dxa"/>
            <w:vAlign w:val="bottom"/>
            <w:shd w:val="clear" w:color="auto" w:fill="CCEEFF"/>
          </w:tcPr>
          <w:p>
            <w:pPr>
              <w:ind w:left="80"/>
              <w:spacing w:after="0" w:line="68" w:lineRule="exact"/>
              <w:rPr>
                <w:sz w:val="20"/>
                <w:szCs w:val="20"/>
                <w:color w:val="auto"/>
              </w:rPr>
            </w:pPr>
            <w:r>
              <w:rPr>
                <w:rFonts w:ascii="Arial" w:cs="Arial" w:eastAsia="Arial" w:hAnsi="Arial"/>
                <w:sz w:val="7"/>
                <w:szCs w:val="7"/>
                <w:color w:val="auto"/>
              </w:rPr>
              <w:t>Depreciation and amortization</w:t>
            </w:r>
          </w:p>
        </w:tc>
        <w:tc>
          <w:tcPr>
            <w:tcW w:w="100" w:type="dxa"/>
            <w:vAlign w:val="bottom"/>
            <w:shd w:val="clear" w:color="auto" w:fill="CCEEFF"/>
          </w:tcPr>
          <w:p>
            <w:pPr>
              <w:spacing w:after="0"/>
              <w:rPr>
                <w:sz w:val="5"/>
                <w:szCs w:val="5"/>
                <w:color w:val="auto"/>
              </w:rPr>
            </w:pPr>
          </w:p>
        </w:tc>
        <w:tc>
          <w:tcPr>
            <w:tcW w:w="70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(183)</w:t>
            </w: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i w:val="1"/>
                <w:iCs w:val="1"/>
                <w:color w:val="auto"/>
                <w:w w:val="98"/>
              </w:rPr>
              <w:t>4%</w:t>
            </w:r>
          </w:p>
        </w:tc>
        <w:tc>
          <w:tcPr>
            <w:tcW w:w="80" w:type="dxa"/>
            <w:vAlign w:val="bottom"/>
            <w:shd w:val="clear" w:color="auto" w:fill="CCEEFF"/>
          </w:tcPr>
          <w:p>
            <w:pPr>
              <w:spacing w:after="0"/>
              <w:rPr>
                <w:sz w:val="5"/>
                <w:szCs w:val="5"/>
                <w:color w:val="auto"/>
              </w:rPr>
            </w:pPr>
          </w:p>
        </w:tc>
        <w:tc>
          <w:tcPr>
            <w:tcW w:w="70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(191)</w:t>
            </w:r>
          </w:p>
        </w:tc>
        <w:tc>
          <w:tcPr>
            <w:tcW w:w="40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98"/>
              </w:rPr>
              <w:t>5%</w:t>
            </w: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(572)</w:t>
            </w:r>
          </w:p>
        </w:tc>
        <w:tc>
          <w:tcPr>
            <w:tcW w:w="42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78"/>
              </w:rPr>
              <w:t>4%</w:t>
            </w:r>
          </w:p>
        </w:tc>
        <w:tc>
          <w:tcPr>
            <w:tcW w:w="100" w:type="dxa"/>
            <w:vAlign w:val="bottom"/>
            <w:shd w:val="clear" w:color="auto" w:fill="CCEEFF"/>
          </w:tcPr>
          <w:p>
            <w:pPr>
              <w:spacing w:after="0"/>
              <w:rPr>
                <w:sz w:val="5"/>
                <w:szCs w:val="5"/>
                <w:color w:val="auto"/>
              </w:rPr>
            </w:pPr>
          </w:p>
        </w:tc>
        <w:tc>
          <w:tcPr>
            <w:tcW w:w="680" w:type="dxa"/>
            <w:vAlign w:val="bottom"/>
            <w:gridSpan w:val="2"/>
            <w:shd w:val="clear" w:color="auto" w:fill="CCEEFF"/>
          </w:tcPr>
          <w:p>
            <w:pPr>
              <w:jc w:val="right"/>
              <w:ind w:right="60"/>
              <w:spacing w:after="0" w:line="68" w:lineRule="exact"/>
              <w:rPr>
                <w:sz w:val="20"/>
                <w:szCs w:val="20"/>
                <w:color w:val="auto"/>
              </w:rPr>
            </w:pPr>
            <w:r>
              <w:rPr>
                <w:rFonts w:ascii="Arial" w:cs="Arial" w:eastAsia="Arial" w:hAnsi="Arial"/>
                <w:sz w:val="7"/>
                <w:szCs w:val="7"/>
                <w:color w:val="auto"/>
              </w:rPr>
              <w:t>(635)</w:t>
            </w: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i w:val="1"/>
                <w:iCs w:val="1"/>
                <w:color w:val="auto"/>
                <w:w w:val="98"/>
              </w:rPr>
              <w:t>5%</w:t>
            </w:r>
          </w:p>
        </w:tc>
        <w:tc>
          <w:tcPr>
            <w:tcW w:w="700" w:type="dxa"/>
            <w:vAlign w:val="bottom"/>
            <w:gridSpan w:val="2"/>
            <w:shd w:val="clear" w:color="auto" w:fill="CCEEFF"/>
          </w:tcPr>
          <w:p>
            <w:pPr>
              <w:jc w:val="right"/>
              <w:ind w:right="31"/>
              <w:spacing w:after="0" w:line="68" w:lineRule="exact"/>
              <w:rPr>
                <w:sz w:val="20"/>
                <w:szCs w:val="20"/>
                <w:color w:val="auto"/>
              </w:rPr>
            </w:pPr>
            <w:r>
              <w:rPr>
                <w:rFonts w:ascii="Arial" w:cs="Arial" w:eastAsia="Arial" w:hAnsi="Arial"/>
                <w:sz w:val="7"/>
                <w:szCs w:val="7"/>
                <w:color w:val="auto"/>
              </w:rPr>
              <w:t>4%</w:t>
            </w:r>
          </w:p>
        </w:tc>
        <w:tc>
          <w:tcPr>
            <w:tcW w:w="620" w:type="dxa"/>
            <w:vAlign w:val="bottom"/>
            <w:shd w:val="clear" w:color="auto" w:fill="CCEEFF"/>
          </w:tcPr>
          <w:p>
            <w:pPr>
              <w:jc w:val="right"/>
              <w:ind w:right="49"/>
              <w:spacing w:after="0" w:line="68" w:lineRule="exact"/>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2580" w:type="dxa"/>
            <w:vAlign w:val="bottom"/>
          </w:tcPr>
          <w:p>
            <w:pPr>
              <w:ind w:left="80"/>
              <w:spacing w:after="0" w:line="68" w:lineRule="exact"/>
              <w:rPr>
                <w:sz w:val="20"/>
                <w:szCs w:val="20"/>
                <w:color w:val="auto"/>
              </w:rPr>
            </w:pPr>
            <w:r>
              <w:rPr>
                <w:rFonts w:ascii="Arial" w:cs="Arial" w:eastAsia="Arial" w:hAnsi="Arial"/>
                <w:sz w:val="7"/>
                <w:szCs w:val="7"/>
                <w:color w:val="auto"/>
              </w:rPr>
              <w:t>General and administrative expense</w:t>
            </w:r>
          </w:p>
        </w:tc>
        <w:tc>
          <w:tcPr>
            <w:tcW w:w="100" w:type="dxa"/>
            <w:vAlign w:val="bottom"/>
          </w:tcPr>
          <w:p>
            <w:pPr>
              <w:spacing w:after="0"/>
              <w:rPr>
                <w:sz w:val="5"/>
                <w:szCs w:val="5"/>
                <w:color w:val="auto"/>
              </w:rPr>
            </w:pP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8"/>
              </w:rPr>
              <w:t>0%</w:t>
            </w:r>
          </w:p>
        </w:tc>
        <w:tc>
          <w:tcPr>
            <w:tcW w:w="80" w:type="dxa"/>
            <w:vAlign w:val="bottom"/>
          </w:tcPr>
          <w:p>
            <w:pPr>
              <w:spacing w:after="0"/>
              <w:rPr>
                <w:sz w:val="5"/>
                <w:szCs w:val="5"/>
                <w:color w:val="auto"/>
              </w:rPr>
            </w:pP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98"/>
              </w:rPr>
              <w:t>0%</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w:t>
            </w:r>
          </w:p>
        </w:tc>
        <w:tc>
          <w:tcPr>
            <w:tcW w:w="42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78"/>
              </w:rPr>
              <w:t>0%</w:t>
            </w:r>
          </w:p>
        </w:tc>
        <w:tc>
          <w:tcPr>
            <w:tcW w:w="100" w:type="dxa"/>
            <w:vAlign w:val="bottom"/>
          </w:tcPr>
          <w:p>
            <w:pPr>
              <w:spacing w:after="0"/>
              <w:rPr>
                <w:sz w:val="5"/>
                <w:szCs w:val="5"/>
                <w:color w:val="auto"/>
              </w:rPr>
            </w:pPr>
          </w:p>
        </w:tc>
        <w:tc>
          <w:tcPr>
            <w:tcW w:w="68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8"/>
              </w:rPr>
              <w:t>0%</w:t>
            </w:r>
          </w:p>
        </w:tc>
        <w:tc>
          <w:tcPr>
            <w:tcW w:w="700" w:type="dxa"/>
            <w:vAlign w:val="bottom"/>
            <w:gridSpan w:val="2"/>
          </w:tcPr>
          <w:p>
            <w:pPr>
              <w:jc w:val="right"/>
              <w:ind w:right="31"/>
              <w:spacing w:after="0" w:line="68" w:lineRule="exact"/>
              <w:rPr>
                <w:sz w:val="20"/>
                <w:szCs w:val="20"/>
                <w:color w:val="auto"/>
              </w:rPr>
            </w:pPr>
            <w:r>
              <w:rPr>
                <w:rFonts w:ascii="Arial" w:cs="Arial" w:eastAsia="Arial" w:hAnsi="Arial"/>
                <w:sz w:val="7"/>
                <w:szCs w:val="7"/>
                <w:color w:val="auto"/>
              </w:rPr>
              <w:t>-%</w:t>
            </w:r>
          </w:p>
        </w:tc>
        <w:tc>
          <w:tcPr>
            <w:tcW w:w="620" w:type="dxa"/>
            <w:vAlign w:val="bottom"/>
          </w:tcPr>
          <w:p>
            <w:pPr>
              <w:jc w:val="right"/>
              <w:ind w:right="49"/>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55"/>
        </w:trPr>
        <w:tc>
          <w:tcPr>
            <w:tcW w:w="154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(183)</w:t>
            </w: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jc w:val="center"/>
              <w:ind w:right="49"/>
              <w:spacing w:after="0" w:line="55" w:lineRule="exact"/>
              <w:rPr>
                <w:sz w:val="20"/>
                <w:szCs w:val="20"/>
                <w:color w:val="auto"/>
              </w:rPr>
            </w:pPr>
            <w:r>
              <w:rPr>
                <w:rFonts w:ascii="Arial" w:cs="Arial" w:eastAsia="Arial" w:hAnsi="Arial"/>
                <w:sz w:val="6"/>
                <w:szCs w:val="6"/>
                <w:b w:val="1"/>
                <w:bCs w:val="1"/>
                <w:i w:val="1"/>
                <w:iCs w:val="1"/>
                <w:color w:val="auto"/>
              </w:rPr>
              <w:t>4%</w:t>
            </w:r>
          </w:p>
        </w:tc>
        <w:tc>
          <w:tcPr>
            <w:tcW w:w="8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(191)</w:t>
            </w: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rPr>
              <w:t>5%</w:t>
            </w: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(572)</w:t>
            </w: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jc w:val="center"/>
              <w:ind w:right="29"/>
              <w:spacing w:after="0" w:line="55" w:lineRule="exact"/>
              <w:rPr>
                <w:sz w:val="20"/>
                <w:szCs w:val="20"/>
                <w:color w:val="auto"/>
              </w:rPr>
            </w:pPr>
            <w:r>
              <w:rPr>
                <w:rFonts w:ascii="Arial" w:cs="Arial" w:eastAsia="Arial" w:hAnsi="Arial"/>
                <w:sz w:val="6"/>
                <w:szCs w:val="6"/>
                <w:b w:val="1"/>
                <w:bCs w:val="1"/>
                <w:i w:val="1"/>
                <w:iCs w:val="1"/>
                <w:color w:val="auto"/>
                <w:w w:val="91"/>
              </w:rPr>
              <w:t>4%</w:t>
            </w:r>
          </w:p>
        </w:tc>
        <w:tc>
          <w:tcPr>
            <w:tcW w:w="1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jc w:val="right"/>
              <w:spacing w:after="0" w:line="55" w:lineRule="exact"/>
              <w:rPr>
                <w:sz w:val="20"/>
                <w:szCs w:val="20"/>
                <w:color w:val="auto"/>
              </w:rPr>
            </w:pPr>
            <w:r>
              <w:rPr>
                <w:rFonts w:ascii="Arial" w:cs="Arial" w:eastAsia="Arial" w:hAnsi="Arial"/>
                <w:sz w:val="6"/>
                <w:szCs w:val="6"/>
                <w:b w:val="1"/>
                <w:bCs w:val="1"/>
                <w:color w:val="auto"/>
              </w:rPr>
              <w:t>(635)</w:t>
            </w: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jc w:val="center"/>
              <w:ind w:right="49"/>
              <w:spacing w:after="0" w:line="55" w:lineRule="exact"/>
              <w:rPr>
                <w:sz w:val="20"/>
                <w:szCs w:val="20"/>
                <w:color w:val="auto"/>
              </w:rPr>
            </w:pPr>
            <w:r>
              <w:rPr>
                <w:rFonts w:ascii="Arial" w:cs="Arial" w:eastAsia="Arial" w:hAnsi="Arial"/>
                <w:sz w:val="6"/>
                <w:szCs w:val="6"/>
                <w:b w:val="1"/>
                <w:bCs w:val="1"/>
                <w:i w:val="1"/>
                <w:iCs w:val="1"/>
                <w:color w:val="auto"/>
              </w:rPr>
              <w:t>5%</w:t>
            </w:r>
          </w:p>
        </w:tc>
        <w:tc>
          <w:tcPr>
            <w:tcW w:w="700" w:type="dxa"/>
            <w:vAlign w:val="bottom"/>
            <w:tcBorders>
              <w:top w:val="single" w:sz="8" w:color="CCEEFF"/>
            </w:tcBorders>
            <w:gridSpan w:val="2"/>
            <w:shd w:val="clear" w:color="auto" w:fill="CCEEFF"/>
          </w:tcPr>
          <w:p>
            <w:pPr>
              <w:jc w:val="right"/>
              <w:ind w:right="31"/>
              <w:spacing w:after="0" w:line="55" w:lineRule="exact"/>
              <w:rPr>
                <w:sz w:val="20"/>
                <w:szCs w:val="20"/>
                <w:color w:val="auto"/>
              </w:rPr>
            </w:pPr>
            <w:r>
              <w:rPr>
                <w:rFonts w:ascii="Arial" w:cs="Arial" w:eastAsia="Arial" w:hAnsi="Arial"/>
                <w:sz w:val="6"/>
                <w:szCs w:val="6"/>
                <w:b w:val="1"/>
                <w:bCs w:val="1"/>
                <w:color w:val="auto"/>
              </w:rPr>
              <w:t>4%</w:t>
            </w:r>
          </w:p>
        </w:tc>
        <w:tc>
          <w:tcPr>
            <w:tcW w:w="620" w:type="dxa"/>
            <w:vAlign w:val="bottom"/>
            <w:tcBorders>
              <w:top w:val="single" w:sz="8" w:color="CCEEFF"/>
            </w:tcBorders>
            <w:shd w:val="clear" w:color="auto" w:fill="CCEEFF"/>
          </w:tcPr>
          <w:p>
            <w:pPr>
              <w:jc w:val="right"/>
              <w:ind w:right="49"/>
              <w:spacing w:after="0" w:line="55" w:lineRule="exact"/>
              <w:rPr>
                <w:sz w:val="20"/>
                <w:szCs w:val="20"/>
                <w:color w:val="auto"/>
              </w:rPr>
            </w:pPr>
            <w:r>
              <w:rPr>
                <w:rFonts w:ascii="Arial" w:cs="Arial" w:eastAsia="Arial" w:hAnsi="Arial"/>
                <w:sz w:val="6"/>
                <w:szCs w:val="6"/>
                <w:b w:val="1"/>
                <w:bCs w:val="1"/>
                <w:color w:val="auto"/>
              </w:rPr>
              <w:t>10%</w:t>
            </w:r>
          </w:p>
        </w:tc>
        <w:tc>
          <w:tcPr>
            <w:tcW w:w="0" w:type="dxa"/>
            <w:vAlign w:val="bottom"/>
          </w:tcPr>
          <w:p>
            <w:pPr>
              <w:spacing w:after="0"/>
              <w:rPr>
                <w:sz w:val="1"/>
                <w:szCs w:val="1"/>
                <w:color w:val="auto"/>
              </w:rPr>
            </w:pPr>
          </w:p>
        </w:tc>
      </w:tr>
      <w:tr>
        <w:trPr>
          <w:trHeight w:val="68"/>
        </w:trPr>
        <w:tc>
          <w:tcPr>
            <w:tcW w:w="4120" w:type="dxa"/>
            <w:vAlign w:val="bottom"/>
            <w:tcBorders>
              <w:bottom w:val="single" w:sz="8" w:color="CCEEFF"/>
            </w:tcBorders>
            <w:gridSpan w:val="2"/>
          </w:tcPr>
          <w:p>
            <w:pPr>
              <w:ind w:left="200"/>
              <w:spacing w:after="0" w:line="48" w:lineRule="exact"/>
              <w:rPr>
                <w:sz w:val="20"/>
                <w:szCs w:val="20"/>
                <w:color w:val="auto"/>
              </w:rPr>
            </w:pPr>
            <w:r>
              <w:rPr>
                <w:rFonts w:ascii="Arial" w:cs="Arial" w:eastAsia="Arial" w:hAnsi="Arial"/>
                <w:sz w:val="5"/>
                <w:szCs w:val="5"/>
                <w:b w:val="1"/>
                <w:bCs w:val="1"/>
                <w:color w:val="auto"/>
              </w:rPr>
              <w:t>Total depreciation, amortization, general and administrative expense</w:t>
            </w:r>
          </w:p>
        </w:tc>
        <w:tc>
          <w:tcPr>
            <w:tcW w:w="100" w:type="dxa"/>
            <w:vAlign w:val="bottom"/>
            <w:tcBorders>
              <w:bottom w:val="single" w:sz="8" w:color="auto"/>
            </w:tcBorders>
          </w:tcPr>
          <w:p>
            <w:pPr>
              <w:jc w:val="right"/>
              <w:ind w:right="38"/>
              <w:spacing w:after="0" w:line="48" w:lineRule="exact"/>
              <w:rPr>
                <w:sz w:val="20"/>
                <w:szCs w:val="20"/>
                <w:color w:val="auto"/>
              </w:rPr>
            </w:pPr>
            <w:r>
              <w:rPr>
                <w:rFonts w:ascii="Arial" w:cs="Arial" w:eastAsia="Arial" w:hAnsi="Arial"/>
                <w:sz w:val="5"/>
                <w:szCs w:val="5"/>
                <w:b w:val="1"/>
                <w:bCs w:val="1"/>
                <w:color w:val="auto"/>
                <w:w w:val="70"/>
              </w:rPr>
              <w:t>$</w:t>
            </w:r>
          </w:p>
        </w:tc>
        <w:tc>
          <w:tcPr>
            <w:tcW w:w="640" w:type="dxa"/>
            <w:vAlign w:val="bottom"/>
            <w:tcBorders>
              <w:bottom w:val="single" w:sz="8" w:color="auto"/>
            </w:tcBorders>
          </w:tcPr>
          <w:p>
            <w:pPr>
              <w:jc w:val="right"/>
              <w:spacing w:after="0" w:line="48" w:lineRule="exact"/>
              <w:rPr>
                <w:sz w:val="20"/>
                <w:szCs w:val="20"/>
                <w:color w:val="auto"/>
              </w:rPr>
            </w:pPr>
            <w:r>
              <w:rPr>
                <w:rFonts w:ascii="Arial" w:cs="Arial" w:eastAsia="Arial" w:hAnsi="Arial"/>
                <w:sz w:val="5"/>
                <w:szCs w:val="5"/>
                <w:b w:val="1"/>
                <w:bCs w:val="1"/>
                <w:color w:val="auto"/>
              </w:rPr>
              <w:t>(1,855)</w:t>
            </w:r>
          </w:p>
        </w:tc>
        <w:tc>
          <w:tcPr>
            <w:tcW w:w="6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jc w:val="center"/>
              <w:ind w:right="49"/>
              <w:spacing w:after="0" w:line="48" w:lineRule="exact"/>
              <w:rPr>
                <w:sz w:val="20"/>
                <w:szCs w:val="20"/>
                <w:color w:val="auto"/>
              </w:rPr>
            </w:pPr>
            <w:r>
              <w:rPr>
                <w:rFonts w:ascii="Arial" w:cs="Arial" w:eastAsia="Arial" w:hAnsi="Arial"/>
                <w:sz w:val="5"/>
                <w:szCs w:val="5"/>
                <w:b w:val="1"/>
                <w:bCs w:val="1"/>
                <w:i w:val="1"/>
                <w:iCs w:val="1"/>
                <w:color w:val="auto"/>
              </w:rPr>
              <w:t>37%</w:t>
            </w:r>
          </w:p>
        </w:tc>
        <w:tc>
          <w:tcPr>
            <w:tcW w:w="80" w:type="dxa"/>
            <w:vAlign w:val="bottom"/>
            <w:tcBorders>
              <w:bottom w:val="single" w:sz="8" w:color="auto"/>
            </w:tcBorders>
          </w:tcPr>
          <w:p>
            <w:pPr>
              <w:jc w:val="right"/>
              <w:ind w:right="54"/>
              <w:spacing w:after="0"/>
              <w:rPr>
                <w:sz w:val="20"/>
                <w:szCs w:val="20"/>
                <w:color w:val="auto"/>
              </w:rPr>
            </w:pPr>
            <w:r>
              <w:rPr>
                <w:rFonts w:ascii="Arial" w:cs="Arial" w:eastAsia="Arial" w:hAnsi="Arial"/>
                <w:sz w:val="1"/>
                <w:szCs w:val="1"/>
                <w:b w:val="1"/>
                <w:bCs w:val="1"/>
                <w:color w:val="auto"/>
                <w:w w:val="4294967288"/>
              </w:rPr>
              <w:t>$</w:t>
            </w:r>
          </w:p>
        </w:tc>
        <w:tc>
          <w:tcPr>
            <w:tcW w:w="640" w:type="dxa"/>
            <w:vAlign w:val="bottom"/>
            <w:tcBorders>
              <w:bottom w:val="single" w:sz="8" w:color="auto"/>
            </w:tcBorders>
          </w:tcPr>
          <w:p>
            <w:pPr>
              <w:jc w:val="right"/>
              <w:spacing w:after="0" w:line="48" w:lineRule="exact"/>
              <w:rPr>
                <w:sz w:val="20"/>
                <w:szCs w:val="20"/>
                <w:color w:val="auto"/>
              </w:rPr>
            </w:pPr>
            <w:r>
              <w:rPr>
                <w:rFonts w:ascii="Arial" w:cs="Arial" w:eastAsia="Arial" w:hAnsi="Arial"/>
                <w:sz w:val="5"/>
                <w:szCs w:val="5"/>
                <w:b w:val="1"/>
                <w:bCs w:val="1"/>
                <w:color w:val="auto"/>
              </w:rPr>
              <w:t>(1,862)</w:t>
            </w:r>
          </w:p>
        </w:tc>
        <w:tc>
          <w:tcPr>
            <w:tcW w:w="6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jc w:val="center"/>
              <w:ind w:right="29"/>
              <w:spacing w:after="0" w:line="48" w:lineRule="exact"/>
              <w:rPr>
                <w:sz w:val="20"/>
                <w:szCs w:val="20"/>
                <w:color w:val="auto"/>
              </w:rPr>
            </w:pPr>
            <w:r>
              <w:rPr>
                <w:rFonts w:ascii="Arial" w:cs="Arial" w:eastAsia="Arial" w:hAnsi="Arial"/>
                <w:sz w:val="5"/>
                <w:szCs w:val="5"/>
                <w:b w:val="1"/>
                <w:bCs w:val="1"/>
                <w:i w:val="1"/>
                <w:iCs w:val="1"/>
                <w:color w:val="auto"/>
              </w:rPr>
              <w:t>46%</w:t>
            </w:r>
          </w:p>
        </w:tc>
        <w:tc>
          <w:tcPr>
            <w:tcW w:w="3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jc w:val="right"/>
              <w:ind w:right="38"/>
              <w:spacing w:after="0" w:line="48" w:lineRule="exact"/>
              <w:rPr>
                <w:sz w:val="20"/>
                <w:szCs w:val="20"/>
                <w:color w:val="auto"/>
              </w:rPr>
            </w:pPr>
            <w:r>
              <w:rPr>
                <w:rFonts w:ascii="Arial" w:cs="Arial" w:eastAsia="Arial" w:hAnsi="Arial"/>
                <w:sz w:val="5"/>
                <w:szCs w:val="5"/>
                <w:b w:val="1"/>
                <w:bCs w:val="1"/>
                <w:color w:val="auto"/>
                <w:w w:val="70"/>
              </w:rPr>
              <w:t>$</w:t>
            </w:r>
          </w:p>
        </w:tc>
        <w:tc>
          <w:tcPr>
            <w:tcW w:w="660" w:type="dxa"/>
            <w:vAlign w:val="bottom"/>
            <w:tcBorders>
              <w:bottom w:val="single" w:sz="8" w:color="auto"/>
            </w:tcBorders>
          </w:tcPr>
          <w:p>
            <w:pPr>
              <w:jc w:val="right"/>
              <w:spacing w:after="0" w:line="48" w:lineRule="exact"/>
              <w:rPr>
                <w:sz w:val="20"/>
                <w:szCs w:val="20"/>
                <w:color w:val="auto"/>
              </w:rPr>
            </w:pPr>
            <w:r>
              <w:rPr>
                <w:rFonts w:ascii="Arial" w:cs="Arial" w:eastAsia="Arial" w:hAnsi="Arial"/>
                <w:sz w:val="5"/>
                <w:szCs w:val="5"/>
                <w:b w:val="1"/>
                <w:bCs w:val="1"/>
                <w:color w:val="auto"/>
              </w:rPr>
              <w:t>(5,526)</w:t>
            </w:r>
          </w:p>
        </w:tc>
        <w:tc>
          <w:tcPr>
            <w:tcW w:w="6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jc w:val="center"/>
              <w:ind w:right="29"/>
              <w:spacing w:after="0" w:line="48" w:lineRule="exact"/>
              <w:rPr>
                <w:sz w:val="20"/>
                <w:szCs w:val="20"/>
                <w:color w:val="auto"/>
              </w:rPr>
            </w:pPr>
            <w:r>
              <w:rPr>
                <w:rFonts w:ascii="Arial" w:cs="Arial" w:eastAsia="Arial" w:hAnsi="Arial"/>
                <w:sz w:val="5"/>
                <w:szCs w:val="5"/>
                <w:b w:val="1"/>
                <w:bCs w:val="1"/>
                <w:i w:val="1"/>
                <w:iCs w:val="1"/>
                <w:color w:val="auto"/>
              </w:rPr>
              <w:t>36%</w:t>
            </w:r>
          </w:p>
        </w:tc>
        <w:tc>
          <w:tcPr>
            <w:tcW w:w="100" w:type="dxa"/>
            <w:vAlign w:val="bottom"/>
            <w:tcBorders>
              <w:bottom w:val="single" w:sz="8" w:color="auto"/>
            </w:tcBorders>
          </w:tcPr>
          <w:p>
            <w:pPr>
              <w:jc w:val="right"/>
              <w:ind w:right="38"/>
              <w:spacing w:after="0" w:line="48" w:lineRule="exact"/>
              <w:rPr>
                <w:sz w:val="20"/>
                <w:szCs w:val="20"/>
                <w:color w:val="auto"/>
              </w:rPr>
            </w:pPr>
            <w:r>
              <w:rPr>
                <w:rFonts w:ascii="Arial" w:cs="Arial" w:eastAsia="Arial" w:hAnsi="Arial"/>
                <w:sz w:val="5"/>
                <w:szCs w:val="5"/>
                <w:b w:val="1"/>
                <w:bCs w:val="1"/>
                <w:color w:val="auto"/>
                <w:w w:val="70"/>
              </w:rPr>
              <w:t>$</w:t>
            </w:r>
          </w:p>
        </w:tc>
        <w:tc>
          <w:tcPr>
            <w:tcW w:w="620" w:type="dxa"/>
            <w:vAlign w:val="bottom"/>
            <w:tcBorders>
              <w:bottom w:val="single" w:sz="8" w:color="auto"/>
            </w:tcBorders>
          </w:tcPr>
          <w:p>
            <w:pPr>
              <w:jc w:val="right"/>
              <w:spacing w:after="0" w:line="48" w:lineRule="exact"/>
              <w:rPr>
                <w:sz w:val="20"/>
                <w:szCs w:val="20"/>
                <w:color w:val="auto"/>
              </w:rPr>
            </w:pPr>
            <w:r>
              <w:rPr>
                <w:rFonts w:ascii="Arial" w:cs="Arial" w:eastAsia="Arial" w:hAnsi="Arial"/>
                <w:sz w:val="5"/>
                <w:szCs w:val="5"/>
                <w:b w:val="1"/>
                <w:bCs w:val="1"/>
                <w:color w:val="auto"/>
              </w:rPr>
              <w:t>(5,675)</w:t>
            </w:r>
          </w:p>
        </w:tc>
        <w:tc>
          <w:tcPr>
            <w:tcW w:w="6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jc w:val="center"/>
              <w:ind w:right="29"/>
              <w:spacing w:after="0" w:line="48" w:lineRule="exact"/>
              <w:rPr>
                <w:sz w:val="20"/>
                <w:szCs w:val="20"/>
                <w:color w:val="auto"/>
              </w:rPr>
            </w:pPr>
            <w:r>
              <w:rPr>
                <w:rFonts w:ascii="Arial" w:cs="Arial" w:eastAsia="Arial" w:hAnsi="Arial"/>
                <w:sz w:val="5"/>
                <w:szCs w:val="5"/>
                <w:b w:val="1"/>
                <w:bCs w:val="1"/>
                <w:i w:val="1"/>
                <w:iCs w:val="1"/>
                <w:color w:val="auto"/>
              </w:rPr>
              <w:t>46%</w:t>
            </w:r>
          </w:p>
        </w:tc>
        <w:tc>
          <w:tcPr>
            <w:tcW w:w="700" w:type="dxa"/>
            <w:vAlign w:val="bottom"/>
            <w:tcBorders>
              <w:bottom w:val="single" w:sz="8" w:color="CCEEFF"/>
            </w:tcBorders>
            <w:gridSpan w:val="2"/>
          </w:tcPr>
          <w:p>
            <w:pPr>
              <w:jc w:val="right"/>
              <w:ind w:right="31"/>
              <w:spacing w:after="0" w:line="48" w:lineRule="exact"/>
              <w:rPr>
                <w:sz w:val="20"/>
                <w:szCs w:val="20"/>
                <w:color w:val="auto"/>
              </w:rPr>
            </w:pPr>
            <w:r>
              <w:rPr>
                <w:rFonts w:ascii="Arial" w:cs="Arial" w:eastAsia="Arial" w:hAnsi="Arial"/>
                <w:sz w:val="5"/>
                <w:szCs w:val="5"/>
                <w:b w:val="1"/>
                <w:bCs w:val="1"/>
                <w:color w:val="auto"/>
              </w:rPr>
              <w:t>-%</w:t>
            </w:r>
          </w:p>
        </w:tc>
        <w:tc>
          <w:tcPr>
            <w:tcW w:w="620" w:type="dxa"/>
            <w:vAlign w:val="bottom"/>
            <w:tcBorders>
              <w:bottom w:val="single" w:sz="8" w:color="CCEEFF"/>
            </w:tcBorders>
          </w:tcPr>
          <w:p>
            <w:pPr>
              <w:jc w:val="right"/>
              <w:ind w:right="49"/>
              <w:spacing w:after="0" w:line="48" w:lineRule="exact"/>
              <w:rPr>
                <w:sz w:val="20"/>
                <w:szCs w:val="20"/>
                <w:color w:val="auto"/>
              </w:rPr>
            </w:pPr>
            <w:r>
              <w:rPr>
                <w:rFonts w:ascii="Arial" w:cs="Arial" w:eastAsia="Arial" w:hAnsi="Arial"/>
                <w:sz w:val="5"/>
                <w:szCs w:val="5"/>
                <w:b w:val="1"/>
                <w:bCs w:val="1"/>
                <w:color w:val="auto"/>
              </w:rPr>
              <w:t>3%</w:t>
            </w:r>
          </w:p>
        </w:tc>
        <w:tc>
          <w:tcPr>
            <w:tcW w:w="0" w:type="dxa"/>
            <w:vAlign w:val="bottom"/>
          </w:tcPr>
          <w:p>
            <w:pPr>
              <w:spacing w:after="0"/>
              <w:rPr>
                <w:sz w:val="1"/>
                <w:szCs w:val="1"/>
                <w:color w:val="auto"/>
              </w:rPr>
            </w:pPr>
          </w:p>
        </w:tc>
      </w:tr>
      <w:tr>
        <w:trPr>
          <w:trHeight w:val="63"/>
        </w:trPr>
        <w:tc>
          <w:tcPr>
            <w:tcW w:w="1540" w:type="dxa"/>
            <w:vAlign w:val="bottom"/>
            <w:shd w:val="clear" w:color="auto" w:fill="CCEEFF"/>
          </w:tcPr>
          <w:p>
            <w:pPr>
              <w:spacing w:after="0" w:line="63" w:lineRule="exact"/>
              <w:rPr>
                <w:sz w:val="20"/>
                <w:szCs w:val="20"/>
                <w:color w:val="auto"/>
              </w:rPr>
            </w:pPr>
            <w:r>
              <w:rPr>
                <w:rFonts w:ascii="Arial" w:cs="Arial" w:eastAsia="Arial" w:hAnsi="Arial"/>
                <w:sz w:val="7"/>
                <w:szCs w:val="7"/>
                <w:b w:val="1"/>
                <w:bCs w:val="1"/>
                <w:color w:val="auto"/>
                <w:w w:val="99"/>
              </w:rPr>
              <w:t>OPERATING INCOME (LOSS) - REAL ESTATE</w:t>
            </w:r>
          </w:p>
        </w:tc>
        <w:tc>
          <w:tcPr>
            <w:tcW w:w="2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540" w:type="dxa"/>
            <w:vAlign w:val="bottom"/>
          </w:tcPr>
          <w:p>
            <w:pPr>
              <w:ind w:left="200"/>
              <w:spacing w:after="0" w:line="68" w:lineRule="exact"/>
              <w:rPr>
                <w:sz w:val="20"/>
                <w:szCs w:val="20"/>
                <w:color w:val="auto"/>
              </w:rPr>
            </w:pPr>
            <w:r>
              <w:rPr>
                <w:rFonts w:ascii="Arial" w:cs="Arial" w:eastAsia="Arial" w:hAnsi="Arial"/>
                <w:sz w:val="7"/>
                <w:szCs w:val="7"/>
                <w:b w:val="1"/>
                <w:bCs w:val="1"/>
                <w:color w:val="auto"/>
              </w:rPr>
              <w:t>United States</w:t>
            </w:r>
          </w:p>
        </w:tc>
        <w:tc>
          <w:tcPr>
            <w:tcW w:w="2580" w:type="dxa"/>
            <w:vAlign w:val="bottom"/>
          </w:tcPr>
          <w:p>
            <w:pPr>
              <w:spacing w:after="0"/>
              <w:rPr>
                <w:sz w:val="5"/>
                <w:szCs w:val="5"/>
                <w:color w:val="auto"/>
              </w:rPr>
            </w:pPr>
          </w:p>
        </w:tc>
        <w:tc>
          <w:tcPr>
            <w:tcW w:w="10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(229)</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4"/>
              </w:rPr>
              <w:t>(5)%</w:t>
            </w:r>
          </w:p>
        </w:tc>
        <w:tc>
          <w:tcPr>
            <w:tcW w:w="80" w:type="dxa"/>
            <w:vAlign w:val="bottom"/>
          </w:tcPr>
          <w:p>
            <w:pPr>
              <w:jc w:val="right"/>
              <w:ind w:right="54"/>
              <w:spacing w:after="0"/>
              <w:rPr>
                <w:sz w:val="20"/>
                <w:szCs w:val="20"/>
                <w:color w:val="auto"/>
              </w:rPr>
            </w:pPr>
            <w:r>
              <w:rPr>
                <w:rFonts w:ascii="Arial" w:cs="Arial" w:eastAsia="Arial" w:hAnsi="Arial"/>
                <w:sz w:val="1"/>
                <w:szCs w:val="1"/>
                <w:color w:val="auto"/>
                <w:w w:val="4294967288"/>
              </w:rPr>
              <w:t>$</w:t>
            </w:r>
          </w:p>
        </w:tc>
        <w:tc>
          <w:tcPr>
            <w:tcW w:w="640" w:type="dxa"/>
            <w:vAlign w:val="bottom"/>
          </w:tcPr>
          <w:p>
            <w:pPr>
              <w:jc w:val="right"/>
              <w:spacing w:after="0" w:line="68" w:lineRule="exact"/>
              <w:rPr>
                <w:sz w:val="20"/>
                <w:szCs w:val="20"/>
                <w:color w:val="auto"/>
              </w:rPr>
            </w:pPr>
            <w:r>
              <w:rPr>
                <w:rFonts w:ascii="Arial" w:cs="Arial" w:eastAsia="Arial" w:hAnsi="Arial"/>
                <w:sz w:val="7"/>
                <w:szCs w:val="7"/>
                <w:color w:val="auto"/>
              </w:rPr>
              <w:t>(1,159)</w:t>
            </w:r>
          </w:p>
        </w:tc>
        <w:tc>
          <w:tcPr>
            <w:tcW w:w="60" w:type="dxa"/>
            <w:vAlign w:val="bottom"/>
          </w:tcPr>
          <w:p>
            <w:pPr>
              <w:spacing w:after="0"/>
              <w:rPr>
                <w:sz w:val="5"/>
                <w:szCs w:val="5"/>
                <w:color w:val="auto"/>
              </w:rPr>
            </w:pPr>
          </w:p>
        </w:tc>
        <w:tc>
          <w:tcPr>
            <w:tcW w:w="40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96"/>
              </w:rPr>
              <w:t>(28)%</w:t>
            </w:r>
          </w:p>
        </w:tc>
        <w:tc>
          <w:tcPr>
            <w:tcW w:w="340" w:type="dxa"/>
            <w:vAlign w:val="bottom"/>
          </w:tcPr>
          <w:p>
            <w:pPr>
              <w:spacing w:after="0"/>
              <w:rPr>
                <w:sz w:val="5"/>
                <w:szCs w:val="5"/>
                <w:color w:val="auto"/>
              </w:rPr>
            </w:pPr>
          </w:p>
        </w:tc>
        <w:tc>
          <w:tcPr>
            <w:tcW w:w="10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(214)</w:t>
            </w:r>
          </w:p>
        </w:tc>
        <w:tc>
          <w:tcPr>
            <w:tcW w:w="420" w:type="dxa"/>
            <w:vAlign w:val="bottom"/>
          </w:tcPr>
          <w:p>
            <w:pPr>
              <w:jc w:val="center"/>
              <w:ind w:right="9"/>
              <w:spacing w:after="0" w:line="68" w:lineRule="exact"/>
              <w:rPr>
                <w:sz w:val="20"/>
                <w:szCs w:val="20"/>
                <w:color w:val="auto"/>
              </w:rPr>
            </w:pPr>
            <w:r>
              <w:rPr>
                <w:rFonts w:ascii="Arial" w:cs="Arial" w:eastAsia="Arial" w:hAnsi="Arial"/>
                <w:sz w:val="7"/>
                <w:szCs w:val="7"/>
                <w:i w:val="1"/>
                <w:iCs w:val="1"/>
                <w:color w:val="auto"/>
                <w:w w:val="94"/>
              </w:rPr>
              <w:t>(1)%</w:t>
            </w:r>
          </w:p>
        </w:tc>
        <w:tc>
          <w:tcPr>
            <w:tcW w:w="10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line="68" w:lineRule="exact"/>
              <w:rPr>
                <w:sz w:val="20"/>
                <w:szCs w:val="20"/>
                <w:color w:val="auto"/>
              </w:rPr>
            </w:pPr>
            <w:r>
              <w:rPr>
                <w:rFonts w:ascii="Arial" w:cs="Arial" w:eastAsia="Arial" w:hAnsi="Arial"/>
                <w:sz w:val="7"/>
                <w:szCs w:val="7"/>
                <w:color w:val="auto"/>
              </w:rPr>
              <w:t>(3,273)</w:t>
            </w:r>
          </w:p>
        </w:tc>
        <w:tc>
          <w:tcPr>
            <w:tcW w:w="60" w:type="dxa"/>
            <w:vAlign w:val="bottom"/>
          </w:tcPr>
          <w:p>
            <w:pPr>
              <w:spacing w:after="0"/>
              <w:rPr>
                <w:sz w:val="5"/>
                <w:szCs w:val="5"/>
                <w:color w:val="auto"/>
              </w:rPr>
            </w:pP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6"/>
              </w:rPr>
              <w:t>(27)%</w:t>
            </w:r>
          </w:p>
        </w:tc>
        <w:tc>
          <w:tcPr>
            <w:tcW w:w="700" w:type="dxa"/>
            <w:vAlign w:val="bottom"/>
            <w:gridSpan w:val="2"/>
          </w:tcPr>
          <w:p>
            <w:pPr>
              <w:jc w:val="right"/>
              <w:ind w:right="31"/>
              <w:spacing w:after="0" w:line="68" w:lineRule="exact"/>
              <w:rPr>
                <w:sz w:val="20"/>
                <w:szCs w:val="20"/>
                <w:color w:val="auto"/>
              </w:rPr>
            </w:pPr>
            <w:r>
              <w:rPr>
                <w:rFonts w:ascii="Arial" w:cs="Arial" w:eastAsia="Arial" w:hAnsi="Arial"/>
                <w:sz w:val="7"/>
                <w:szCs w:val="7"/>
                <w:color w:val="auto"/>
              </w:rPr>
              <w:t>80%</w:t>
            </w:r>
          </w:p>
        </w:tc>
        <w:tc>
          <w:tcPr>
            <w:tcW w:w="620" w:type="dxa"/>
            <w:vAlign w:val="bottom"/>
          </w:tcPr>
          <w:p>
            <w:pPr>
              <w:jc w:val="right"/>
              <w:ind w:right="49"/>
              <w:spacing w:after="0" w:line="68" w:lineRule="exact"/>
              <w:rPr>
                <w:sz w:val="20"/>
                <w:szCs w:val="20"/>
                <w:color w:val="auto"/>
              </w:rPr>
            </w:pPr>
            <w:r>
              <w:rPr>
                <w:rFonts w:ascii="Arial" w:cs="Arial" w:eastAsia="Arial" w:hAnsi="Arial"/>
                <w:sz w:val="7"/>
                <w:szCs w:val="7"/>
                <w:color w:val="auto"/>
              </w:rPr>
              <w:t>93%</w:t>
            </w:r>
          </w:p>
        </w:tc>
        <w:tc>
          <w:tcPr>
            <w:tcW w:w="0" w:type="dxa"/>
            <w:vAlign w:val="bottom"/>
          </w:tcPr>
          <w:p>
            <w:pPr>
              <w:spacing w:after="0"/>
              <w:rPr>
                <w:sz w:val="1"/>
                <w:szCs w:val="1"/>
                <w:color w:val="auto"/>
              </w:rPr>
            </w:pPr>
          </w:p>
        </w:tc>
      </w:tr>
      <w:tr>
        <w:trPr>
          <w:trHeight w:val="68"/>
        </w:trPr>
        <w:tc>
          <w:tcPr>
            <w:tcW w:w="1540" w:type="dxa"/>
            <w:vAlign w:val="bottom"/>
            <w:shd w:val="clear" w:color="auto" w:fill="CCEEFF"/>
          </w:tcPr>
          <w:p>
            <w:pPr>
              <w:ind w:left="200"/>
              <w:spacing w:after="0" w:line="68" w:lineRule="exact"/>
              <w:rPr>
                <w:sz w:val="20"/>
                <w:szCs w:val="20"/>
                <w:color w:val="auto"/>
              </w:rPr>
            </w:pPr>
            <w:r>
              <w:rPr>
                <w:rFonts w:ascii="Arial" w:cs="Arial" w:eastAsia="Arial" w:hAnsi="Arial"/>
                <w:sz w:val="7"/>
                <w:szCs w:val="7"/>
                <w:b w:val="1"/>
                <w:bCs w:val="1"/>
                <w:color w:val="auto"/>
              </w:rPr>
              <w:t>Australia</w:t>
            </w:r>
          </w:p>
        </w:tc>
        <w:tc>
          <w:tcPr>
            <w:tcW w:w="2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1,333</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49"/>
              <w:spacing w:after="0" w:line="68" w:lineRule="exact"/>
              <w:rPr>
                <w:sz w:val="20"/>
                <w:szCs w:val="20"/>
                <w:color w:val="auto"/>
              </w:rPr>
            </w:pPr>
            <w:r>
              <w:rPr>
                <w:rFonts w:ascii="Arial" w:cs="Arial" w:eastAsia="Arial" w:hAnsi="Arial"/>
                <w:sz w:val="7"/>
                <w:szCs w:val="7"/>
                <w:i w:val="1"/>
                <w:iCs w:val="1"/>
                <w:color w:val="auto"/>
                <w:w w:val="99"/>
              </w:rPr>
              <w:t>26%</w:t>
            </w: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1,351</w:t>
            </w:r>
          </w:p>
        </w:tc>
        <w:tc>
          <w:tcPr>
            <w:tcW w:w="60" w:type="dxa"/>
            <w:vAlign w:val="bottom"/>
            <w:shd w:val="clear" w:color="auto" w:fill="CCEEFF"/>
          </w:tcPr>
          <w:p>
            <w:pPr>
              <w:spacing w:after="0"/>
              <w:rPr>
                <w:sz w:val="5"/>
                <w:szCs w:val="5"/>
                <w:color w:val="auto"/>
              </w:rPr>
            </w:pPr>
          </w:p>
        </w:tc>
        <w:tc>
          <w:tcPr>
            <w:tcW w:w="40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99"/>
              </w:rPr>
              <w:t>33%</w:t>
            </w: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3,972</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85"/>
              </w:rPr>
              <w:t>26%</w:t>
            </w: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4,045</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jc w:val="center"/>
              <w:ind w:right="29"/>
              <w:spacing w:after="0" w:line="68" w:lineRule="exact"/>
              <w:rPr>
                <w:sz w:val="20"/>
                <w:szCs w:val="20"/>
                <w:color w:val="auto"/>
              </w:rPr>
            </w:pPr>
            <w:r>
              <w:rPr>
                <w:rFonts w:ascii="Arial" w:cs="Arial" w:eastAsia="Arial" w:hAnsi="Arial"/>
                <w:sz w:val="7"/>
                <w:szCs w:val="7"/>
                <w:i w:val="1"/>
                <w:iCs w:val="1"/>
                <w:color w:val="auto"/>
                <w:w w:val="85"/>
              </w:rPr>
              <w:t>33%</w:t>
            </w:r>
          </w:p>
        </w:tc>
        <w:tc>
          <w:tcPr>
            <w:tcW w:w="700" w:type="dxa"/>
            <w:vAlign w:val="bottom"/>
            <w:gridSpan w:val="2"/>
            <w:shd w:val="clear" w:color="auto" w:fill="CCEEFF"/>
          </w:tcPr>
          <w:p>
            <w:pPr>
              <w:jc w:val="right"/>
              <w:ind w:right="31"/>
              <w:spacing w:after="0" w:line="68" w:lineRule="exact"/>
              <w:rPr>
                <w:sz w:val="20"/>
                <w:szCs w:val="20"/>
                <w:color w:val="auto"/>
              </w:rPr>
            </w:pPr>
            <w:r>
              <w:rPr>
                <w:rFonts w:ascii="Arial" w:cs="Arial" w:eastAsia="Arial" w:hAnsi="Arial"/>
                <w:sz w:val="7"/>
                <w:szCs w:val="7"/>
                <w:color w:val="auto"/>
              </w:rPr>
              <w:t>(1)%</w:t>
            </w:r>
          </w:p>
        </w:tc>
        <w:tc>
          <w:tcPr>
            <w:tcW w:w="620" w:type="dxa"/>
            <w:vAlign w:val="bottom"/>
            <w:shd w:val="clear" w:color="auto" w:fill="CCEEFF"/>
          </w:tcPr>
          <w:p>
            <w:pPr>
              <w:jc w:val="right"/>
              <w:ind w:right="49"/>
              <w:spacing w:after="0" w:line="68" w:lineRule="exact"/>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68"/>
        </w:trPr>
        <w:tc>
          <w:tcPr>
            <w:tcW w:w="1540" w:type="dxa"/>
            <w:vAlign w:val="bottom"/>
          </w:tcPr>
          <w:p>
            <w:pPr>
              <w:ind w:left="200"/>
              <w:spacing w:after="0" w:line="68" w:lineRule="exact"/>
              <w:rPr>
                <w:sz w:val="20"/>
                <w:szCs w:val="20"/>
                <w:color w:val="auto"/>
              </w:rPr>
            </w:pPr>
            <w:r>
              <w:rPr>
                <w:rFonts w:ascii="Arial" w:cs="Arial" w:eastAsia="Arial" w:hAnsi="Arial"/>
                <w:sz w:val="7"/>
                <w:szCs w:val="7"/>
                <w:b w:val="1"/>
                <w:bCs w:val="1"/>
                <w:color w:val="auto"/>
              </w:rPr>
              <w:t>New Zealand</w:t>
            </w:r>
          </w:p>
        </w:tc>
        <w:tc>
          <w:tcPr>
            <w:tcW w:w="2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(184)</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4"/>
              </w:rPr>
              <w:t>(4)%</w:t>
            </w:r>
          </w:p>
        </w:tc>
        <w:tc>
          <w:tcPr>
            <w:tcW w:w="80" w:type="dxa"/>
            <w:vAlign w:val="bottom"/>
          </w:tcPr>
          <w:p>
            <w:pPr>
              <w:spacing w:after="0"/>
              <w:rPr>
                <w:sz w:val="5"/>
                <w:szCs w:val="5"/>
                <w:color w:val="auto"/>
              </w:rPr>
            </w:pPr>
          </w:p>
        </w:tc>
        <w:tc>
          <w:tcPr>
            <w:tcW w:w="70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(337)</w:t>
            </w:r>
          </w:p>
        </w:tc>
        <w:tc>
          <w:tcPr>
            <w:tcW w:w="400" w:type="dxa"/>
            <w:vAlign w:val="bottom"/>
          </w:tcPr>
          <w:p>
            <w:pPr>
              <w:jc w:val="center"/>
              <w:ind w:right="29"/>
              <w:spacing w:after="0" w:line="68" w:lineRule="exact"/>
              <w:rPr>
                <w:sz w:val="20"/>
                <w:szCs w:val="20"/>
                <w:color w:val="auto"/>
              </w:rPr>
            </w:pPr>
            <w:r>
              <w:rPr>
                <w:rFonts w:ascii="Arial" w:cs="Arial" w:eastAsia="Arial" w:hAnsi="Arial"/>
                <w:sz w:val="7"/>
                <w:szCs w:val="7"/>
                <w:i w:val="1"/>
                <w:iCs w:val="1"/>
                <w:color w:val="auto"/>
                <w:w w:val="94"/>
              </w:rPr>
              <w:t>(8)%</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(546)</w:t>
            </w:r>
          </w:p>
        </w:tc>
        <w:tc>
          <w:tcPr>
            <w:tcW w:w="420" w:type="dxa"/>
            <w:vAlign w:val="bottom"/>
          </w:tcPr>
          <w:p>
            <w:pPr>
              <w:jc w:val="center"/>
              <w:ind w:right="9"/>
              <w:spacing w:after="0" w:line="68" w:lineRule="exact"/>
              <w:rPr>
                <w:sz w:val="20"/>
                <w:szCs w:val="20"/>
                <w:color w:val="auto"/>
              </w:rPr>
            </w:pPr>
            <w:r>
              <w:rPr>
                <w:rFonts w:ascii="Arial" w:cs="Arial" w:eastAsia="Arial" w:hAnsi="Arial"/>
                <w:sz w:val="7"/>
                <w:szCs w:val="7"/>
                <w:i w:val="1"/>
                <w:iCs w:val="1"/>
                <w:color w:val="auto"/>
                <w:w w:val="94"/>
              </w:rPr>
              <w:t>(4)%</w:t>
            </w:r>
          </w:p>
        </w:tc>
        <w:tc>
          <w:tcPr>
            <w:tcW w:w="100" w:type="dxa"/>
            <w:vAlign w:val="bottom"/>
          </w:tcPr>
          <w:p>
            <w:pPr>
              <w:spacing w:after="0"/>
              <w:rPr>
                <w:sz w:val="5"/>
                <w:szCs w:val="5"/>
                <w:color w:val="auto"/>
              </w:rPr>
            </w:pPr>
          </w:p>
        </w:tc>
        <w:tc>
          <w:tcPr>
            <w:tcW w:w="68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(897)</w:t>
            </w:r>
          </w:p>
        </w:tc>
        <w:tc>
          <w:tcPr>
            <w:tcW w:w="420" w:type="dxa"/>
            <w:vAlign w:val="bottom"/>
          </w:tcPr>
          <w:p>
            <w:pPr>
              <w:jc w:val="center"/>
              <w:ind w:right="49"/>
              <w:spacing w:after="0" w:line="68" w:lineRule="exact"/>
              <w:rPr>
                <w:sz w:val="20"/>
                <w:szCs w:val="20"/>
                <w:color w:val="auto"/>
              </w:rPr>
            </w:pPr>
            <w:r>
              <w:rPr>
                <w:rFonts w:ascii="Arial" w:cs="Arial" w:eastAsia="Arial" w:hAnsi="Arial"/>
                <w:sz w:val="7"/>
                <w:szCs w:val="7"/>
                <w:i w:val="1"/>
                <w:iCs w:val="1"/>
                <w:color w:val="auto"/>
                <w:w w:val="94"/>
              </w:rPr>
              <w:t>(7)%</w:t>
            </w:r>
          </w:p>
        </w:tc>
        <w:tc>
          <w:tcPr>
            <w:tcW w:w="700" w:type="dxa"/>
            <w:vAlign w:val="bottom"/>
            <w:gridSpan w:val="2"/>
          </w:tcPr>
          <w:p>
            <w:pPr>
              <w:jc w:val="right"/>
              <w:ind w:right="31"/>
              <w:spacing w:after="0" w:line="68" w:lineRule="exact"/>
              <w:rPr>
                <w:sz w:val="20"/>
                <w:szCs w:val="20"/>
                <w:color w:val="auto"/>
              </w:rPr>
            </w:pPr>
            <w:r>
              <w:rPr>
                <w:rFonts w:ascii="Arial" w:cs="Arial" w:eastAsia="Arial" w:hAnsi="Arial"/>
                <w:sz w:val="7"/>
                <w:szCs w:val="7"/>
                <w:color w:val="auto"/>
              </w:rPr>
              <w:t>45%</w:t>
            </w:r>
          </w:p>
        </w:tc>
        <w:tc>
          <w:tcPr>
            <w:tcW w:w="620" w:type="dxa"/>
            <w:vAlign w:val="bottom"/>
          </w:tcPr>
          <w:p>
            <w:pPr>
              <w:jc w:val="right"/>
              <w:ind w:right="49"/>
              <w:spacing w:after="0" w:line="68" w:lineRule="exact"/>
              <w:rPr>
                <w:sz w:val="20"/>
                <w:szCs w:val="20"/>
                <w:color w:val="auto"/>
              </w:rPr>
            </w:pPr>
            <w:r>
              <w:rPr>
                <w:rFonts w:ascii="Arial" w:cs="Arial" w:eastAsia="Arial" w:hAnsi="Arial"/>
                <w:sz w:val="7"/>
                <w:szCs w:val="7"/>
                <w:color w:val="auto"/>
              </w:rPr>
              <w:t>39%</w:t>
            </w:r>
          </w:p>
        </w:tc>
        <w:tc>
          <w:tcPr>
            <w:tcW w:w="0" w:type="dxa"/>
            <w:vAlign w:val="bottom"/>
          </w:tcPr>
          <w:p>
            <w:pPr>
              <w:spacing w:after="0"/>
              <w:rPr>
                <w:sz w:val="1"/>
                <w:szCs w:val="1"/>
                <w:color w:val="auto"/>
              </w:rPr>
            </w:pPr>
          </w:p>
        </w:tc>
      </w:tr>
      <w:tr>
        <w:trPr>
          <w:trHeight w:val="55"/>
        </w:trPr>
        <w:tc>
          <w:tcPr>
            <w:tcW w:w="15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3"/>
                <w:szCs w:val="3"/>
                <w:b w:val="1"/>
                <w:bCs w:val="1"/>
                <w:color w:val="auto"/>
              </w:rPr>
              <w:t>Total real estate operating income (loss)</w:t>
            </w:r>
          </w:p>
        </w:tc>
        <w:tc>
          <w:tcPr>
            <w:tcW w:w="258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auto"/>
              <w:bottom w:val="single" w:sz="8" w:color="auto"/>
            </w:tcBorders>
            <w:shd w:val="clear" w:color="auto" w:fill="CCEEFF"/>
          </w:tcPr>
          <w:p>
            <w:pPr>
              <w:jc w:val="right"/>
              <w:ind w:right="38"/>
              <w:spacing w:after="0" w:line="48" w:lineRule="exact"/>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line="48" w:lineRule="exact"/>
              <w:rPr>
                <w:sz w:val="20"/>
                <w:szCs w:val="20"/>
                <w:color w:val="auto"/>
              </w:rPr>
            </w:pPr>
            <w:r>
              <w:rPr>
                <w:rFonts w:ascii="Arial" w:cs="Arial" w:eastAsia="Arial" w:hAnsi="Arial"/>
                <w:sz w:val="5"/>
                <w:szCs w:val="5"/>
                <w:b w:val="1"/>
                <w:bCs w:val="1"/>
                <w:color w:val="auto"/>
              </w:rPr>
              <w:t>920</w:t>
            </w: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420" w:type="dxa"/>
            <w:vAlign w:val="bottom"/>
            <w:tcBorders>
              <w:top w:val="single" w:sz="8" w:color="CCEEFF"/>
              <w:bottom w:val="single" w:sz="8" w:color="CCEEFF"/>
            </w:tcBorders>
            <w:shd w:val="clear" w:color="auto" w:fill="CCEEFF"/>
          </w:tcPr>
          <w:p>
            <w:pPr>
              <w:jc w:val="center"/>
              <w:ind w:right="49"/>
              <w:spacing w:after="0"/>
              <w:rPr>
                <w:sz w:val="20"/>
                <w:szCs w:val="20"/>
                <w:color w:val="auto"/>
              </w:rPr>
            </w:pPr>
            <w:r>
              <w:rPr>
                <w:rFonts w:ascii="Arial" w:cs="Arial" w:eastAsia="Arial" w:hAnsi="Arial"/>
                <w:sz w:val="3"/>
                <w:szCs w:val="3"/>
                <w:b w:val="1"/>
                <w:bCs w:val="1"/>
                <w:i w:val="1"/>
                <w:iCs w:val="1"/>
                <w:color w:val="auto"/>
              </w:rPr>
              <w:t>18%</w:t>
            </w:r>
          </w:p>
        </w:tc>
        <w:tc>
          <w:tcPr>
            <w:tcW w:w="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
                <w:szCs w:val="1"/>
                <w:b w:val="1"/>
                <w:bCs w:val="1"/>
                <w:color w:val="auto"/>
                <w:w w:val="4294967288"/>
              </w:rPr>
              <w:t>$</w:t>
            </w:r>
          </w:p>
        </w:tc>
        <w:tc>
          <w:tcPr>
            <w:tcW w:w="640" w:type="dxa"/>
            <w:vAlign w:val="bottom"/>
            <w:tcBorders>
              <w:top w:val="single" w:sz="8" w:color="auto"/>
              <w:bottom w:val="single" w:sz="8" w:color="auto"/>
            </w:tcBorders>
            <w:shd w:val="clear" w:color="auto" w:fill="CCEEFF"/>
          </w:tcPr>
          <w:p>
            <w:pPr>
              <w:jc w:val="right"/>
              <w:spacing w:after="0" w:line="48" w:lineRule="exact"/>
              <w:rPr>
                <w:sz w:val="20"/>
                <w:szCs w:val="20"/>
                <w:color w:val="auto"/>
              </w:rPr>
            </w:pPr>
            <w:r>
              <w:rPr>
                <w:rFonts w:ascii="Arial" w:cs="Arial" w:eastAsia="Arial" w:hAnsi="Arial"/>
                <w:sz w:val="5"/>
                <w:szCs w:val="5"/>
                <w:b w:val="1"/>
                <w:bCs w:val="1"/>
                <w:color w:val="auto"/>
              </w:rPr>
              <w:t>(145)</w:t>
            </w: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400" w:type="dxa"/>
            <w:vAlign w:val="bottom"/>
            <w:tcBorders>
              <w:top w:val="single" w:sz="8" w:color="CCEEFF"/>
              <w:bottom w:val="single" w:sz="8" w:color="CCEEFF"/>
            </w:tcBorders>
            <w:shd w:val="clear" w:color="auto" w:fill="CCEEFF"/>
          </w:tcPr>
          <w:p>
            <w:pPr>
              <w:jc w:val="center"/>
              <w:ind w:right="29"/>
              <w:spacing w:after="0"/>
              <w:rPr>
                <w:sz w:val="20"/>
                <w:szCs w:val="20"/>
                <w:color w:val="auto"/>
              </w:rPr>
            </w:pPr>
            <w:r>
              <w:rPr>
                <w:rFonts w:ascii="Arial" w:cs="Arial" w:eastAsia="Arial" w:hAnsi="Arial"/>
                <w:sz w:val="3"/>
                <w:szCs w:val="3"/>
                <w:b w:val="1"/>
                <w:bCs w:val="1"/>
                <w:i w:val="1"/>
                <w:iCs w:val="1"/>
                <w:color w:val="auto"/>
              </w:rPr>
              <w:t>(4)%</w:t>
            </w:r>
          </w:p>
        </w:tc>
        <w:tc>
          <w:tcPr>
            <w:tcW w:w="34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auto"/>
              <w:bottom w:val="single" w:sz="8" w:color="auto"/>
            </w:tcBorders>
            <w:shd w:val="clear" w:color="auto" w:fill="CCEEFF"/>
          </w:tcPr>
          <w:p>
            <w:pPr>
              <w:jc w:val="right"/>
              <w:ind w:right="38"/>
              <w:spacing w:after="0" w:line="48" w:lineRule="exact"/>
              <w:rPr>
                <w:sz w:val="20"/>
                <w:szCs w:val="20"/>
                <w:color w:val="auto"/>
              </w:rPr>
            </w:pPr>
            <w:r>
              <w:rPr>
                <w:rFonts w:ascii="Arial" w:cs="Arial" w:eastAsia="Arial" w:hAnsi="Arial"/>
                <w:sz w:val="5"/>
                <w:szCs w:val="5"/>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line="48" w:lineRule="exact"/>
              <w:rPr>
                <w:sz w:val="20"/>
                <w:szCs w:val="20"/>
                <w:color w:val="auto"/>
              </w:rPr>
            </w:pPr>
            <w:r>
              <w:rPr>
                <w:rFonts w:ascii="Arial" w:cs="Arial" w:eastAsia="Arial" w:hAnsi="Arial"/>
                <w:sz w:val="5"/>
                <w:szCs w:val="5"/>
                <w:b w:val="1"/>
                <w:bCs w:val="1"/>
                <w:color w:val="auto"/>
              </w:rPr>
              <w:t>3,212</w:t>
            </w: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420" w:type="dxa"/>
            <w:vAlign w:val="bottom"/>
            <w:tcBorders>
              <w:top w:val="single" w:sz="8" w:color="CCEEFF"/>
              <w:bottom w:val="single" w:sz="8" w:color="CCEEFF"/>
            </w:tcBorders>
            <w:shd w:val="clear" w:color="auto" w:fill="CCEEFF"/>
          </w:tcPr>
          <w:p>
            <w:pPr>
              <w:jc w:val="center"/>
              <w:ind w:right="29"/>
              <w:spacing w:after="0"/>
              <w:rPr>
                <w:sz w:val="20"/>
                <w:szCs w:val="20"/>
                <w:color w:val="auto"/>
              </w:rPr>
            </w:pPr>
            <w:r>
              <w:rPr>
                <w:rFonts w:ascii="Arial" w:cs="Arial" w:eastAsia="Arial" w:hAnsi="Arial"/>
                <w:sz w:val="3"/>
                <w:szCs w:val="3"/>
                <w:b w:val="1"/>
                <w:bCs w:val="1"/>
                <w:i w:val="1"/>
                <w:iCs w:val="1"/>
                <w:color w:val="auto"/>
              </w:rPr>
              <w:t>21%</w:t>
            </w:r>
          </w:p>
        </w:tc>
        <w:tc>
          <w:tcPr>
            <w:tcW w:w="100" w:type="dxa"/>
            <w:vAlign w:val="bottom"/>
            <w:tcBorders>
              <w:top w:val="single" w:sz="8" w:color="auto"/>
              <w:bottom w:val="single" w:sz="8" w:color="auto"/>
            </w:tcBorders>
            <w:shd w:val="clear" w:color="auto" w:fill="CCEEFF"/>
          </w:tcPr>
          <w:p>
            <w:pPr>
              <w:jc w:val="right"/>
              <w:ind w:right="38"/>
              <w:spacing w:after="0" w:line="48" w:lineRule="exact"/>
              <w:rPr>
                <w:sz w:val="20"/>
                <w:szCs w:val="20"/>
                <w:color w:val="auto"/>
              </w:rPr>
            </w:pPr>
            <w:r>
              <w:rPr>
                <w:rFonts w:ascii="Arial" w:cs="Arial" w:eastAsia="Arial" w:hAnsi="Arial"/>
                <w:sz w:val="5"/>
                <w:szCs w:val="5"/>
                <w:b w:val="1"/>
                <w:bCs w:val="1"/>
                <w:color w:val="auto"/>
                <w:w w:val="70"/>
              </w:rPr>
              <w:t>$</w:t>
            </w:r>
          </w:p>
        </w:tc>
        <w:tc>
          <w:tcPr>
            <w:tcW w:w="620" w:type="dxa"/>
            <w:vAlign w:val="bottom"/>
            <w:tcBorders>
              <w:top w:val="single" w:sz="8" w:color="auto"/>
              <w:bottom w:val="single" w:sz="8" w:color="auto"/>
            </w:tcBorders>
            <w:shd w:val="clear" w:color="auto" w:fill="CCEEFF"/>
          </w:tcPr>
          <w:p>
            <w:pPr>
              <w:jc w:val="right"/>
              <w:spacing w:after="0" w:line="48" w:lineRule="exact"/>
              <w:rPr>
                <w:sz w:val="20"/>
                <w:szCs w:val="20"/>
                <w:color w:val="auto"/>
              </w:rPr>
            </w:pPr>
            <w:r>
              <w:rPr>
                <w:rFonts w:ascii="Arial" w:cs="Arial" w:eastAsia="Arial" w:hAnsi="Arial"/>
                <w:sz w:val="5"/>
                <w:szCs w:val="5"/>
                <w:b w:val="1"/>
                <w:bCs w:val="1"/>
                <w:color w:val="auto"/>
              </w:rPr>
              <w:t>(125)</w:t>
            </w:r>
          </w:p>
        </w:tc>
        <w:tc>
          <w:tcPr>
            <w:tcW w:w="60" w:type="dxa"/>
            <w:vAlign w:val="bottom"/>
            <w:tcBorders>
              <w:top w:val="single" w:sz="8" w:color="CCEEFF"/>
              <w:bottom w:val="single" w:sz="8" w:color="CCEEFF"/>
            </w:tcBorders>
            <w:shd w:val="clear" w:color="auto" w:fill="CCEEFF"/>
          </w:tcPr>
          <w:p>
            <w:pPr>
              <w:spacing w:after="0"/>
              <w:rPr>
                <w:sz w:val="4"/>
                <w:szCs w:val="4"/>
                <w:color w:val="auto"/>
              </w:rPr>
            </w:pPr>
          </w:p>
        </w:tc>
        <w:tc>
          <w:tcPr>
            <w:tcW w:w="420" w:type="dxa"/>
            <w:vAlign w:val="bottom"/>
            <w:tcBorders>
              <w:top w:val="single" w:sz="8" w:color="CCEEFF"/>
              <w:bottom w:val="single" w:sz="8" w:color="CCEEFF"/>
            </w:tcBorders>
            <w:shd w:val="clear" w:color="auto" w:fill="CCEEFF"/>
          </w:tcPr>
          <w:p>
            <w:pPr>
              <w:jc w:val="center"/>
              <w:ind w:right="49"/>
              <w:spacing w:after="0"/>
              <w:rPr>
                <w:sz w:val="20"/>
                <w:szCs w:val="20"/>
                <w:color w:val="auto"/>
              </w:rPr>
            </w:pPr>
            <w:r>
              <w:rPr>
                <w:rFonts w:ascii="Arial" w:cs="Arial" w:eastAsia="Arial" w:hAnsi="Arial"/>
                <w:sz w:val="3"/>
                <w:szCs w:val="3"/>
                <w:b w:val="1"/>
                <w:bCs w:val="1"/>
                <w:i w:val="1"/>
                <w:iCs w:val="1"/>
                <w:color w:val="auto"/>
              </w:rPr>
              <w:t>(1)%</w:t>
            </w:r>
          </w:p>
        </w:tc>
        <w:tc>
          <w:tcPr>
            <w:tcW w:w="700" w:type="dxa"/>
            <w:vAlign w:val="bottom"/>
            <w:tcBorders>
              <w:top w:val="single" w:sz="8" w:color="CCEEFF"/>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3"/>
                <w:szCs w:val="3"/>
                <w:b w:val="1"/>
                <w:bCs w:val="1"/>
                <w:color w:val="auto"/>
              </w:rPr>
              <w:t>&gt;100%</w:t>
            </w:r>
          </w:p>
        </w:tc>
        <w:tc>
          <w:tcPr>
            <w:tcW w:w="620" w:type="dxa"/>
            <w:vAlign w:val="bottom"/>
            <w:tcBorders>
              <w:top w:val="single" w:sz="8" w:color="CCEEFF"/>
              <w:bottom w:val="single" w:sz="8" w:color="CCEEFF"/>
            </w:tcBorders>
            <w:shd w:val="clear" w:color="auto" w:fill="CCEEFF"/>
          </w:tcPr>
          <w:p>
            <w:pPr>
              <w:jc w:val="right"/>
              <w:ind w:right="49"/>
              <w:spacing w:after="0"/>
              <w:rPr>
                <w:sz w:val="20"/>
                <w:szCs w:val="20"/>
                <w:color w:val="auto"/>
              </w:rPr>
            </w:pPr>
            <w:r>
              <w:rPr>
                <w:rFonts w:ascii="Arial" w:cs="Arial" w:eastAsia="Arial" w:hAnsi="Arial"/>
                <w:sz w:val="3"/>
                <w:szCs w:val="3"/>
                <w:b w:val="1"/>
                <w:bCs w:val="1"/>
                <w:color w:val="auto"/>
              </w:rPr>
              <w:t>&gt;100%</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u w:val="single" w:color="auto"/>
          <w:color w:val="auto"/>
        </w:rPr>
        <w:t>Third Quarter and Nine Months Results</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Revenue</w:t>
      </w:r>
    </w:p>
    <w:p>
      <w:pPr>
        <w:spacing w:after="0" w:line="101" w:lineRule="exact"/>
        <w:rPr>
          <w:sz w:val="20"/>
          <w:szCs w:val="20"/>
          <w:color w:val="auto"/>
        </w:rPr>
      </w:pPr>
    </w:p>
    <w:p>
      <w:pPr>
        <w:jc w:val="both"/>
        <w:ind w:right="20"/>
        <w:spacing w:after="0" w:line="237" w:lineRule="auto"/>
        <w:rPr>
          <w:sz w:val="20"/>
          <w:szCs w:val="20"/>
          <w:color w:val="auto"/>
        </w:rPr>
      </w:pPr>
      <w:r>
        <w:rPr>
          <w:rFonts w:ascii="Arial" w:cs="Arial" w:eastAsia="Arial" w:hAnsi="Arial"/>
          <w:sz w:val="10"/>
          <w:szCs w:val="10"/>
          <w:color w:val="auto"/>
        </w:rPr>
        <w:t>Real estate revenue for the quarter ended September 30, 2023, increased by approximately $1.0 million to $5.1 million, compared to the same period in the prior year. This increase was due to the recognition of rental income from our tenant at our 44 Union Square property, which did not occur in the same period of the prior year and increased live theatre rental income.</w:t>
      </w:r>
    </w:p>
    <w:p>
      <w:pPr>
        <w:spacing w:after="0" w:line="88" w:lineRule="exact"/>
        <w:rPr>
          <w:sz w:val="20"/>
          <w:szCs w:val="20"/>
          <w:color w:val="auto"/>
        </w:rPr>
      </w:pPr>
    </w:p>
    <w:p>
      <w:pPr>
        <w:ind w:right="280"/>
        <w:spacing w:after="0" w:line="237" w:lineRule="auto"/>
        <w:rPr>
          <w:sz w:val="20"/>
          <w:szCs w:val="20"/>
          <w:color w:val="auto"/>
        </w:rPr>
      </w:pPr>
      <w:r>
        <w:rPr>
          <w:rFonts w:ascii="Arial" w:cs="Arial" w:eastAsia="Arial" w:hAnsi="Arial"/>
          <w:sz w:val="10"/>
          <w:szCs w:val="10"/>
          <w:color w:val="auto"/>
        </w:rPr>
        <w:t>For the nine months ended September 30, 2023, real estate revenue increased by $3.1 million, to $15.3 million, compared to the same period in the prior year. This increase was driven by the rental income from our 44 Union Square property tenant that did not occur in the same period in the prior year.</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Real Estate Segment Income/(Loss)</w:t>
      </w:r>
    </w:p>
    <w:p>
      <w:pPr>
        <w:spacing w:after="0" w:line="101" w:lineRule="exact"/>
        <w:rPr>
          <w:sz w:val="20"/>
          <w:szCs w:val="20"/>
          <w:color w:val="auto"/>
        </w:rPr>
      </w:pPr>
    </w:p>
    <w:p>
      <w:pPr>
        <w:ind w:right="40"/>
        <w:spacing w:after="0" w:line="237" w:lineRule="auto"/>
        <w:rPr>
          <w:sz w:val="20"/>
          <w:szCs w:val="20"/>
          <w:color w:val="auto"/>
        </w:rPr>
      </w:pPr>
      <w:r>
        <w:rPr>
          <w:rFonts w:ascii="Arial" w:cs="Arial" w:eastAsia="Arial" w:hAnsi="Arial"/>
          <w:sz w:val="10"/>
          <w:szCs w:val="10"/>
          <w:color w:val="auto"/>
        </w:rPr>
        <w:t>Real estate segment operating income for the quarter ended September 30, 2023, increased by $1.1 million, to $0.9 million, compared to a slight loss of $0.1 million the same period in the prior year. This change was attributable to rent recognized in the current quarter 2023 from our tenant at our 44 Union Square property, that did not occur in the same period of the prior year.</w:t>
      </w:r>
    </w:p>
    <w:p>
      <w:pPr>
        <w:spacing w:after="0" w:line="88" w:lineRule="exact"/>
        <w:rPr>
          <w:sz w:val="20"/>
          <w:szCs w:val="20"/>
          <w:color w:val="auto"/>
        </w:rPr>
      </w:pPr>
    </w:p>
    <w:p>
      <w:pPr>
        <w:ind w:right="300"/>
        <w:spacing w:after="0" w:line="237" w:lineRule="auto"/>
        <w:rPr>
          <w:sz w:val="20"/>
          <w:szCs w:val="20"/>
          <w:color w:val="auto"/>
        </w:rPr>
      </w:pPr>
      <w:r>
        <w:rPr>
          <w:rFonts w:ascii="Arial" w:cs="Arial" w:eastAsia="Arial" w:hAnsi="Arial"/>
          <w:sz w:val="10"/>
          <w:szCs w:val="10"/>
          <w:color w:val="auto"/>
        </w:rPr>
        <w:t>For the nine months ended September 30, 2023, real estate segment operating income increased by $3.3 million, to $3.2 million, compared to a slight loss of $0.1 million in same period in the prior year. This increase was driven by the rental income from our 44 Union Square property tenant that did not occur in the same prior year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559" w:right="640" w:bottom="1440" w:gutter="0" w:footer="0" w:header="0"/>
        </w:sectPr>
      </w:pPr>
    </w:p>
    <w:bookmarkStart w:id="37" w:name="page38"/>
    <w:bookmarkEnd w:id="37"/>
    <w:p>
      <w:pPr>
        <w:spacing w:after="0"/>
        <w:rPr>
          <w:sz w:val="20"/>
          <w:szCs w:val="20"/>
          <w:color w:val="auto"/>
        </w:rPr>
      </w:pPr>
      <w:r>
        <w:rPr>
          <w:rFonts w:ascii="Arial" w:cs="Arial" w:eastAsia="Arial" w:hAnsi="Arial"/>
          <w:sz w:val="10"/>
          <w:szCs w:val="10"/>
          <w:b w:val="1"/>
          <w:bCs w:val="1"/>
          <w:color w:val="auto"/>
        </w:rPr>
        <w:t>LIQUIDITY AND CAPITAL RESOURCES</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Our Financing Strategy</w:t>
      </w:r>
    </w:p>
    <w:p>
      <w:pPr>
        <w:spacing w:after="0" w:line="101" w:lineRule="exact"/>
        <w:rPr>
          <w:sz w:val="20"/>
          <w:szCs w:val="20"/>
          <w:color w:val="auto"/>
        </w:rPr>
      </w:pPr>
    </w:p>
    <w:p>
      <w:pPr>
        <w:ind w:right="20"/>
        <w:spacing w:after="0" w:line="287" w:lineRule="auto"/>
        <w:rPr>
          <w:sz w:val="20"/>
          <w:szCs w:val="20"/>
          <w:color w:val="auto"/>
        </w:rPr>
      </w:pPr>
      <w:r>
        <w:rPr>
          <w:rFonts w:ascii="Arial" w:cs="Arial" w:eastAsia="Arial" w:hAnsi="Arial"/>
          <w:sz w:val="9"/>
          <w:szCs w:val="9"/>
          <w:color w:val="auto"/>
        </w:rPr>
        <w:t>Prior to the COVID-19 pandemic, we used cash generated from operations and other excess cash to the extent not needed to fund capital investments contemplated by our business plan, to pay down our loans and credit facilities. This provided us with availability under our loan facilities for future use and thereby, reduced interest charges. On a periodic basis, we reviewed the maturities of our borrowing arrangements and negotiated renewals and extensions where necessary.</w:t>
      </w:r>
    </w:p>
    <w:p>
      <w:pPr>
        <w:spacing w:after="0" w:line="67" w:lineRule="exact"/>
        <w:rPr>
          <w:sz w:val="20"/>
          <w:szCs w:val="20"/>
          <w:color w:val="auto"/>
        </w:rPr>
      </w:pPr>
    </w:p>
    <w:p>
      <w:pPr>
        <w:ind w:right="480"/>
        <w:spacing w:after="0" w:line="287" w:lineRule="auto"/>
        <w:rPr>
          <w:sz w:val="20"/>
          <w:szCs w:val="20"/>
          <w:color w:val="auto"/>
        </w:rPr>
      </w:pPr>
      <w:r>
        <w:rPr>
          <w:rFonts w:ascii="Arial" w:cs="Arial" w:eastAsia="Arial" w:hAnsi="Arial"/>
          <w:sz w:val="9"/>
          <w:szCs w:val="9"/>
          <w:color w:val="auto"/>
        </w:rPr>
        <w:t>However, disruptions to our cinema cash flow caused by the COVID-19 pandemic, government efforts to address the pandemic, and the resulting aftermath of the pandemic and those efforts have made it necessary for us to defer capital expenditures and to rely on borrowings and the proceeds of asset monetizations to cover our costs of operations, pay interest and pay down debt. We have since March 31, 2020 paid down our institutional debt by $54.4 million.</w:t>
      </w:r>
    </w:p>
    <w:p>
      <w:pPr>
        <w:spacing w:after="0" w:line="67" w:lineRule="exact"/>
        <w:rPr>
          <w:sz w:val="20"/>
          <w:szCs w:val="20"/>
          <w:color w:val="auto"/>
        </w:rPr>
      </w:pPr>
    </w:p>
    <w:p>
      <w:pPr>
        <w:spacing w:after="0" w:line="231" w:lineRule="auto"/>
        <w:rPr>
          <w:sz w:val="20"/>
          <w:szCs w:val="20"/>
          <w:color w:val="auto"/>
        </w:rPr>
      </w:pPr>
      <w:r>
        <w:rPr>
          <w:rFonts w:ascii="Arial" w:cs="Arial" w:eastAsia="Arial" w:hAnsi="Arial"/>
          <w:sz w:val="10"/>
          <w:szCs w:val="10"/>
          <w:color w:val="auto"/>
        </w:rPr>
        <w:t>Our bank loans with Bank of America, NAB, and Westpac require that our Company comply with certain covenants. Furthermore, our Company’s use of loan funds from NAB and Westpac is limited due to limitations on the expatriation of funds from Australia and New Zealand to the United States. We believe that our lenders understand that the current situation, relating to the COVID-19 pandemic, is not of our making, that we are doing everything that can reasonably be done, and that, generally speaking, our relationship with our lenders is good.</w:t>
      </w:r>
    </w:p>
    <w:p>
      <w:pPr>
        <w:spacing w:after="0" w:line="88" w:lineRule="exact"/>
        <w:rPr>
          <w:sz w:val="20"/>
          <w:szCs w:val="20"/>
          <w:color w:val="auto"/>
        </w:rPr>
      </w:pPr>
    </w:p>
    <w:p>
      <w:pPr>
        <w:ind w:right="20"/>
        <w:spacing w:after="0" w:line="237" w:lineRule="auto"/>
        <w:rPr>
          <w:sz w:val="20"/>
          <w:szCs w:val="20"/>
          <w:color w:val="auto"/>
        </w:rPr>
      </w:pPr>
      <w:r>
        <w:rPr>
          <w:rFonts w:ascii="Arial" w:cs="Arial" w:eastAsia="Arial" w:hAnsi="Arial"/>
          <w:sz w:val="10"/>
          <w:szCs w:val="10"/>
          <w:color w:val="auto"/>
        </w:rPr>
        <w:t>As our Company enjoys the recovery in the global cinema business, we are still facing macroeconomic headwinds such as increased interest rates, inflation, supply chain issues and increased film rent, labor and operating costs, many of which are beyond our control. While we have been successful in negotiating extensions of $108.3 million in debt scheduled to mature in 2023, we have debt of $41.5 million coming due in the next 12 months.</w:t>
      </w:r>
    </w:p>
    <w:p>
      <w:pPr>
        <w:spacing w:after="0" w:line="88" w:lineRule="exact"/>
        <w:rPr>
          <w:sz w:val="20"/>
          <w:szCs w:val="20"/>
          <w:color w:val="auto"/>
        </w:rPr>
      </w:pPr>
    </w:p>
    <w:p>
      <w:pPr>
        <w:ind w:right="140"/>
        <w:spacing w:after="0" w:line="228" w:lineRule="auto"/>
        <w:rPr>
          <w:sz w:val="20"/>
          <w:szCs w:val="20"/>
          <w:color w:val="auto"/>
        </w:rPr>
      </w:pPr>
      <w:r>
        <w:rPr>
          <w:rFonts w:ascii="Arial" w:cs="Arial" w:eastAsia="Arial" w:hAnsi="Arial"/>
          <w:sz w:val="10"/>
          <w:szCs w:val="10"/>
          <w:color w:val="auto"/>
        </w:rPr>
        <w:t>If our Company is unable to generate sufficient cash flow in the upcoming months, we will be required to adopt one or more alternatives, such as reducing, delaying or eliminating planned capital expenditures, monetizing additional assets, restructuring our debt and/or our lease obligations or finding additional sources of liquidity (such as additional borrowings) . We have listed as assets held for sale two U.S. properties with a combined book value (the lower of cost or market, as opposed to fair market value) of $11.7 million. These assets were selected since, based on recent appraisals, we believe that they would free up material amounts of cash and that it is unlikely that they would materially increase in value over the next three to five years without significant capital investment.</w:t>
      </w:r>
    </w:p>
    <w:p>
      <w:pPr>
        <w:spacing w:after="0" w:line="84" w:lineRule="exact"/>
        <w:rPr>
          <w:sz w:val="20"/>
          <w:szCs w:val="20"/>
          <w:color w:val="auto"/>
        </w:rPr>
      </w:pPr>
    </w:p>
    <w:p>
      <w:pPr>
        <w:ind w:right="60"/>
        <w:spacing w:after="0" w:line="242" w:lineRule="auto"/>
        <w:rPr>
          <w:sz w:val="20"/>
          <w:szCs w:val="20"/>
          <w:color w:val="auto"/>
        </w:rPr>
      </w:pPr>
      <w:r>
        <w:rPr>
          <w:rFonts w:ascii="Arial" w:cs="Arial" w:eastAsia="Arial" w:hAnsi="Arial"/>
          <w:sz w:val="10"/>
          <w:szCs w:val="10"/>
          <w:color w:val="auto"/>
        </w:rPr>
        <w:t xml:space="preserve">For more information about our borrowings, please refer to </w:t>
      </w:r>
      <w:r>
        <w:rPr>
          <w:rFonts w:ascii="Arial" w:cs="Arial" w:eastAsia="Arial" w:hAnsi="Arial"/>
          <w:sz w:val="10"/>
          <w:szCs w:val="10"/>
          <w:i w:val="1"/>
          <w:iCs w:val="1"/>
          <w:color w:val="auto"/>
        </w:rPr>
        <w:t>Part I – Financial Information, Item 1 – Notes to Consolidated Financial Statements-- Note 12 – Borrowings</w:t>
      </w:r>
      <w:r>
        <w:rPr>
          <w:rFonts w:ascii="Arial" w:cs="Arial" w:eastAsia="Arial" w:hAnsi="Arial"/>
          <w:sz w:val="10"/>
          <w:szCs w:val="10"/>
          <w:color w:val="auto"/>
        </w:rPr>
        <w:t xml:space="preserve">. For more information about our efforts to manage our liquidity issues, see </w:t>
      </w:r>
      <w:r>
        <w:rPr>
          <w:rFonts w:ascii="Arial" w:cs="Arial" w:eastAsia="Arial" w:hAnsi="Arial"/>
          <w:sz w:val="10"/>
          <w:szCs w:val="10"/>
          <w:i w:val="1"/>
          <w:iCs w:val="1"/>
          <w:color w:val="auto"/>
        </w:rPr>
        <w:t>Part</w:t>
      </w:r>
      <w:r>
        <w:rPr>
          <w:rFonts w:ascii="Arial" w:cs="Arial" w:eastAsia="Arial" w:hAnsi="Arial"/>
          <w:sz w:val="10"/>
          <w:szCs w:val="10"/>
          <w:color w:val="auto"/>
        </w:rPr>
        <w:t xml:space="preserve"> </w:t>
      </w:r>
      <w:r>
        <w:rPr>
          <w:rFonts w:ascii="Arial" w:cs="Arial" w:eastAsia="Arial" w:hAnsi="Arial"/>
          <w:sz w:val="10"/>
          <w:szCs w:val="10"/>
          <w:i w:val="1"/>
          <w:iCs w:val="1"/>
          <w:color w:val="auto"/>
        </w:rPr>
        <w:t>I- Financial Information, Item 1 – Notes to Consolidated Financial Statements – Note 3 – Impact of COVID-19 Pandemic, Artists Strike and Liquidity</w:t>
      </w:r>
      <w:r>
        <w:rPr>
          <w:rFonts w:ascii="Arial" w:cs="Arial" w:eastAsia="Arial" w:hAnsi="Arial"/>
          <w:sz w:val="10"/>
          <w:szCs w:val="10"/>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4" w:right="640" w:bottom="1440" w:gutter="0" w:footer="0" w:header="0"/>
        </w:sectPr>
      </w:pPr>
    </w:p>
    <w:bookmarkStart w:id="38" w:name="page39"/>
    <w:bookmarkEnd w:id="38"/>
    <w:p>
      <w:pPr>
        <w:spacing w:after="0"/>
        <w:rPr>
          <w:sz w:val="20"/>
          <w:szCs w:val="20"/>
          <w:color w:val="auto"/>
        </w:rPr>
      </w:pPr>
      <w:r>
        <w:rPr>
          <w:rFonts w:ascii="Arial" w:cs="Arial" w:eastAsia="Arial" w:hAnsi="Arial"/>
          <w:sz w:val="10"/>
          <w:szCs w:val="10"/>
          <w:color w:val="auto"/>
        </w:rPr>
        <w:t>The changes in cash and cash equivalents for the nine months ended September 30, 2023, and September 30, 2022, respectively, are discussed as follows:</w:t>
      </w:r>
    </w:p>
    <w:tbl>
      <w:tblPr>
        <w:tblLayout w:type="fixed"/>
        <w:tblInd w:w="0" w:type="dxa"/>
        <w:tblCellMar>
          <w:top w:w="0" w:type="dxa"/>
          <w:left w:w="0" w:type="dxa"/>
          <w:bottom w:w="0" w:type="dxa"/>
          <w:right w:w="0" w:type="dxa"/>
        </w:tblCellMar>
      </w:tblPr>
      <w:tr>
        <w:trPr>
          <w:trHeight w:val="104"/>
        </w:trPr>
        <w:tc>
          <w:tcPr>
            <w:tcW w:w="6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gridSpan w:val="3"/>
          </w:tcPr>
          <w:p>
            <w:pPr>
              <w:jc w:val="right"/>
              <w:ind w:right="31"/>
              <w:spacing w:after="0" w:line="104" w:lineRule="exact"/>
              <w:rPr>
                <w:sz w:val="20"/>
                <w:szCs w:val="20"/>
                <w:color w:val="auto"/>
              </w:rPr>
            </w:pPr>
            <w:r>
              <w:rPr>
                <w:rFonts w:ascii="Arial" w:cs="Arial" w:eastAsia="Arial" w:hAnsi="Arial"/>
                <w:sz w:val="10"/>
                <w:szCs w:val="10"/>
                <w:b w:val="1"/>
                <w:bCs w:val="1"/>
                <w:color w:val="auto"/>
              </w:rPr>
              <w:t>Nine Months Ended</w:t>
            </w: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420" w:type="dxa"/>
            <w:vAlign w:val="bottom"/>
            <w:gridSpan w:val="2"/>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3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0"/>
                <w:szCs w:val="10"/>
                <w:b w:val="1"/>
                <w:bCs w:val="1"/>
                <w:color w:val="auto"/>
              </w:rPr>
              <w:t>September 30,</w:t>
            </w:r>
          </w:p>
        </w:tc>
        <w:tc>
          <w:tcPr>
            <w:tcW w:w="8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171"/>
              <w:spacing w:after="0"/>
              <w:rPr>
                <w:sz w:val="20"/>
                <w:szCs w:val="20"/>
                <w:color w:val="auto"/>
              </w:rPr>
            </w:pPr>
            <w:r>
              <w:rPr>
                <w:rFonts w:ascii="Arial" w:cs="Arial" w:eastAsia="Arial" w:hAnsi="Arial"/>
                <w:sz w:val="10"/>
                <w:szCs w:val="10"/>
                <w:b w:val="1"/>
                <w:bCs w:val="1"/>
                <w:color w:val="auto"/>
              </w:rPr>
              <w:t>% Change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64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jc w:val="right"/>
              <w:ind w:right="511"/>
              <w:spacing w:after="0" w:line="100" w:lineRule="exact"/>
              <w:rPr>
                <w:sz w:val="20"/>
                <w:szCs w:val="20"/>
                <w:color w:val="auto"/>
              </w:rPr>
            </w:pPr>
            <w:r>
              <w:rPr>
                <w:rFonts w:ascii="Arial" w:cs="Arial" w:eastAsia="Arial" w:hAnsi="Arial"/>
                <w:sz w:val="10"/>
                <w:szCs w:val="10"/>
                <w:b w:val="1"/>
                <w:bCs w:val="1"/>
                <w:color w:val="auto"/>
              </w:rPr>
              <w:t>2023</w:t>
            </w: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jc w:val="right"/>
              <w:ind w:right="491"/>
              <w:spacing w:after="0" w:line="100" w:lineRule="exact"/>
              <w:rPr>
                <w:sz w:val="20"/>
                <w:szCs w:val="20"/>
                <w:color w:val="auto"/>
              </w:rPr>
            </w:pPr>
            <w:r>
              <w:rPr>
                <w:rFonts w:ascii="Arial" w:cs="Arial" w:eastAsia="Arial" w:hAnsi="Arial"/>
                <w:sz w:val="10"/>
                <w:szCs w:val="10"/>
                <w:b w:val="1"/>
                <w:bCs w:val="1"/>
                <w:color w:val="auto"/>
              </w:rPr>
              <w:t>2022</w:t>
            </w:r>
          </w:p>
        </w:tc>
        <w:tc>
          <w:tcPr>
            <w:tcW w:w="1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26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color w:val="auto"/>
              </w:rPr>
              <w:t>Net cash provided by (used in) operating activities</w:t>
            </w: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91"/>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(6,366)</w:t>
            </w:r>
          </w:p>
        </w:tc>
        <w:tc>
          <w:tcPr>
            <w:tcW w:w="1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ind w:right="351"/>
              <w:spacing w:after="0" w:line="100" w:lineRule="exact"/>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(26,114)</w:t>
            </w:r>
          </w:p>
        </w:tc>
        <w:tc>
          <w:tcPr>
            <w:tcW w:w="16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right"/>
              <w:ind w:right="91"/>
              <w:spacing w:after="0" w:line="100" w:lineRule="exact"/>
              <w:rPr>
                <w:sz w:val="20"/>
                <w:szCs w:val="20"/>
                <w:color w:val="auto"/>
              </w:rPr>
            </w:pPr>
            <w:r>
              <w:rPr>
                <w:rFonts w:ascii="Arial" w:cs="Arial" w:eastAsia="Arial" w:hAnsi="Arial"/>
                <w:sz w:val="10"/>
                <w:szCs w:val="10"/>
                <w:color w:val="auto"/>
              </w:rPr>
              <w:t>76</w:t>
            </w:r>
          </w:p>
        </w:tc>
        <w:tc>
          <w:tcPr>
            <w:tcW w:w="18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6420" w:type="dxa"/>
            <w:vAlign w:val="bottom"/>
            <w:gridSpan w:val="2"/>
          </w:tcPr>
          <w:p>
            <w:pPr>
              <w:spacing w:after="0" w:line="105" w:lineRule="exact"/>
              <w:rPr>
                <w:sz w:val="20"/>
                <w:szCs w:val="20"/>
                <w:color w:val="auto"/>
              </w:rPr>
            </w:pPr>
            <w:r>
              <w:rPr>
                <w:rFonts w:ascii="Arial" w:cs="Arial" w:eastAsia="Arial" w:hAnsi="Arial"/>
                <w:sz w:val="10"/>
                <w:szCs w:val="10"/>
                <w:color w:val="auto"/>
              </w:rPr>
              <w:t>Net cash provided by (used in) investing activities</w:t>
            </w:r>
          </w:p>
        </w:tc>
        <w:tc>
          <w:tcPr>
            <w:tcW w:w="300" w:type="dxa"/>
            <w:vAlign w:val="bottom"/>
          </w:tcPr>
          <w:p>
            <w:pPr>
              <w:spacing w:after="0"/>
              <w:rPr>
                <w:sz w:val="9"/>
                <w:szCs w:val="9"/>
                <w:color w:val="auto"/>
              </w:rPr>
            </w:pPr>
          </w:p>
        </w:tc>
        <w:tc>
          <w:tcPr>
            <w:tcW w:w="1020" w:type="dxa"/>
            <w:vAlign w:val="bottom"/>
          </w:tcPr>
          <w:p>
            <w:pPr>
              <w:jc w:val="right"/>
              <w:spacing w:after="0" w:line="105" w:lineRule="exact"/>
              <w:rPr>
                <w:sz w:val="20"/>
                <w:szCs w:val="20"/>
                <w:color w:val="auto"/>
              </w:rPr>
            </w:pPr>
            <w:r>
              <w:rPr>
                <w:rFonts w:ascii="Arial" w:cs="Arial" w:eastAsia="Arial" w:hAnsi="Arial"/>
                <w:sz w:val="10"/>
                <w:szCs w:val="10"/>
                <w:color w:val="auto"/>
              </w:rPr>
              <w:t>(6,191)</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jc w:val="right"/>
              <w:spacing w:after="0" w:line="105" w:lineRule="exact"/>
              <w:rPr>
                <w:sz w:val="20"/>
                <w:szCs w:val="20"/>
                <w:color w:val="auto"/>
              </w:rPr>
            </w:pPr>
            <w:r>
              <w:rPr>
                <w:rFonts w:ascii="Arial" w:cs="Arial" w:eastAsia="Arial" w:hAnsi="Arial"/>
                <w:sz w:val="10"/>
                <w:szCs w:val="10"/>
                <w:color w:val="auto"/>
              </w:rPr>
              <w:t>(6,419)</w:t>
            </w:r>
          </w:p>
        </w:tc>
        <w:tc>
          <w:tcPr>
            <w:tcW w:w="1260" w:type="dxa"/>
            <w:vAlign w:val="bottom"/>
            <w:gridSpan w:val="2"/>
          </w:tcPr>
          <w:p>
            <w:pPr>
              <w:jc w:val="right"/>
              <w:ind w:right="91"/>
              <w:spacing w:after="0" w:line="105" w:lineRule="exact"/>
              <w:rPr>
                <w:sz w:val="20"/>
                <w:szCs w:val="20"/>
                <w:color w:val="auto"/>
              </w:rPr>
            </w:pPr>
            <w:r>
              <w:rPr>
                <w:rFonts w:ascii="Arial" w:cs="Arial" w:eastAsia="Arial" w:hAnsi="Arial"/>
                <w:sz w:val="10"/>
                <w:szCs w:val="10"/>
                <w:color w:val="auto"/>
              </w:rPr>
              <w:t>4</w:t>
            </w:r>
          </w:p>
        </w:tc>
        <w:tc>
          <w:tcPr>
            <w:tcW w:w="1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642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Net cash provided by (used in) financing activities</w:t>
            </w: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(3,886)</w:t>
            </w: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(7,946)</w:t>
            </w:r>
          </w:p>
        </w:tc>
        <w:tc>
          <w:tcPr>
            <w:tcW w:w="1260" w:type="dxa"/>
            <w:vAlign w:val="bottom"/>
            <w:gridSpan w:val="2"/>
            <w:shd w:val="clear" w:color="auto" w:fill="CCEEFF"/>
          </w:tcPr>
          <w:p>
            <w:pPr>
              <w:jc w:val="right"/>
              <w:ind w:right="91"/>
              <w:spacing w:after="0" w:line="105" w:lineRule="exact"/>
              <w:rPr>
                <w:sz w:val="20"/>
                <w:szCs w:val="20"/>
                <w:color w:val="auto"/>
              </w:rPr>
            </w:pPr>
            <w:r>
              <w:rPr>
                <w:rFonts w:ascii="Arial" w:cs="Arial" w:eastAsia="Arial" w:hAnsi="Arial"/>
                <w:sz w:val="10"/>
                <w:szCs w:val="10"/>
                <w:color w:val="auto"/>
              </w:rPr>
              <w:t>51</w:t>
            </w:r>
          </w:p>
        </w:tc>
        <w:tc>
          <w:tcPr>
            <w:tcW w:w="1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6420" w:type="dxa"/>
            <w:vAlign w:val="bottom"/>
            <w:tcBorders>
              <w:bottom w:val="single" w:sz="8" w:color="CCEEFF"/>
            </w:tcBorders>
            <w:gridSpan w:val="2"/>
          </w:tcPr>
          <w:p>
            <w:pPr>
              <w:spacing w:after="0" w:line="105" w:lineRule="exact"/>
              <w:rPr>
                <w:sz w:val="20"/>
                <w:szCs w:val="20"/>
                <w:color w:val="auto"/>
              </w:rPr>
            </w:pPr>
            <w:r>
              <w:rPr>
                <w:rFonts w:ascii="Arial" w:cs="Arial" w:eastAsia="Arial" w:hAnsi="Arial"/>
                <w:sz w:val="10"/>
                <w:szCs w:val="10"/>
                <w:color w:val="auto"/>
              </w:rPr>
              <w:t>Effect of exchange rate on cash and restricted cash</w:t>
            </w: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(897)</w:t>
            </w:r>
          </w:p>
        </w:tc>
        <w:tc>
          <w:tcPr>
            <w:tcW w:w="14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color w:val="auto"/>
              </w:rPr>
              <w:t>(2,242)</w:t>
            </w:r>
          </w:p>
        </w:tc>
        <w:tc>
          <w:tcPr>
            <w:tcW w:w="1260" w:type="dxa"/>
            <w:vAlign w:val="bottom"/>
            <w:tcBorders>
              <w:bottom w:val="single" w:sz="8" w:color="CCEEFF"/>
            </w:tcBorders>
            <w:gridSpan w:val="2"/>
          </w:tcPr>
          <w:p>
            <w:pPr>
              <w:jc w:val="right"/>
              <w:ind w:right="51"/>
              <w:spacing w:after="0" w:line="105" w:lineRule="exact"/>
              <w:rPr>
                <w:sz w:val="20"/>
                <w:szCs w:val="20"/>
                <w:color w:val="auto"/>
              </w:rPr>
            </w:pPr>
            <w:r>
              <w:rPr>
                <w:rFonts w:ascii="Arial" w:cs="Arial" w:eastAsia="Arial" w:hAnsi="Arial"/>
                <w:sz w:val="10"/>
                <w:szCs w:val="10"/>
                <w:color w:val="auto"/>
              </w:rPr>
              <w:t>60</w:t>
            </w:r>
          </w:p>
        </w:tc>
        <w:tc>
          <w:tcPr>
            <w:tcW w:w="180" w:type="dxa"/>
            <w:vAlign w:val="bottom"/>
            <w:tcBorders>
              <w:bottom w:val="single" w:sz="8" w:color="CCEEFF"/>
            </w:tcBorders>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3"/>
        </w:trPr>
        <w:tc>
          <w:tcPr>
            <w:tcW w:w="6420" w:type="dxa"/>
            <w:vAlign w:val="bottom"/>
            <w:tcBorders>
              <w:bottom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color w:val="auto"/>
              </w:rPr>
              <w:t>Increase (decrease) in cash and cash equivalents and restricted cash</w:t>
            </w:r>
          </w:p>
        </w:tc>
        <w:tc>
          <w:tcPr>
            <w:tcW w:w="300" w:type="dxa"/>
            <w:vAlign w:val="bottom"/>
            <w:tcBorders>
              <w:bottom w:val="single" w:sz="8" w:color="auto"/>
            </w:tcBorders>
            <w:shd w:val="clear" w:color="auto" w:fill="CCEEFF"/>
          </w:tcPr>
          <w:p>
            <w:pPr>
              <w:jc w:val="right"/>
              <w:ind w:right="191"/>
              <w:spacing w:after="0" w:line="93" w:lineRule="exact"/>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(17,340)</w:t>
            </w:r>
          </w:p>
        </w:tc>
        <w:tc>
          <w:tcPr>
            <w:tcW w:w="14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ind w:right="351"/>
              <w:spacing w:after="0" w:line="93" w:lineRule="exact"/>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(42,721)</w:t>
            </w:r>
          </w:p>
        </w:tc>
        <w:tc>
          <w:tcPr>
            <w:tcW w:w="1260" w:type="dxa"/>
            <w:vAlign w:val="bottom"/>
            <w:tcBorders>
              <w:bottom w:val="single" w:sz="8" w:color="CCEEFF"/>
            </w:tcBorders>
            <w:gridSpan w:val="2"/>
            <w:shd w:val="clear" w:color="auto" w:fill="CCEEFF"/>
          </w:tcPr>
          <w:p>
            <w:pPr>
              <w:jc w:val="right"/>
              <w:ind w:right="91"/>
              <w:spacing w:after="0" w:line="93" w:lineRule="exact"/>
              <w:rPr>
                <w:sz w:val="20"/>
                <w:szCs w:val="20"/>
                <w:color w:val="auto"/>
              </w:rPr>
            </w:pPr>
            <w:r>
              <w:rPr>
                <w:rFonts w:ascii="Arial" w:cs="Arial" w:eastAsia="Arial" w:hAnsi="Arial"/>
                <w:sz w:val="10"/>
                <w:szCs w:val="10"/>
                <w:color w:val="auto"/>
              </w:rPr>
              <w:t>59</w:t>
            </w:r>
          </w:p>
        </w:tc>
        <w:tc>
          <w:tcPr>
            <w:tcW w:w="180" w:type="dxa"/>
            <w:vAlign w:val="bottom"/>
            <w:tcBorders>
              <w:bottom w:val="single" w:sz="8" w:color="CCEEFF"/>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60"/>
        <w:spacing w:after="0"/>
        <w:rPr>
          <w:sz w:val="20"/>
          <w:szCs w:val="20"/>
          <w:color w:val="auto"/>
        </w:rPr>
      </w:pPr>
      <w:r>
        <w:rPr>
          <w:rFonts w:ascii="Arial" w:cs="Arial" w:eastAsia="Arial" w:hAnsi="Arial"/>
          <w:sz w:val="10"/>
          <w:szCs w:val="10"/>
          <w:b w:val="1"/>
          <w:bCs w:val="1"/>
          <w:i w:val="1"/>
          <w:iCs w:val="1"/>
          <w:color w:val="auto"/>
        </w:rPr>
        <w:t>Operating activities</w:t>
      </w:r>
    </w:p>
    <w:p>
      <w:pPr>
        <w:spacing w:after="0" w:line="2" w:lineRule="exact"/>
        <w:rPr>
          <w:sz w:val="20"/>
          <w:szCs w:val="20"/>
          <w:color w:val="auto"/>
        </w:rPr>
      </w:pPr>
    </w:p>
    <w:p>
      <w:pPr>
        <w:ind w:left="360" w:right="280"/>
        <w:spacing w:after="0" w:line="273" w:lineRule="auto"/>
        <w:rPr>
          <w:sz w:val="20"/>
          <w:szCs w:val="20"/>
          <w:color w:val="auto"/>
        </w:rPr>
      </w:pPr>
      <w:r>
        <w:rPr>
          <w:rFonts w:ascii="Arial" w:cs="Arial" w:eastAsia="Arial" w:hAnsi="Arial"/>
          <w:sz w:val="9"/>
          <w:szCs w:val="9"/>
          <w:color w:val="auto"/>
        </w:rPr>
        <w:t>Cash used in operating activities for the nine months ended September 30, 2023, decreased by $19.7 million, to $6.4 million. This was driven by an improved cinema operating performance compared to the prior year period, receipt of rental income from our tenant, at our 44 Union Square property, which did not occur in the same period of prior year, and increase in operating liabilities primarily in taxes payable and account payable and accrued expenses.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0"/>
          <w:szCs w:val="10"/>
          <w:b w:val="1"/>
          <w:bCs w:val="1"/>
          <w:i w:val="1"/>
          <w:iCs w:val="1"/>
          <w:color w:val="auto"/>
        </w:rPr>
        <w:t>Investing activities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0"/>
          <w:szCs w:val="10"/>
          <w:color w:val="auto"/>
        </w:rPr>
        <w:t>Cash used in investing activities during the nine months ended September 30, 2023, which was $6.2 million, stayed relatively flat compared to the same period of prior year of $6.4 million.</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0"/>
          <w:szCs w:val="10"/>
          <w:b w:val="1"/>
          <w:bCs w:val="1"/>
          <w:i w:val="1"/>
          <w:iCs w:val="1"/>
          <w:color w:val="auto"/>
        </w:rPr>
        <w:t>Financing activities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0"/>
          <w:szCs w:val="10"/>
          <w:color w:val="auto"/>
        </w:rPr>
        <w:t>Cash used in financing activities for the nine months ended September 30, 2023, decreased by $4.1 million, to $3.9 million due to a borrowing on an existing facility.</w:t>
      </w:r>
    </w:p>
    <w:p>
      <w:pPr>
        <w:spacing w:after="0" w:line="89" w:lineRule="exact"/>
        <w:rPr>
          <w:sz w:val="20"/>
          <w:szCs w:val="20"/>
          <w:color w:val="auto"/>
        </w:rPr>
      </w:pPr>
    </w:p>
    <w:p>
      <w:pPr>
        <w:ind w:right="480"/>
        <w:spacing w:after="0" w:line="237" w:lineRule="auto"/>
        <w:rPr>
          <w:sz w:val="20"/>
          <w:szCs w:val="20"/>
          <w:color w:val="auto"/>
        </w:rPr>
      </w:pPr>
      <w:r>
        <w:rPr>
          <w:rFonts w:ascii="Arial" w:cs="Arial" w:eastAsia="Arial" w:hAnsi="Arial"/>
          <w:sz w:val="10"/>
          <w:szCs w:val="10"/>
          <w:color w:val="auto"/>
        </w:rPr>
        <w:t>The table below presents the changes in our total available resources (cash and borrowings), debt-to-equity ratio, working capital, and other relevant information addressing our liquidity for the third quarter ended September 30, 2023, and preceding four years:</w:t>
      </w:r>
    </w:p>
    <w:tbl>
      <w:tblPr>
        <w:tblLayout w:type="fixed"/>
        <w:tblInd w:w="0" w:type="dxa"/>
        <w:tblCellMar>
          <w:top w:w="0" w:type="dxa"/>
          <w:left w:w="0" w:type="dxa"/>
          <w:bottom w:w="0" w:type="dxa"/>
          <w:right w:w="0" w:type="dxa"/>
        </w:tblCellMar>
      </w:tblPr>
      <w:tr>
        <w:trPr>
          <w:trHeight w:val="92"/>
        </w:trPr>
        <w:tc>
          <w:tcPr>
            <w:tcW w:w="4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As of and</w:t>
            </w: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tcPr>
          <w:p>
            <w:pPr>
              <w:jc w:val="center"/>
              <w:ind w:right="220"/>
              <w:spacing w:after="0" w:line="83" w:lineRule="exact"/>
              <w:rPr>
                <w:sz w:val="20"/>
                <w:szCs w:val="20"/>
                <w:color w:val="auto"/>
              </w:rPr>
            </w:pPr>
            <w:r>
              <w:rPr>
                <w:rFonts w:ascii="Arial" w:cs="Arial" w:eastAsia="Arial" w:hAnsi="Arial"/>
                <w:sz w:val="8"/>
                <w:szCs w:val="8"/>
                <w:b w:val="1"/>
                <w:bCs w:val="1"/>
                <w:color w:val="auto"/>
              </w:rPr>
              <w:t>for the</w:t>
            </w: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tcPr>
          <w:p>
            <w:pPr>
              <w:jc w:val="center"/>
              <w:ind w:right="220"/>
              <w:spacing w:after="0" w:line="83" w:lineRule="exact"/>
              <w:rPr>
                <w:sz w:val="20"/>
                <w:szCs w:val="20"/>
                <w:color w:val="auto"/>
              </w:rPr>
            </w:pPr>
            <w:r>
              <w:rPr>
                <w:rFonts w:ascii="Arial" w:cs="Arial" w:eastAsia="Arial" w:hAnsi="Arial"/>
                <w:sz w:val="8"/>
                <w:szCs w:val="8"/>
                <w:b w:val="1"/>
                <w:bCs w:val="1"/>
                <w:color w:val="auto"/>
              </w:rPr>
              <w:t>9-Months</w:t>
            </w: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gridSpan w:val="3"/>
            <w:vMerge w:val="restart"/>
          </w:tcPr>
          <w:p>
            <w:pPr>
              <w:jc w:val="right"/>
              <w:ind w:right="251"/>
              <w:spacing w:after="0"/>
              <w:rPr>
                <w:sz w:val="20"/>
                <w:szCs w:val="20"/>
                <w:color w:val="auto"/>
              </w:rPr>
            </w:pPr>
            <w:r>
              <w:rPr>
                <w:rFonts w:ascii="Arial" w:cs="Arial" w:eastAsia="Arial" w:hAnsi="Arial"/>
                <w:sz w:val="8"/>
                <w:szCs w:val="8"/>
                <w:b w:val="1"/>
                <w:bCs w:val="1"/>
                <w:color w:val="auto"/>
              </w:rPr>
              <w:t>Year Ended December 31</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Ended</w:t>
            </w: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3"/>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4800" w:type="dxa"/>
            <w:vAlign w:val="bottom"/>
          </w:tcPr>
          <w:p>
            <w:pPr>
              <w:spacing w:after="0" w:line="70" w:lineRule="exact"/>
              <w:rPr>
                <w:sz w:val="20"/>
                <w:szCs w:val="20"/>
                <w:color w:val="auto"/>
              </w:rPr>
            </w:pPr>
            <w:r>
              <w:rPr>
                <w:rFonts w:ascii="Arial" w:cs="Arial" w:eastAsia="Arial" w:hAnsi="Arial"/>
                <w:sz w:val="8"/>
                <w:szCs w:val="8"/>
                <w:i w:val="1"/>
                <w:iCs w:val="1"/>
                <w:color w:val="auto"/>
              </w:rPr>
              <w:t>($ in thousands)</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tcPr>
          <w:p>
            <w:pPr>
              <w:jc w:val="center"/>
              <w:ind w:right="220"/>
              <w:spacing w:after="0" w:line="70" w:lineRule="exact"/>
              <w:rPr>
                <w:sz w:val="20"/>
                <w:szCs w:val="20"/>
                <w:color w:val="auto"/>
              </w:rPr>
            </w:pPr>
            <w:r>
              <w:rPr>
                <w:rFonts w:ascii="Arial" w:cs="Arial" w:eastAsia="Arial" w:hAnsi="Arial"/>
                <w:sz w:val="8"/>
                <w:szCs w:val="8"/>
                <w:b w:val="1"/>
                <w:bCs w:val="1"/>
                <w:color w:val="auto"/>
              </w:rPr>
              <w:t>September 30, 2023</w:t>
            </w:r>
          </w:p>
        </w:tc>
        <w:tc>
          <w:tcPr>
            <w:tcW w:w="240" w:type="dxa"/>
            <w:vAlign w:val="bottom"/>
          </w:tcPr>
          <w:p>
            <w:pPr>
              <w:spacing w:after="0"/>
              <w:rPr>
                <w:sz w:val="6"/>
                <w:szCs w:val="6"/>
                <w:color w:val="auto"/>
              </w:rPr>
            </w:pPr>
          </w:p>
        </w:tc>
        <w:tc>
          <w:tcPr>
            <w:tcW w:w="840" w:type="dxa"/>
            <w:vAlign w:val="bottom"/>
          </w:tcPr>
          <w:p>
            <w:pPr>
              <w:jc w:val="right"/>
              <w:ind w:right="419"/>
              <w:spacing w:after="0" w:line="70" w:lineRule="exact"/>
              <w:rPr>
                <w:sz w:val="20"/>
                <w:szCs w:val="20"/>
                <w:color w:val="auto"/>
              </w:rPr>
            </w:pPr>
            <w:r>
              <w:rPr>
                <w:rFonts w:ascii="Arial" w:cs="Arial" w:eastAsia="Arial" w:hAnsi="Arial"/>
                <w:sz w:val="8"/>
                <w:szCs w:val="8"/>
                <w:b w:val="1"/>
                <w:bCs w:val="1"/>
                <w:color w:val="auto"/>
              </w:rPr>
              <w:t>2022</w:t>
            </w: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jc w:val="right"/>
              <w:ind w:right="399"/>
              <w:spacing w:after="0" w:line="70" w:lineRule="exact"/>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6"/>
                <w:szCs w:val="6"/>
                <w:color w:val="auto"/>
              </w:rPr>
            </w:pPr>
          </w:p>
        </w:tc>
        <w:tc>
          <w:tcPr>
            <w:tcW w:w="680" w:type="dxa"/>
            <w:vAlign w:val="bottom"/>
          </w:tcPr>
          <w:p>
            <w:pPr>
              <w:jc w:val="right"/>
              <w:ind w:right="31"/>
              <w:spacing w:after="0" w:line="70" w:lineRule="exact"/>
              <w:rPr>
                <w:sz w:val="20"/>
                <w:szCs w:val="20"/>
                <w:color w:val="auto"/>
              </w:rPr>
            </w:pPr>
            <w:r>
              <w:rPr>
                <w:rFonts w:ascii="Arial" w:cs="Arial" w:eastAsia="Arial" w:hAnsi="Arial"/>
                <w:sz w:val="8"/>
                <w:szCs w:val="8"/>
                <w:b w:val="1"/>
                <w:bCs w:val="1"/>
                <w:color w:val="auto"/>
              </w:rPr>
              <w:t>2020</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jc w:val="right"/>
              <w:ind w:right="379"/>
              <w:spacing w:after="0" w:line="70" w:lineRule="exact"/>
              <w:rPr>
                <w:sz w:val="20"/>
                <w:szCs w:val="20"/>
                <w:color w:val="auto"/>
              </w:rPr>
            </w:pPr>
            <w:r>
              <w:rPr>
                <w:rFonts w:ascii="Arial" w:cs="Arial" w:eastAsia="Arial" w:hAnsi="Arial"/>
                <w:sz w:val="8"/>
                <w:szCs w:val="8"/>
                <w:b w:val="1"/>
                <w:bCs w:val="1"/>
                <w:color w:val="auto"/>
              </w:rPr>
              <w:t>2019</w:t>
            </w:r>
          </w:p>
        </w:tc>
        <w:tc>
          <w:tcPr>
            <w:tcW w:w="0" w:type="dxa"/>
            <w:vAlign w:val="bottom"/>
          </w:tcPr>
          <w:p>
            <w:pPr>
              <w:spacing w:after="0"/>
              <w:rPr>
                <w:sz w:val="1"/>
                <w:szCs w:val="1"/>
                <w:color w:val="auto"/>
              </w:rPr>
            </w:pPr>
          </w:p>
        </w:tc>
      </w:tr>
      <w:tr>
        <w:trPr>
          <w:trHeight w:val="78"/>
        </w:trPr>
        <w:tc>
          <w:tcPr>
            <w:tcW w:w="4800" w:type="dxa"/>
            <w:vAlign w:val="bottom"/>
            <w:tcBorders>
              <w:top w:val="single" w:sz="8" w:color="auto"/>
            </w:tcBorders>
            <w:shd w:val="clear" w:color="auto" w:fill="CCEEFF"/>
          </w:tcPr>
          <w:p>
            <w:pPr>
              <w:spacing w:after="0" w:line="78" w:lineRule="exact"/>
              <w:rPr>
                <w:sz w:val="20"/>
                <w:szCs w:val="20"/>
                <w:color w:val="auto"/>
              </w:rPr>
            </w:pPr>
            <w:r>
              <w:rPr>
                <w:rFonts w:ascii="Arial" w:cs="Arial" w:eastAsia="Arial" w:hAnsi="Arial"/>
                <w:sz w:val="8"/>
                <w:szCs w:val="8"/>
                <w:b w:val="1"/>
                <w:bCs w:val="1"/>
                <w:i w:val="1"/>
                <w:iCs w:val="1"/>
                <w:color w:val="auto"/>
              </w:rPr>
              <w:t>Total Resources (cash and borrowings)</w:t>
            </w: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8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7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4800" w:type="dxa"/>
            <w:vAlign w:val="bottom"/>
          </w:tcPr>
          <w:p>
            <w:pPr>
              <w:ind w:left="40"/>
              <w:spacing w:after="0" w:line="83" w:lineRule="exact"/>
              <w:rPr>
                <w:sz w:val="20"/>
                <w:szCs w:val="20"/>
                <w:color w:val="auto"/>
              </w:rPr>
            </w:pPr>
            <w:r>
              <w:rPr>
                <w:rFonts w:ascii="Arial" w:cs="Arial" w:eastAsia="Arial" w:hAnsi="Arial"/>
                <w:sz w:val="8"/>
                <w:szCs w:val="8"/>
                <w:color w:val="auto"/>
              </w:rPr>
              <w:t>Cash and cash equivalents (unrestricted)</w:t>
            </w:r>
          </w:p>
        </w:tc>
        <w:tc>
          <w:tcPr>
            <w:tcW w:w="200" w:type="dxa"/>
            <w:vAlign w:val="bottom"/>
            <w:gridSpan w:val="2"/>
          </w:tcPr>
          <w:p>
            <w:pPr>
              <w:jc w:val="right"/>
              <w:ind w:right="60"/>
              <w:spacing w:after="0" w:line="83" w:lineRule="exact"/>
              <w:rPr>
                <w:sz w:val="20"/>
                <w:szCs w:val="20"/>
                <w:color w:val="auto"/>
              </w:rPr>
            </w:pPr>
            <w:r>
              <w:rPr>
                <w:rFonts w:ascii="Arial" w:cs="Arial" w:eastAsia="Arial" w:hAnsi="Arial"/>
                <w:sz w:val="8"/>
                <w:szCs w:val="8"/>
                <w:color w:val="auto"/>
              </w:rPr>
              <w:t>$</w:t>
            </w:r>
          </w:p>
        </w:tc>
        <w:tc>
          <w:tcPr>
            <w:tcW w:w="1020" w:type="dxa"/>
            <w:vAlign w:val="bottom"/>
          </w:tcPr>
          <w:p>
            <w:pPr>
              <w:jc w:val="right"/>
              <w:spacing w:after="0" w:line="83" w:lineRule="exact"/>
              <w:rPr>
                <w:sz w:val="20"/>
                <w:szCs w:val="20"/>
                <w:color w:val="auto"/>
              </w:rPr>
            </w:pPr>
            <w:r>
              <w:rPr>
                <w:rFonts w:ascii="Arial" w:cs="Arial" w:eastAsia="Arial" w:hAnsi="Arial"/>
                <w:sz w:val="8"/>
                <w:szCs w:val="8"/>
                <w:color w:val="auto"/>
              </w:rPr>
              <w:t>11,925</w:t>
            </w:r>
          </w:p>
        </w:tc>
        <w:tc>
          <w:tcPr>
            <w:tcW w:w="100" w:type="dxa"/>
            <w:vAlign w:val="bottom"/>
          </w:tcPr>
          <w:p>
            <w:pPr>
              <w:spacing w:after="0"/>
              <w:rPr>
                <w:sz w:val="7"/>
                <w:szCs w:val="7"/>
                <w:color w:val="auto"/>
              </w:rPr>
            </w:pPr>
          </w:p>
        </w:tc>
        <w:tc>
          <w:tcPr>
            <w:tcW w:w="240" w:type="dxa"/>
            <w:vAlign w:val="bottom"/>
          </w:tcPr>
          <w:p>
            <w:pPr>
              <w:jc w:val="right"/>
              <w:ind w:right="174"/>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83" w:lineRule="exact"/>
              <w:rPr>
                <w:sz w:val="20"/>
                <w:szCs w:val="20"/>
                <w:color w:val="auto"/>
              </w:rPr>
            </w:pPr>
            <w:r>
              <w:rPr>
                <w:rFonts w:ascii="Arial" w:cs="Arial" w:eastAsia="Arial" w:hAnsi="Arial"/>
                <w:sz w:val="8"/>
                <w:szCs w:val="8"/>
                <w:color w:val="auto"/>
              </w:rPr>
              <w:t>29,947</w:t>
            </w:r>
          </w:p>
        </w:tc>
        <w:tc>
          <w:tcPr>
            <w:tcW w:w="80" w:type="dxa"/>
            <w:vAlign w:val="bottom"/>
          </w:tcPr>
          <w:p>
            <w:pPr>
              <w:spacing w:after="0"/>
              <w:rPr>
                <w:sz w:val="7"/>
                <w:szCs w:val="7"/>
                <w:color w:val="auto"/>
              </w:rPr>
            </w:pPr>
          </w:p>
        </w:tc>
        <w:tc>
          <w:tcPr>
            <w:tcW w:w="260" w:type="dxa"/>
            <w:vAlign w:val="bottom"/>
          </w:tcPr>
          <w:p>
            <w:pPr>
              <w:jc w:val="right"/>
              <w:ind w:right="159"/>
              <w:spacing w:after="0" w:line="83" w:lineRule="exact"/>
              <w:rPr>
                <w:sz w:val="20"/>
                <w:szCs w:val="20"/>
                <w:color w:val="auto"/>
              </w:rPr>
            </w:pPr>
            <w:r>
              <w:rPr>
                <w:rFonts w:ascii="Arial" w:cs="Arial" w:eastAsia="Arial" w:hAnsi="Arial"/>
                <w:sz w:val="8"/>
                <w:szCs w:val="8"/>
                <w:color w:val="auto"/>
                <w:w w:val="88"/>
              </w:rPr>
              <w:t>$</w:t>
            </w:r>
          </w:p>
        </w:tc>
        <w:tc>
          <w:tcPr>
            <w:tcW w:w="820" w:type="dxa"/>
            <w:vAlign w:val="bottom"/>
          </w:tcPr>
          <w:p>
            <w:pPr>
              <w:jc w:val="right"/>
              <w:spacing w:after="0" w:line="83" w:lineRule="exact"/>
              <w:rPr>
                <w:sz w:val="20"/>
                <w:szCs w:val="20"/>
                <w:color w:val="auto"/>
              </w:rPr>
            </w:pPr>
            <w:r>
              <w:rPr>
                <w:rFonts w:ascii="Arial" w:cs="Arial" w:eastAsia="Arial" w:hAnsi="Arial"/>
                <w:sz w:val="8"/>
                <w:szCs w:val="8"/>
                <w:color w:val="auto"/>
              </w:rPr>
              <w:t>83,251</w:t>
            </w:r>
          </w:p>
        </w:tc>
        <w:tc>
          <w:tcPr>
            <w:tcW w:w="100" w:type="dxa"/>
            <w:vAlign w:val="bottom"/>
          </w:tcPr>
          <w:p>
            <w:pPr>
              <w:spacing w:after="0"/>
              <w:rPr>
                <w:sz w:val="7"/>
                <w:szCs w:val="7"/>
                <w:color w:val="auto"/>
              </w:rPr>
            </w:pPr>
          </w:p>
        </w:tc>
        <w:tc>
          <w:tcPr>
            <w:tcW w:w="680" w:type="dxa"/>
            <w:vAlign w:val="bottom"/>
          </w:tcPr>
          <w:p>
            <w:pPr>
              <w:jc w:val="right"/>
              <w:ind w:right="611"/>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line="83" w:lineRule="exact"/>
              <w:rPr>
                <w:sz w:val="20"/>
                <w:szCs w:val="20"/>
                <w:color w:val="auto"/>
              </w:rPr>
            </w:pPr>
            <w:r>
              <w:rPr>
                <w:rFonts w:ascii="Arial" w:cs="Arial" w:eastAsia="Arial" w:hAnsi="Arial"/>
                <w:sz w:val="8"/>
                <w:szCs w:val="8"/>
                <w:color w:val="auto"/>
              </w:rPr>
              <w:t>26,826</w:t>
            </w:r>
          </w:p>
        </w:tc>
        <w:tc>
          <w:tcPr>
            <w:tcW w:w="80" w:type="dxa"/>
            <w:vAlign w:val="bottom"/>
          </w:tcPr>
          <w:p>
            <w:pPr>
              <w:spacing w:after="0"/>
              <w:rPr>
                <w:sz w:val="7"/>
                <w:szCs w:val="7"/>
                <w:color w:val="auto"/>
              </w:rPr>
            </w:pPr>
          </w:p>
        </w:tc>
        <w:tc>
          <w:tcPr>
            <w:tcW w:w="240" w:type="dxa"/>
            <w:vAlign w:val="bottom"/>
          </w:tcPr>
          <w:p>
            <w:pPr>
              <w:jc w:val="right"/>
              <w:ind w:right="139"/>
              <w:spacing w:after="0" w:line="83" w:lineRule="exact"/>
              <w:rPr>
                <w:sz w:val="20"/>
                <w:szCs w:val="20"/>
                <w:color w:val="auto"/>
              </w:rPr>
            </w:pPr>
            <w:r>
              <w:rPr>
                <w:rFonts w:ascii="Arial" w:cs="Arial" w:eastAsia="Arial" w:hAnsi="Arial"/>
                <w:sz w:val="8"/>
                <w:szCs w:val="8"/>
                <w:color w:val="auto"/>
                <w:w w:val="88"/>
              </w:rPr>
              <w:t>$</w:t>
            </w:r>
          </w:p>
        </w:tc>
        <w:tc>
          <w:tcPr>
            <w:tcW w:w="780" w:type="dxa"/>
            <w:vAlign w:val="bottom"/>
          </w:tcPr>
          <w:p>
            <w:pPr>
              <w:jc w:val="right"/>
              <w:spacing w:after="0" w:line="83" w:lineRule="exact"/>
              <w:rPr>
                <w:sz w:val="20"/>
                <w:szCs w:val="20"/>
                <w:color w:val="auto"/>
              </w:rPr>
            </w:pPr>
            <w:r>
              <w:rPr>
                <w:rFonts w:ascii="Arial" w:cs="Arial" w:eastAsia="Arial" w:hAnsi="Arial"/>
                <w:sz w:val="8"/>
                <w:szCs w:val="8"/>
                <w:color w:val="auto"/>
              </w:rPr>
              <w:t>12,135</w:t>
            </w:r>
          </w:p>
        </w:tc>
        <w:tc>
          <w:tcPr>
            <w:tcW w:w="0" w:type="dxa"/>
            <w:vAlign w:val="bottom"/>
          </w:tcPr>
          <w:p>
            <w:pPr>
              <w:spacing w:after="0"/>
              <w:rPr>
                <w:sz w:val="1"/>
                <w:szCs w:val="1"/>
                <w:color w:val="auto"/>
              </w:rPr>
            </w:pPr>
          </w:p>
        </w:tc>
      </w:tr>
      <w:tr>
        <w:trPr>
          <w:trHeight w:val="83"/>
        </w:trPr>
        <w:tc>
          <w:tcPr>
            <w:tcW w:w="4800" w:type="dxa"/>
            <w:vAlign w:val="bottom"/>
            <w:shd w:val="clear" w:color="auto" w:fill="CCEEFF"/>
          </w:tcPr>
          <w:p>
            <w:pPr>
              <w:ind w:left="40"/>
              <w:spacing w:after="0" w:line="83" w:lineRule="exact"/>
              <w:rPr>
                <w:sz w:val="20"/>
                <w:szCs w:val="20"/>
                <w:color w:val="auto"/>
              </w:rPr>
            </w:pPr>
            <w:r>
              <w:rPr>
                <w:rFonts w:ascii="Arial" w:cs="Arial" w:eastAsia="Arial" w:hAnsi="Arial"/>
                <w:sz w:val="8"/>
                <w:szCs w:val="8"/>
                <w:color w:val="auto"/>
              </w:rPr>
              <w:t>Unused borrowing facility</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8,160</w:t>
            </w: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12,000</w:t>
            </w: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12,000</w:t>
            </w: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15,490</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73,920</w:t>
            </w:r>
          </w:p>
        </w:tc>
        <w:tc>
          <w:tcPr>
            <w:tcW w:w="0" w:type="dxa"/>
            <w:vAlign w:val="bottom"/>
          </w:tcPr>
          <w:p>
            <w:pPr>
              <w:spacing w:after="0"/>
              <w:rPr>
                <w:sz w:val="1"/>
                <w:szCs w:val="1"/>
                <w:color w:val="auto"/>
              </w:rPr>
            </w:pPr>
          </w:p>
        </w:tc>
      </w:tr>
      <w:tr>
        <w:trPr>
          <w:trHeight w:val="83"/>
        </w:trPr>
        <w:tc>
          <w:tcPr>
            <w:tcW w:w="4800" w:type="dxa"/>
            <w:vAlign w:val="bottom"/>
          </w:tcPr>
          <w:p>
            <w:pPr>
              <w:ind w:left="180"/>
              <w:spacing w:after="0" w:line="83" w:lineRule="exact"/>
              <w:rPr>
                <w:sz w:val="20"/>
                <w:szCs w:val="20"/>
                <w:color w:val="auto"/>
              </w:rPr>
            </w:pPr>
            <w:r>
              <w:rPr>
                <w:rFonts w:ascii="Arial" w:cs="Arial" w:eastAsia="Arial" w:hAnsi="Arial"/>
                <w:sz w:val="8"/>
                <w:szCs w:val="8"/>
                <w:color w:val="auto"/>
              </w:rPr>
              <w:t>Restricted for capital projects</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jc w:val="right"/>
              <w:spacing w:after="0" w:line="83" w:lineRule="exact"/>
              <w:rPr>
                <w:sz w:val="20"/>
                <w:szCs w:val="20"/>
                <w:color w:val="auto"/>
              </w:rPr>
            </w:pPr>
            <w:r>
              <w:rPr>
                <w:rFonts w:ascii="Arial" w:cs="Arial" w:eastAsia="Arial" w:hAnsi="Arial"/>
                <w:sz w:val="8"/>
                <w:szCs w:val="8"/>
                <w:color w:val="auto"/>
              </w:rPr>
              <w:t>8,160</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jc w:val="right"/>
              <w:spacing w:after="0" w:line="83" w:lineRule="exact"/>
              <w:rPr>
                <w:sz w:val="20"/>
                <w:szCs w:val="20"/>
                <w:color w:val="auto"/>
              </w:rPr>
            </w:pPr>
            <w:r>
              <w:rPr>
                <w:rFonts w:ascii="Arial" w:cs="Arial" w:eastAsia="Arial" w:hAnsi="Arial"/>
                <w:sz w:val="8"/>
                <w:szCs w:val="8"/>
                <w:color w:val="auto"/>
              </w:rPr>
              <w:t>12,000</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jc w:val="right"/>
              <w:spacing w:after="0" w:line="83" w:lineRule="exact"/>
              <w:rPr>
                <w:sz w:val="20"/>
                <w:szCs w:val="20"/>
                <w:color w:val="auto"/>
              </w:rPr>
            </w:pPr>
            <w:r>
              <w:rPr>
                <w:rFonts w:ascii="Arial" w:cs="Arial" w:eastAsia="Arial" w:hAnsi="Arial"/>
                <w:sz w:val="8"/>
                <w:szCs w:val="8"/>
                <w:color w:val="auto"/>
              </w:rPr>
              <w:t>12,000</w:t>
            </w: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jc w:val="right"/>
              <w:spacing w:after="0" w:line="83" w:lineRule="exact"/>
              <w:rPr>
                <w:sz w:val="20"/>
                <w:szCs w:val="20"/>
                <w:color w:val="auto"/>
              </w:rPr>
            </w:pPr>
            <w:r>
              <w:rPr>
                <w:rFonts w:ascii="Arial" w:cs="Arial" w:eastAsia="Arial" w:hAnsi="Arial"/>
                <w:sz w:val="8"/>
                <w:szCs w:val="8"/>
                <w:color w:val="auto"/>
              </w:rPr>
              <w:t>9,377</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right"/>
              <w:spacing w:after="0" w:line="83" w:lineRule="exact"/>
              <w:rPr>
                <w:sz w:val="20"/>
                <w:szCs w:val="20"/>
                <w:color w:val="auto"/>
              </w:rPr>
            </w:pPr>
            <w:r>
              <w:rPr>
                <w:rFonts w:ascii="Arial" w:cs="Arial" w:eastAsia="Arial" w:hAnsi="Arial"/>
                <w:sz w:val="8"/>
                <w:szCs w:val="8"/>
                <w:color w:val="auto"/>
              </w:rPr>
              <w:t>13,952</w:t>
            </w:r>
          </w:p>
        </w:tc>
        <w:tc>
          <w:tcPr>
            <w:tcW w:w="0" w:type="dxa"/>
            <w:vAlign w:val="bottom"/>
          </w:tcPr>
          <w:p>
            <w:pPr>
              <w:spacing w:after="0"/>
              <w:rPr>
                <w:sz w:val="1"/>
                <w:szCs w:val="1"/>
                <w:color w:val="auto"/>
              </w:rPr>
            </w:pPr>
          </w:p>
        </w:tc>
      </w:tr>
      <w:tr>
        <w:trPr>
          <w:trHeight w:val="83"/>
        </w:trPr>
        <w:tc>
          <w:tcPr>
            <w:tcW w:w="4800" w:type="dxa"/>
            <w:vAlign w:val="bottom"/>
            <w:shd w:val="clear" w:color="auto" w:fill="CCEEFF"/>
          </w:tcPr>
          <w:p>
            <w:pPr>
              <w:ind w:left="180"/>
              <w:spacing w:after="0" w:line="83" w:lineRule="exact"/>
              <w:rPr>
                <w:sz w:val="20"/>
                <w:szCs w:val="20"/>
                <w:color w:val="auto"/>
              </w:rPr>
            </w:pPr>
            <w:r>
              <w:rPr>
                <w:rFonts w:ascii="Arial" w:cs="Arial" w:eastAsia="Arial" w:hAnsi="Arial"/>
                <w:sz w:val="8"/>
                <w:szCs w:val="8"/>
                <w:color w:val="auto"/>
              </w:rPr>
              <w:t>Unrestricted capacity</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6,113</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59,968</w:t>
            </w:r>
          </w:p>
        </w:tc>
        <w:tc>
          <w:tcPr>
            <w:tcW w:w="0" w:type="dxa"/>
            <w:vAlign w:val="bottom"/>
          </w:tcPr>
          <w:p>
            <w:pPr>
              <w:spacing w:after="0"/>
              <w:rPr>
                <w:sz w:val="1"/>
                <w:szCs w:val="1"/>
                <w:color w:val="auto"/>
              </w:rPr>
            </w:pPr>
          </w:p>
        </w:tc>
      </w:tr>
      <w:tr>
        <w:trPr>
          <w:trHeight w:val="83"/>
        </w:trPr>
        <w:tc>
          <w:tcPr>
            <w:tcW w:w="4800" w:type="dxa"/>
            <w:vAlign w:val="bottom"/>
          </w:tcPr>
          <w:p>
            <w:pPr>
              <w:ind w:left="40"/>
              <w:spacing w:after="0" w:line="83" w:lineRule="exact"/>
              <w:rPr>
                <w:sz w:val="20"/>
                <w:szCs w:val="20"/>
                <w:color w:val="auto"/>
              </w:rPr>
            </w:pPr>
            <w:r>
              <w:rPr>
                <w:rFonts w:ascii="Arial" w:cs="Arial" w:eastAsia="Arial" w:hAnsi="Arial"/>
                <w:sz w:val="8"/>
                <w:szCs w:val="8"/>
                <w:color w:val="auto"/>
              </w:rPr>
              <w:t>Total resources at period end</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jc w:val="right"/>
              <w:spacing w:after="0" w:line="83" w:lineRule="exact"/>
              <w:rPr>
                <w:sz w:val="20"/>
                <w:szCs w:val="20"/>
                <w:color w:val="auto"/>
              </w:rPr>
            </w:pPr>
            <w:r>
              <w:rPr>
                <w:rFonts w:ascii="Arial" w:cs="Arial" w:eastAsia="Arial" w:hAnsi="Arial"/>
                <w:sz w:val="8"/>
                <w:szCs w:val="8"/>
                <w:color w:val="auto"/>
              </w:rPr>
              <w:t>20,085</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jc w:val="right"/>
              <w:spacing w:after="0" w:line="83" w:lineRule="exact"/>
              <w:rPr>
                <w:sz w:val="20"/>
                <w:szCs w:val="20"/>
                <w:color w:val="auto"/>
              </w:rPr>
            </w:pPr>
            <w:r>
              <w:rPr>
                <w:rFonts w:ascii="Arial" w:cs="Arial" w:eastAsia="Arial" w:hAnsi="Arial"/>
                <w:sz w:val="8"/>
                <w:szCs w:val="8"/>
                <w:color w:val="auto"/>
              </w:rPr>
              <w:t>41,947</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jc w:val="right"/>
              <w:spacing w:after="0" w:line="83" w:lineRule="exact"/>
              <w:rPr>
                <w:sz w:val="20"/>
                <w:szCs w:val="20"/>
                <w:color w:val="auto"/>
              </w:rPr>
            </w:pPr>
            <w:r>
              <w:rPr>
                <w:rFonts w:ascii="Arial" w:cs="Arial" w:eastAsia="Arial" w:hAnsi="Arial"/>
                <w:sz w:val="8"/>
                <w:szCs w:val="8"/>
                <w:color w:val="auto"/>
              </w:rPr>
              <w:t>95,251</w:t>
            </w: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jc w:val="right"/>
              <w:spacing w:after="0" w:line="83" w:lineRule="exact"/>
              <w:rPr>
                <w:sz w:val="20"/>
                <w:szCs w:val="20"/>
                <w:color w:val="auto"/>
              </w:rPr>
            </w:pPr>
            <w:r>
              <w:rPr>
                <w:rFonts w:ascii="Arial" w:cs="Arial" w:eastAsia="Arial" w:hAnsi="Arial"/>
                <w:sz w:val="8"/>
                <w:szCs w:val="8"/>
                <w:color w:val="auto"/>
              </w:rPr>
              <w:t>42,316</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right"/>
              <w:spacing w:after="0" w:line="83" w:lineRule="exact"/>
              <w:rPr>
                <w:sz w:val="20"/>
                <w:szCs w:val="20"/>
                <w:color w:val="auto"/>
              </w:rPr>
            </w:pPr>
            <w:r>
              <w:rPr>
                <w:rFonts w:ascii="Arial" w:cs="Arial" w:eastAsia="Arial" w:hAnsi="Arial"/>
                <w:sz w:val="8"/>
                <w:szCs w:val="8"/>
                <w:color w:val="auto"/>
              </w:rPr>
              <w:t>86,055</w:t>
            </w:r>
          </w:p>
        </w:tc>
        <w:tc>
          <w:tcPr>
            <w:tcW w:w="0" w:type="dxa"/>
            <w:vAlign w:val="bottom"/>
          </w:tcPr>
          <w:p>
            <w:pPr>
              <w:spacing w:after="0"/>
              <w:rPr>
                <w:sz w:val="1"/>
                <w:szCs w:val="1"/>
                <w:color w:val="auto"/>
              </w:rPr>
            </w:pPr>
          </w:p>
        </w:tc>
      </w:tr>
      <w:tr>
        <w:trPr>
          <w:trHeight w:val="83"/>
        </w:trPr>
        <w:tc>
          <w:tcPr>
            <w:tcW w:w="4800" w:type="dxa"/>
            <w:vAlign w:val="bottom"/>
            <w:shd w:val="clear" w:color="auto" w:fill="CCEEFF"/>
          </w:tcPr>
          <w:p>
            <w:pPr>
              <w:ind w:left="40"/>
              <w:spacing w:after="0" w:line="83" w:lineRule="exact"/>
              <w:rPr>
                <w:sz w:val="20"/>
                <w:szCs w:val="20"/>
                <w:color w:val="auto"/>
              </w:rPr>
            </w:pPr>
            <w:r>
              <w:rPr>
                <w:rFonts w:ascii="Arial" w:cs="Arial" w:eastAsia="Arial" w:hAnsi="Arial"/>
                <w:sz w:val="8"/>
                <w:szCs w:val="8"/>
                <w:color w:val="auto"/>
              </w:rPr>
              <w:t>Total unrestricted resources at period end</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11,925</w:t>
            </w: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29,947</w:t>
            </w: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83,251</w:t>
            </w: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32,939</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72,103</w:t>
            </w:r>
          </w:p>
        </w:tc>
        <w:tc>
          <w:tcPr>
            <w:tcW w:w="0" w:type="dxa"/>
            <w:vAlign w:val="bottom"/>
          </w:tcPr>
          <w:p>
            <w:pPr>
              <w:spacing w:after="0"/>
              <w:rPr>
                <w:sz w:val="1"/>
                <w:szCs w:val="1"/>
                <w:color w:val="auto"/>
              </w:rPr>
            </w:pPr>
          </w:p>
        </w:tc>
      </w:tr>
      <w:tr>
        <w:trPr>
          <w:trHeight w:val="83"/>
        </w:trPr>
        <w:tc>
          <w:tcPr>
            <w:tcW w:w="4800" w:type="dxa"/>
            <w:vAlign w:val="bottom"/>
          </w:tcPr>
          <w:p>
            <w:pPr>
              <w:spacing w:after="0" w:line="83" w:lineRule="exact"/>
              <w:rPr>
                <w:sz w:val="20"/>
                <w:szCs w:val="20"/>
                <w:color w:val="auto"/>
              </w:rPr>
            </w:pPr>
            <w:r>
              <w:rPr>
                <w:rFonts w:ascii="Arial" w:cs="Arial" w:eastAsia="Arial" w:hAnsi="Arial"/>
                <w:sz w:val="8"/>
                <w:szCs w:val="8"/>
                <w:b w:val="1"/>
                <w:bCs w:val="1"/>
                <w:i w:val="1"/>
                <w:iCs w:val="1"/>
                <w:color w:val="auto"/>
              </w:rPr>
              <w:t>Debt-to-Equity Ratio</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0" w:type="dxa"/>
            <w:vAlign w:val="bottom"/>
            <w:shd w:val="clear" w:color="auto" w:fill="CCEEFF"/>
          </w:tcPr>
          <w:p>
            <w:pPr>
              <w:ind w:left="40"/>
              <w:spacing w:after="0" w:line="83" w:lineRule="exact"/>
              <w:rPr>
                <w:sz w:val="20"/>
                <w:szCs w:val="20"/>
                <w:color w:val="auto"/>
              </w:rPr>
            </w:pPr>
            <w:r>
              <w:rPr>
                <w:rFonts w:ascii="Arial" w:cs="Arial" w:eastAsia="Arial" w:hAnsi="Arial"/>
                <w:sz w:val="8"/>
                <w:szCs w:val="8"/>
                <w:color w:val="auto"/>
              </w:rPr>
              <w:t>Total contractual facility</w:t>
            </w:r>
          </w:p>
        </w:tc>
        <w:tc>
          <w:tcPr>
            <w:tcW w:w="200" w:type="dxa"/>
            <w:vAlign w:val="bottom"/>
            <w:gridSpan w:val="2"/>
            <w:shd w:val="clear" w:color="auto" w:fill="CCEEFF"/>
          </w:tcPr>
          <w:p>
            <w:pPr>
              <w:jc w:val="right"/>
              <w:ind w:right="60"/>
              <w:spacing w:after="0" w:line="83" w:lineRule="exact"/>
              <w:rPr>
                <w:sz w:val="20"/>
                <w:szCs w:val="20"/>
                <w:color w:val="auto"/>
              </w:rPr>
            </w:pPr>
            <w:r>
              <w:rPr>
                <w:rFonts w:ascii="Arial" w:cs="Arial" w:eastAsia="Arial" w:hAnsi="Arial"/>
                <w:sz w:val="8"/>
                <w:szCs w:val="8"/>
                <w:color w:val="auto"/>
              </w:rPr>
              <w:t>$</w:t>
            </w:r>
          </w:p>
        </w:tc>
        <w:tc>
          <w:tcPr>
            <w:tcW w:w="10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216,749</w:t>
            </w: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227,633</w:t>
            </w: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jc w:val="right"/>
              <w:ind w:right="159"/>
              <w:spacing w:after="0" w:line="83" w:lineRule="exact"/>
              <w:rPr>
                <w:sz w:val="20"/>
                <w:szCs w:val="20"/>
                <w:color w:val="auto"/>
              </w:rPr>
            </w:pPr>
            <w:r>
              <w:rPr>
                <w:rFonts w:ascii="Arial" w:cs="Arial" w:eastAsia="Arial" w:hAnsi="Arial"/>
                <w:sz w:val="8"/>
                <w:szCs w:val="8"/>
                <w:color w:val="auto"/>
                <w:w w:val="88"/>
              </w:rPr>
              <w:t>$</w:t>
            </w:r>
          </w:p>
        </w:tc>
        <w:tc>
          <w:tcPr>
            <w:tcW w:w="8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248,948</w:t>
            </w: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611"/>
              <w:spacing w:after="0"/>
              <w:rPr>
                <w:sz w:val="20"/>
                <w:szCs w:val="20"/>
                <w:color w:val="auto"/>
              </w:rPr>
            </w:pPr>
            <w:r>
              <w:rPr>
                <w:rFonts w:ascii="Arial" w:cs="Arial" w:eastAsia="Arial" w:hAnsi="Arial"/>
                <w:sz w:val="5"/>
                <w:szCs w:val="5"/>
                <w:color w:val="auto"/>
                <w:w w:val="70"/>
              </w:rPr>
              <w:t>$</w:t>
            </w:r>
          </w:p>
        </w:tc>
        <w:tc>
          <w:tcPr>
            <w:tcW w:w="3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300,449</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jc w:val="right"/>
              <w:ind w:right="139"/>
              <w:spacing w:after="0" w:line="83" w:lineRule="exact"/>
              <w:rPr>
                <w:sz w:val="20"/>
                <w:szCs w:val="20"/>
                <w:color w:val="auto"/>
              </w:rPr>
            </w:pPr>
            <w:r>
              <w:rPr>
                <w:rFonts w:ascii="Arial" w:cs="Arial" w:eastAsia="Arial" w:hAnsi="Arial"/>
                <w:sz w:val="8"/>
                <w:szCs w:val="8"/>
                <w:color w:val="auto"/>
                <w:w w:val="88"/>
              </w:rPr>
              <w:t>$</w:t>
            </w:r>
          </w:p>
        </w:tc>
        <w:tc>
          <w:tcPr>
            <w:tcW w:w="7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283,138</w:t>
            </w:r>
          </w:p>
        </w:tc>
        <w:tc>
          <w:tcPr>
            <w:tcW w:w="0" w:type="dxa"/>
            <w:vAlign w:val="bottom"/>
          </w:tcPr>
          <w:p>
            <w:pPr>
              <w:spacing w:after="0"/>
              <w:rPr>
                <w:sz w:val="1"/>
                <w:szCs w:val="1"/>
                <w:color w:val="auto"/>
              </w:rPr>
            </w:pPr>
          </w:p>
        </w:tc>
      </w:tr>
      <w:tr>
        <w:trPr>
          <w:trHeight w:val="83"/>
        </w:trPr>
        <w:tc>
          <w:tcPr>
            <w:tcW w:w="4800" w:type="dxa"/>
            <w:vAlign w:val="bottom"/>
          </w:tcPr>
          <w:p>
            <w:pPr>
              <w:ind w:left="40"/>
              <w:spacing w:after="0" w:line="83" w:lineRule="exact"/>
              <w:rPr>
                <w:sz w:val="20"/>
                <w:szCs w:val="20"/>
                <w:color w:val="auto"/>
              </w:rPr>
            </w:pPr>
            <w:r>
              <w:rPr>
                <w:rFonts w:ascii="Arial" w:cs="Arial" w:eastAsia="Arial" w:hAnsi="Arial"/>
                <w:sz w:val="8"/>
                <w:szCs w:val="8"/>
                <w:color w:val="auto"/>
              </w:rPr>
              <w:t>Total debt (gross of deferred financing costs)</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jc w:val="right"/>
              <w:spacing w:after="0" w:line="83" w:lineRule="exact"/>
              <w:rPr>
                <w:sz w:val="20"/>
                <w:szCs w:val="20"/>
                <w:color w:val="auto"/>
              </w:rPr>
            </w:pPr>
            <w:r>
              <w:rPr>
                <w:rFonts w:ascii="Arial" w:cs="Arial" w:eastAsia="Arial" w:hAnsi="Arial"/>
                <w:sz w:val="8"/>
                <w:szCs w:val="8"/>
                <w:color w:val="auto"/>
              </w:rPr>
              <w:t>208,589</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jc w:val="right"/>
              <w:spacing w:after="0" w:line="83" w:lineRule="exact"/>
              <w:rPr>
                <w:sz w:val="20"/>
                <w:szCs w:val="20"/>
                <w:color w:val="auto"/>
              </w:rPr>
            </w:pPr>
            <w:r>
              <w:rPr>
                <w:rFonts w:ascii="Arial" w:cs="Arial" w:eastAsia="Arial" w:hAnsi="Arial"/>
                <w:sz w:val="8"/>
                <w:szCs w:val="8"/>
                <w:color w:val="auto"/>
              </w:rPr>
              <w:t>215,633</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jc w:val="right"/>
              <w:spacing w:after="0" w:line="83" w:lineRule="exact"/>
              <w:rPr>
                <w:sz w:val="20"/>
                <w:szCs w:val="20"/>
                <w:color w:val="auto"/>
              </w:rPr>
            </w:pPr>
            <w:r>
              <w:rPr>
                <w:rFonts w:ascii="Arial" w:cs="Arial" w:eastAsia="Arial" w:hAnsi="Arial"/>
                <w:sz w:val="8"/>
                <w:szCs w:val="8"/>
                <w:color w:val="auto"/>
              </w:rPr>
              <w:t>236,948</w:t>
            </w: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jc w:val="right"/>
              <w:spacing w:after="0" w:line="83" w:lineRule="exact"/>
              <w:rPr>
                <w:sz w:val="20"/>
                <w:szCs w:val="20"/>
                <w:color w:val="auto"/>
              </w:rPr>
            </w:pPr>
            <w:r>
              <w:rPr>
                <w:rFonts w:ascii="Arial" w:cs="Arial" w:eastAsia="Arial" w:hAnsi="Arial"/>
                <w:sz w:val="8"/>
                <w:szCs w:val="8"/>
                <w:color w:val="auto"/>
              </w:rPr>
              <w:t>284,959</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right"/>
              <w:spacing w:after="0" w:line="83" w:lineRule="exact"/>
              <w:rPr>
                <w:sz w:val="20"/>
                <w:szCs w:val="20"/>
                <w:color w:val="auto"/>
              </w:rPr>
            </w:pPr>
            <w:r>
              <w:rPr>
                <w:rFonts w:ascii="Arial" w:cs="Arial" w:eastAsia="Arial" w:hAnsi="Arial"/>
                <w:sz w:val="8"/>
                <w:szCs w:val="8"/>
                <w:color w:val="auto"/>
              </w:rPr>
              <w:t>209,218</w:t>
            </w:r>
          </w:p>
        </w:tc>
        <w:tc>
          <w:tcPr>
            <w:tcW w:w="0" w:type="dxa"/>
            <w:vAlign w:val="bottom"/>
          </w:tcPr>
          <w:p>
            <w:pPr>
              <w:spacing w:after="0"/>
              <w:rPr>
                <w:sz w:val="1"/>
                <w:szCs w:val="1"/>
                <w:color w:val="auto"/>
              </w:rPr>
            </w:pPr>
          </w:p>
        </w:tc>
      </w:tr>
      <w:tr>
        <w:trPr>
          <w:trHeight w:val="83"/>
        </w:trPr>
        <w:tc>
          <w:tcPr>
            <w:tcW w:w="4800" w:type="dxa"/>
            <w:vAlign w:val="bottom"/>
            <w:shd w:val="clear" w:color="auto" w:fill="CCEEFF"/>
          </w:tcPr>
          <w:p>
            <w:pPr>
              <w:ind w:left="180"/>
              <w:spacing w:after="0" w:line="83" w:lineRule="exact"/>
              <w:rPr>
                <w:sz w:val="20"/>
                <w:szCs w:val="20"/>
                <w:color w:val="auto"/>
              </w:rPr>
            </w:pPr>
            <w:r>
              <w:rPr>
                <w:rFonts w:ascii="Arial" w:cs="Arial" w:eastAsia="Arial" w:hAnsi="Arial"/>
                <w:sz w:val="8"/>
                <w:szCs w:val="8"/>
                <w:color w:val="auto"/>
              </w:rPr>
              <w:t>Current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41,178</w:t>
            </w: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38,026</w:t>
            </w: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12,060</w:t>
            </w: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42,299</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37,380</w:t>
            </w:r>
          </w:p>
        </w:tc>
        <w:tc>
          <w:tcPr>
            <w:tcW w:w="0" w:type="dxa"/>
            <w:vAlign w:val="bottom"/>
          </w:tcPr>
          <w:p>
            <w:pPr>
              <w:spacing w:after="0"/>
              <w:rPr>
                <w:sz w:val="1"/>
                <w:szCs w:val="1"/>
                <w:color w:val="auto"/>
              </w:rPr>
            </w:pPr>
          </w:p>
        </w:tc>
      </w:tr>
      <w:tr>
        <w:trPr>
          <w:trHeight w:val="83"/>
        </w:trPr>
        <w:tc>
          <w:tcPr>
            <w:tcW w:w="4800" w:type="dxa"/>
            <w:vAlign w:val="bottom"/>
          </w:tcPr>
          <w:p>
            <w:pPr>
              <w:ind w:left="180"/>
              <w:spacing w:after="0" w:line="83" w:lineRule="exact"/>
              <w:rPr>
                <w:sz w:val="20"/>
                <w:szCs w:val="20"/>
                <w:color w:val="auto"/>
              </w:rPr>
            </w:pPr>
            <w:r>
              <w:rPr>
                <w:rFonts w:ascii="Arial" w:cs="Arial" w:eastAsia="Arial" w:hAnsi="Arial"/>
                <w:sz w:val="8"/>
                <w:szCs w:val="8"/>
                <w:color w:val="auto"/>
              </w:rPr>
              <w:t>Non-current</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jc w:val="right"/>
              <w:spacing w:after="0" w:line="83" w:lineRule="exact"/>
              <w:rPr>
                <w:sz w:val="20"/>
                <w:szCs w:val="20"/>
                <w:color w:val="auto"/>
              </w:rPr>
            </w:pPr>
            <w:r>
              <w:rPr>
                <w:rFonts w:ascii="Arial" w:cs="Arial" w:eastAsia="Arial" w:hAnsi="Arial"/>
                <w:sz w:val="8"/>
                <w:szCs w:val="8"/>
                <w:color w:val="auto"/>
              </w:rPr>
              <w:t>167,411</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jc w:val="right"/>
              <w:spacing w:after="0" w:line="83" w:lineRule="exact"/>
              <w:rPr>
                <w:sz w:val="20"/>
                <w:szCs w:val="20"/>
                <w:color w:val="auto"/>
              </w:rPr>
            </w:pPr>
            <w:r>
              <w:rPr>
                <w:rFonts w:ascii="Arial" w:cs="Arial" w:eastAsia="Arial" w:hAnsi="Arial"/>
                <w:sz w:val="8"/>
                <w:szCs w:val="8"/>
                <w:color w:val="auto"/>
              </w:rPr>
              <w:t>177,607</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jc w:val="right"/>
              <w:spacing w:after="0" w:line="83" w:lineRule="exact"/>
              <w:rPr>
                <w:sz w:val="20"/>
                <w:szCs w:val="20"/>
                <w:color w:val="auto"/>
              </w:rPr>
            </w:pPr>
            <w:r>
              <w:rPr>
                <w:rFonts w:ascii="Arial" w:cs="Arial" w:eastAsia="Arial" w:hAnsi="Arial"/>
                <w:sz w:val="8"/>
                <w:szCs w:val="8"/>
                <w:color w:val="auto"/>
              </w:rPr>
              <w:t>224,888</w:t>
            </w: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jc w:val="right"/>
              <w:spacing w:after="0" w:line="83" w:lineRule="exact"/>
              <w:rPr>
                <w:sz w:val="20"/>
                <w:szCs w:val="20"/>
                <w:color w:val="auto"/>
              </w:rPr>
            </w:pPr>
            <w:r>
              <w:rPr>
                <w:rFonts w:ascii="Arial" w:cs="Arial" w:eastAsia="Arial" w:hAnsi="Arial"/>
                <w:sz w:val="8"/>
                <w:szCs w:val="8"/>
                <w:color w:val="auto"/>
              </w:rPr>
              <w:t>242,660</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right"/>
              <w:spacing w:after="0" w:line="83" w:lineRule="exact"/>
              <w:rPr>
                <w:sz w:val="20"/>
                <w:szCs w:val="20"/>
                <w:color w:val="auto"/>
              </w:rPr>
            </w:pPr>
            <w:r>
              <w:rPr>
                <w:rFonts w:ascii="Arial" w:cs="Arial" w:eastAsia="Arial" w:hAnsi="Arial"/>
                <w:sz w:val="8"/>
                <w:szCs w:val="8"/>
                <w:color w:val="auto"/>
              </w:rPr>
              <w:t>171,838</w:t>
            </w:r>
          </w:p>
        </w:tc>
        <w:tc>
          <w:tcPr>
            <w:tcW w:w="0" w:type="dxa"/>
            <w:vAlign w:val="bottom"/>
          </w:tcPr>
          <w:p>
            <w:pPr>
              <w:spacing w:after="0"/>
              <w:rPr>
                <w:sz w:val="1"/>
                <w:szCs w:val="1"/>
                <w:color w:val="auto"/>
              </w:rPr>
            </w:pPr>
          </w:p>
        </w:tc>
      </w:tr>
      <w:tr>
        <w:trPr>
          <w:trHeight w:val="83"/>
        </w:trPr>
        <w:tc>
          <w:tcPr>
            <w:tcW w:w="4800" w:type="dxa"/>
            <w:vAlign w:val="bottom"/>
            <w:shd w:val="clear" w:color="auto" w:fill="CCEEFF"/>
          </w:tcPr>
          <w:p>
            <w:pPr>
              <w:ind w:left="180"/>
              <w:spacing w:after="0" w:line="83" w:lineRule="exact"/>
              <w:rPr>
                <w:sz w:val="20"/>
                <w:szCs w:val="20"/>
                <w:color w:val="auto"/>
              </w:rPr>
            </w:pPr>
            <w:r>
              <w:rPr>
                <w:rFonts w:ascii="Arial" w:cs="Arial" w:eastAsia="Arial" w:hAnsi="Arial"/>
                <w:sz w:val="8"/>
                <w:szCs w:val="8"/>
                <w:color w:val="auto"/>
              </w:rPr>
              <w:t>Finance lease liabilities</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3</w:t>
            </w:r>
          </w:p>
        </w:tc>
        <w:tc>
          <w:tcPr>
            <w:tcW w:w="24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28</w:t>
            </w:r>
          </w:p>
        </w:tc>
        <w:tc>
          <w:tcPr>
            <w:tcW w:w="26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209</w:t>
            </w:r>
          </w:p>
        </w:tc>
        <w:tc>
          <w:tcPr>
            <w:tcW w:w="6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3"/>
        </w:trPr>
        <w:tc>
          <w:tcPr>
            <w:tcW w:w="4800" w:type="dxa"/>
            <w:vAlign w:val="bottom"/>
          </w:tcPr>
          <w:p>
            <w:pPr>
              <w:ind w:left="40"/>
              <w:spacing w:after="0" w:line="83" w:lineRule="exact"/>
              <w:rPr>
                <w:sz w:val="20"/>
                <w:szCs w:val="20"/>
                <w:color w:val="auto"/>
              </w:rPr>
            </w:pPr>
            <w:r>
              <w:rPr>
                <w:rFonts w:ascii="Arial" w:cs="Arial" w:eastAsia="Arial" w:hAnsi="Arial"/>
                <w:sz w:val="8"/>
                <w:szCs w:val="8"/>
                <w:color w:val="auto"/>
              </w:rPr>
              <w:t>Total book equity</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jc w:val="right"/>
              <w:spacing w:after="0" w:line="83" w:lineRule="exact"/>
              <w:rPr>
                <w:sz w:val="20"/>
                <w:szCs w:val="20"/>
                <w:color w:val="auto"/>
              </w:rPr>
            </w:pPr>
            <w:r>
              <w:rPr>
                <w:rFonts w:ascii="Arial" w:cs="Arial" w:eastAsia="Arial" w:hAnsi="Arial"/>
                <w:sz w:val="8"/>
                <w:szCs w:val="8"/>
                <w:color w:val="auto"/>
              </w:rPr>
              <w:t>42,055</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jc w:val="right"/>
              <w:spacing w:after="0" w:line="83" w:lineRule="exact"/>
              <w:rPr>
                <w:sz w:val="20"/>
                <w:szCs w:val="20"/>
                <w:color w:val="auto"/>
              </w:rPr>
            </w:pPr>
            <w:r>
              <w:rPr>
                <w:rFonts w:ascii="Arial" w:cs="Arial" w:eastAsia="Arial" w:hAnsi="Arial"/>
                <w:sz w:val="8"/>
                <w:szCs w:val="8"/>
                <w:color w:val="auto"/>
              </w:rPr>
              <w:t>63,279</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jc w:val="right"/>
              <w:spacing w:after="0" w:line="83" w:lineRule="exact"/>
              <w:rPr>
                <w:sz w:val="20"/>
                <w:szCs w:val="20"/>
                <w:color w:val="auto"/>
              </w:rPr>
            </w:pPr>
            <w:r>
              <w:rPr>
                <w:rFonts w:ascii="Arial" w:cs="Arial" w:eastAsia="Arial" w:hAnsi="Arial"/>
                <w:sz w:val="8"/>
                <w:szCs w:val="8"/>
                <w:color w:val="auto"/>
              </w:rPr>
              <w:t>105,060</w:t>
            </w: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jc w:val="right"/>
              <w:spacing w:after="0" w:line="83" w:lineRule="exact"/>
              <w:rPr>
                <w:sz w:val="20"/>
                <w:szCs w:val="20"/>
                <w:color w:val="auto"/>
              </w:rPr>
            </w:pPr>
            <w:r>
              <w:rPr>
                <w:rFonts w:ascii="Arial" w:cs="Arial" w:eastAsia="Arial" w:hAnsi="Arial"/>
                <w:sz w:val="8"/>
                <w:szCs w:val="8"/>
                <w:color w:val="auto"/>
              </w:rPr>
              <w:t>81,173</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right"/>
              <w:spacing w:after="0" w:line="83" w:lineRule="exact"/>
              <w:rPr>
                <w:sz w:val="20"/>
                <w:szCs w:val="20"/>
                <w:color w:val="auto"/>
              </w:rPr>
            </w:pPr>
            <w:r>
              <w:rPr>
                <w:rFonts w:ascii="Arial" w:cs="Arial" w:eastAsia="Arial" w:hAnsi="Arial"/>
                <w:sz w:val="8"/>
                <w:szCs w:val="8"/>
                <w:color w:val="auto"/>
              </w:rPr>
              <w:t>139,616</w:t>
            </w:r>
          </w:p>
        </w:tc>
        <w:tc>
          <w:tcPr>
            <w:tcW w:w="0" w:type="dxa"/>
            <w:vAlign w:val="bottom"/>
          </w:tcPr>
          <w:p>
            <w:pPr>
              <w:spacing w:after="0"/>
              <w:rPr>
                <w:sz w:val="1"/>
                <w:szCs w:val="1"/>
                <w:color w:val="auto"/>
              </w:rPr>
            </w:pPr>
          </w:p>
        </w:tc>
      </w:tr>
      <w:tr>
        <w:trPr>
          <w:trHeight w:val="83"/>
        </w:trPr>
        <w:tc>
          <w:tcPr>
            <w:tcW w:w="4800" w:type="dxa"/>
            <w:vAlign w:val="bottom"/>
            <w:shd w:val="clear" w:color="auto" w:fill="CCEEFF"/>
          </w:tcPr>
          <w:p>
            <w:pPr>
              <w:ind w:left="40"/>
              <w:spacing w:after="0" w:line="83" w:lineRule="exact"/>
              <w:rPr>
                <w:sz w:val="20"/>
                <w:szCs w:val="20"/>
                <w:color w:val="auto"/>
              </w:rPr>
            </w:pPr>
            <w:r>
              <w:rPr>
                <w:rFonts w:ascii="Arial" w:cs="Arial" w:eastAsia="Arial" w:hAnsi="Arial"/>
                <w:sz w:val="8"/>
                <w:szCs w:val="8"/>
                <w:color w:val="auto"/>
              </w:rPr>
              <w:t>Debt-to- equity ratio</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4.96</w:t>
            </w:r>
          </w:p>
        </w:tc>
        <w:tc>
          <w:tcPr>
            <w:tcW w:w="24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3.41</w:t>
            </w:r>
          </w:p>
        </w:tc>
        <w:tc>
          <w:tcPr>
            <w:tcW w:w="26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2.26</w:t>
            </w:r>
          </w:p>
        </w:tc>
        <w:tc>
          <w:tcPr>
            <w:tcW w:w="6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3.51</w:t>
            </w: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1.50</w:t>
            </w:r>
          </w:p>
        </w:tc>
        <w:tc>
          <w:tcPr>
            <w:tcW w:w="0" w:type="dxa"/>
            <w:vAlign w:val="bottom"/>
          </w:tcPr>
          <w:p>
            <w:pPr>
              <w:spacing w:after="0"/>
              <w:rPr>
                <w:sz w:val="1"/>
                <w:szCs w:val="1"/>
                <w:color w:val="auto"/>
              </w:rPr>
            </w:pPr>
          </w:p>
        </w:tc>
      </w:tr>
      <w:tr>
        <w:trPr>
          <w:trHeight w:val="83"/>
        </w:trPr>
        <w:tc>
          <w:tcPr>
            <w:tcW w:w="4800" w:type="dxa"/>
            <w:vAlign w:val="bottom"/>
          </w:tcPr>
          <w:p>
            <w:pPr>
              <w:spacing w:after="0" w:line="83" w:lineRule="exact"/>
              <w:rPr>
                <w:sz w:val="20"/>
                <w:szCs w:val="20"/>
                <w:color w:val="auto"/>
              </w:rPr>
            </w:pPr>
            <w:r>
              <w:rPr>
                <w:rFonts w:ascii="Arial" w:cs="Arial" w:eastAsia="Arial" w:hAnsi="Arial"/>
                <w:sz w:val="8"/>
                <w:szCs w:val="8"/>
                <w:b w:val="1"/>
                <w:bCs w:val="1"/>
                <w:i w:val="1"/>
                <w:iCs w:val="1"/>
                <w:color w:val="auto"/>
              </w:rPr>
              <w:t>Changes in Working Capital</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0" w:type="dxa"/>
            <w:vAlign w:val="bottom"/>
            <w:shd w:val="clear" w:color="auto" w:fill="CCEEFF"/>
          </w:tcPr>
          <w:p>
            <w:pPr>
              <w:ind w:left="40"/>
              <w:spacing w:after="0" w:line="113" w:lineRule="exact"/>
              <w:rPr>
                <w:sz w:val="20"/>
                <w:szCs w:val="20"/>
                <w:color w:val="auto"/>
              </w:rPr>
            </w:pPr>
            <w:r>
              <w:rPr>
                <w:rFonts w:ascii="Arial" w:cs="Arial" w:eastAsia="Arial" w:hAnsi="Arial"/>
                <w:sz w:val="8"/>
                <w:szCs w:val="8"/>
                <w:color w:val="auto"/>
              </w:rPr>
              <w:t>Working capital (deficit)</w:t>
            </w:r>
            <w:r>
              <w:rPr>
                <w:rFonts w:ascii="Arial" w:cs="Arial" w:eastAsia="Arial" w:hAnsi="Arial"/>
                <w:sz w:val="13"/>
                <w:szCs w:val="13"/>
                <w:color w:val="auto"/>
                <w:vertAlign w:val="superscript"/>
              </w:rPr>
              <w:t>(1)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8"/>
                <w:szCs w:val="8"/>
                <w:color w:val="auto"/>
              </w:rPr>
              <w:t>(85,664)</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8"/>
                <w:szCs w:val="8"/>
                <w:color w:val="auto"/>
              </w:rPr>
              <w:t>(74,152)</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jc w:val="right"/>
              <w:ind w:right="159"/>
              <w:spacing w:after="0"/>
              <w:rPr>
                <w:sz w:val="20"/>
                <w:szCs w:val="20"/>
                <w:color w:val="auto"/>
              </w:rPr>
            </w:pPr>
            <w:r>
              <w:rPr>
                <w:rFonts w:ascii="Arial" w:cs="Arial" w:eastAsia="Arial" w:hAnsi="Arial"/>
                <w:sz w:val="8"/>
                <w:szCs w:val="8"/>
                <w:color w:val="auto"/>
                <w:w w:val="8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(6,673)</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611"/>
              <w:spacing w:after="0"/>
              <w:rPr>
                <w:sz w:val="20"/>
                <w:szCs w:val="20"/>
                <w:color w:val="auto"/>
              </w:rPr>
            </w:pPr>
            <w:r>
              <w:rPr>
                <w:rFonts w:ascii="Arial" w:cs="Arial" w:eastAsia="Arial" w:hAnsi="Arial"/>
                <w:sz w:val="5"/>
                <w:szCs w:val="5"/>
                <w:color w:val="auto"/>
                <w:w w:val="70"/>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color w:val="auto"/>
              </w:rPr>
              <w:t>(64,140)</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w w:val="8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(84,138)</w:t>
            </w:r>
          </w:p>
        </w:tc>
        <w:tc>
          <w:tcPr>
            <w:tcW w:w="0" w:type="dxa"/>
            <w:vAlign w:val="bottom"/>
          </w:tcPr>
          <w:p>
            <w:pPr>
              <w:spacing w:after="0"/>
              <w:rPr>
                <w:sz w:val="1"/>
                <w:szCs w:val="1"/>
                <w:color w:val="auto"/>
              </w:rPr>
            </w:pPr>
          </w:p>
        </w:tc>
      </w:tr>
      <w:tr>
        <w:trPr>
          <w:trHeight w:val="83"/>
        </w:trPr>
        <w:tc>
          <w:tcPr>
            <w:tcW w:w="4800" w:type="dxa"/>
            <w:vAlign w:val="bottom"/>
          </w:tcPr>
          <w:p>
            <w:pPr>
              <w:ind w:left="40"/>
              <w:spacing w:after="0" w:line="83" w:lineRule="exact"/>
              <w:rPr>
                <w:sz w:val="20"/>
                <w:szCs w:val="20"/>
                <w:color w:val="auto"/>
              </w:rPr>
            </w:pPr>
            <w:r>
              <w:rPr>
                <w:rFonts w:ascii="Arial" w:cs="Arial" w:eastAsia="Arial" w:hAnsi="Arial"/>
                <w:sz w:val="8"/>
                <w:szCs w:val="8"/>
                <w:color w:val="auto"/>
              </w:rPr>
              <w:t>Current ratio</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tcPr>
          <w:p>
            <w:pPr>
              <w:jc w:val="right"/>
              <w:ind w:right="100"/>
              <w:spacing w:after="0" w:line="83" w:lineRule="exact"/>
              <w:rPr>
                <w:sz w:val="20"/>
                <w:szCs w:val="20"/>
                <w:color w:val="auto"/>
              </w:rPr>
            </w:pPr>
            <w:r>
              <w:rPr>
                <w:rFonts w:ascii="Arial" w:cs="Arial" w:eastAsia="Arial" w:hAnsi="Arial"/>
                <w:sz w:val="8"/>
                <w:szCs w:val="8"/>
                <w:color w:val="auto"/>
              </w:rPr>
              <w:t>0.33</w:t>
            </w:r>
          </w:p>
        </w:tc>
        <w:tc>
          <w:tcPr>
            <w:tcW w:w="240" w:type="dxa"/>
            <w:vAlign w:val="bottom"/>
          </w:tcPr>
          <w:p>
            <w:pPr>
              <w:spacing w:after="0"/>
              <w:rPr>
                <w:sz w:val="7"/>
                <w:szCs w:val="7"/>
                <w:color w:val="auto"/>
              </w:rPr>
            </w:pPr>
          </w:p>
        </w:tc>
        <w:tc>
          <w:tcPr>
            <w:tcW w:w="92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0.39</w:t>
            </w:r>
          </w:p>
        </w:tc>
        <w:tc>
          <w:tcPr>
            <w:tcW w:w="260" w:type="dxa"/>
            <w:vAlign w:val="bottom"/>
          </w:tcPr>
          <w:p>
            <w:pPr>
              <w:spacing w:after="0"/>
              <w:rPr>
                <w:sz w:val="7"/>
                <w:szCs w:val="7"/>
                <w:color w:val="auto"/>
              </w:rPr>
            </w:pPr>
          </w:p>
        </w:tc>
        <w:tc>
          <w:tcPr>
            <w:tcW w:w="920" w:type="dxa"/>
            <w:vAlign w:val="bottom"/>
            <w:gridSpan w:val="2"/>
          </w:tcPr>
          <w:p>
            <w:pPr>
              <w:jc w:val="right"/>
              <w:ind w:right="100"/>
              <w:spacing w:after="0" w:line="83" w:lineRule="exact"/>
              <w:rPr>
                <w:sz w:val="20"/>
                <w:szCs w:val="20"/>
                <w:color w:val="auto"/>
              </w:rPr>
            </w:pPr>
            <w:r>
              <w:rPr>
                <w:rFonts w:ascii="Arial" w:cs="Arial" w:eastAsia="Arial" w:hAnsi="Arial"/>
                <w:sz w:val="8"/>
                <w:szCs w:val="8"/>
                <w:color w:val="auto"/>
              </w:rPr>
              <w:t>0.94</w:t>
            </w:r>
          </w:p>
        </w:tc>
        <w:tc>
          <w:tcPr>
            <w:tcW w:w="680" w:type="dxa"/>
            <w:vAlign w:val="bottom"/>
          </w:tcPr>
          <w:p>
            <w:pPr>
              <w:spacing w:after="0"/>
              <w:rPr>
                <w:sz w:val="7"/>
                <w:szCs w:val="7"/>
                <w:color w:val="auto"/>
              </w:rPr>
            </w:pPr>
          </w:p>
        </w:tc>
        <w:tc>
          <w:tcPr>
            <w:tcW w:w="460" w:type="dxa"/>
            <w:vAlign w:val="bottom"/>
            <w:gridSpan w:val="2"/>
          </w:tcPr>
          <w:p>
            <w:pPr>
              <w:jc w:val="right"/>
              <w:ind w:right="80"/>
              <w:spacing w:after="0" w:line="83" w:lineRule="exact"/>
              <w:rPr>
                <w:sz w:val="20"/>
                <w:szCs w:val="20"/>
                <w:color w:val="auto"/>
              </w:rPr>
            </w:pPr>
            <w:r>
              <w:rPr>
                <w:rFonts w:ascii="Arial" w:cs="Arial" w:eastAsia="Arial" w:hAnsi="Arial"/>
                <w:sz w:val="8"/>
                <w:szCs w:val="8"/>
                <w:color w:val="auto"/>
              </w:rPr>
              <w:t>0.47</w:t>
            </w:r>
          </w:p>
        </w:tc>
        <w:tc>
          <w:tcPr>
            <w:tcW w:w="240" w:type="dxa"/>
            <w:vAlign w:val="bottom"/>
          </w:tcPr>
          <w:p>
            <w:pPr>
              <w:spacing w:after="0"/>
              <w:rPr>
                <w:sz w:val="7"/>
                <w:szCs w:val="7"/>
                <w:color w:val="auto"/>
              </w:rPr>
            </w:pPr>
          </w:p>
        </w:tc>
        <w:tc>
          <w:tcPr>
            <w:tcW w:w="780" w:type="dxa"/>
            <w:vAlign w:val="bottom"/>
          </w:tcPr>
          <w:p>
            <w:pPr>
              <w:jc w:val="right"/>
              <w:spacing w:after="0" w:line="83" w:lineRule="exact"/>
              <w:rPr>
                <w:sz w:val="20"/>
                <w:szCs w:val="20"/>
                <w:color w:val="auto"/>
              </w:rPr>
            </w:pPr>
            <w:r>
              <w:rPr>
                <w:rFonts w:ascii="Arial" w:cs="Arial" w:eastAsia="Arial" w:hAnsi="Arial"/>
                <w:sz w:val="8"/>
                <w:szCs w:val="8"/>
                <w:color w:val="auto"/>
              </w:rPr>
              <w:t>0.24</w:t>
            </w:r>
          </w:p>
        </w:tc>
        <w:tc>
          <w:tcPr>
            <w:tcW w:w="0" w:type="dxa"/>
            <w:vAlign w:val="bottom"/>
          </w:tcPr>
          <w:p>
            <w:pPr>
              <w:spacing w:after="0"/>
              <w:rPr>
                <w:sz w:val="1"/>
                <w:szCs w:val="1"/>
                <w:color w:val="auto"/>
              </w:rPr>
            </w:pPr>
          </w:p>
        </w:tc>
      </w:tr>
      <w:tr>
        <w:trPr>
          <w:trHeight w:val="83"/>
        </w:trPr>
        <w:tc>
          <w:tcPr>
            <w:tcW w:w="4800" w:type="dxa"/>
            <w:vAlign w:val="bottom"/>
            <w:shd w:val="clear" w:color="auto" w:fill="CCEEFF"/>
          </w:tcPr>
          <w:p>
            <w:pPr>
              <w:spacing w:after="0" w:line="83" w:lineRule="exact"/>
              <w:rPr>
                <w:sz w:val="20"/>
                <w:szCs w:val="20"/>
                <w:color w:val="auto"/>
              </w:rPr>
            </w:pPr>
            <w:r>
              <w:rPr>
                <w:rFonts w:ascii="Arial" w:cs="Arial" w:eastAsia="Arial" w:hAnsi="Arial"/>
                <w:sz w:val="8"/>
                <w:szCs w:val="8"/>
                <w:b w:val="1"/>
                <w:bCs w:val="1"/>
                <w:i w:val="1"/>
                <w:iCs w:val="1"/>
                <w:color w:val="auto"/>
              </w:rPr>
              <w:t>Capital Expenditures (including acquisitions)</w:t>
            </w:r>
          </w:p>
        </w:tc>
        <w:tc>
          <w:tcPr>
            <w:tcW w:w="200" w:type="dxa"/>
            <w:vAlign w:val="bottom"/>
            <w:gridSpan w:val="2"/>
            <w:shd w:val="clear" w:color="auto" w:fill="CCEEFF"/>
          </w:tcPr>
          <w:p>
            <w:pPr>
              <w:jc w:val="right"/>
              <w:ind w:right="60"/>
              <w:spacing w:after="0" w:line="83" w:lineRule="exact"/>
              <w:rPr>
                <w:sz w:val="20"/>
                <w:szCs w:val="20"/>
                <w:color w:val="auto"/>
              </w:rPr>
            </w:pPr>
            <w:r>
              <w:rPr>
                <w:rFonts w:ascii="Arial" w:cs="Arial" w:eastAsia="Arial" w:hAnsi="Arial"/>
                <w:sz w:val="8"/>
                <w:szCs w:val="8"/>
                <w:color w:val="auto"/>
              </w:rPr>
              <w:t>$</w:t>
            </w:r>
          </w:p>
        </w:tc>
        <w:tc>
          <w:tcPr>
            <w:tcW w:w="10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6,191</w:t>
            </w: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9,780</w:t>
            </w: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jc w:val="right"/>
              <w:ind w:right="159"/>
              <w:spacing w:after="0" w:line="83" w:lineRule="exact"/>
              <w:rPr>
                <w:sz w:val="20"/>
                <w:szCs w:val="20"/>
                <w:color w:val="auto"/>
              </w:rPr>
            </w:pPr>
            <w:r>
              <w:rPr>
                <w:rFonts w:ascii="Arial" w:cs="Arial" w:eastAsia="Arial" w:hAnsi="Arial"/>
                <w:sz w:val="8"/>
                <w:szCs w:val="8"/>
                <w:color w:val="auto"/>
                <w:w w:val="88"/>
              </w:rPr>
              <w:t>$</w:t>
            </w:r>
          </w:p>
        </w:tc>
        <w:tc>
          <w:tcPr>
            <w:tcW w:w="82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14,428</w:t>
            </w: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611"/>
              <w:spacing w:after="0"/>
              <w:rPr>
                <w:sz w:val="20"/>
                <w:szCs w:val="20"/>
                <w:color w:val="auto"/>
              </w:rPr>
            </w:pPr>
            <w:r>
              <w:rPr>
                <w:rFonts w:ascii="Arial" w:cs="Arial" w:eastAsia="Arial" w:hAnsi="Arial"/>
                <w:sz w:val="5"/>
                <w:szCs w:val="5"/>
                <w:color w:val="auto"/>
                <w:w w:val="70"/>
              </w:rPr>
              <w:t>$</w:t>
            </w:r>
          </w:p>
        </w:tc>
        <w:tc>
          <w:tcPr>
            <w:tcW w:w="3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16,759</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jc w:val="right"/>
              <w:ind w:right="139"/>
              <w:spacing w:after="0" w:line="83" w:lineRule="exact"/>
              <w:rPr>
                <w:sz w:val="20"/>
                <w:szCs w:val="20"/>
                <w:color w:val="auto"/>
              </w:rPr>
            </w:pPr>
            <w:r>
              <w:rPr>
                <w:rFonts w:ascii="Arial" w:cs="Arial" w:eastAsia="Arial" w:hAnsi="Arial"/>
                <w:sz w:val="8"/>
                <w:szCs w:val="8"/>
                <w:color w:val="auto"/>
                <w:w w:val="88"/>
              </w:rPr>
              <w:t>$</w:t>
            </w:r>
          </w:p>
        </w:tc>
        <w:tc>
          <w:tcPr>
            <w:tcW w:w="7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47,722</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80"/>
        <w:spacing w:after="0"/>
        <w:tabs>
          <w:tab w:leader="none" w:pos="340" w:val="left"/>
        </w:tabs>
        <w:rPr>
          <w:sz w:val="20"/>
          <w:szCs w:val="20"/>
          <w:color w:val="auto"/>
        </w:rPr>
      </w:pPr>
      <w:r>
        <w:rPr>
          <w:rFonts w:ascii="Arial" w:cs="Arial" w:eastAsia="Arial" w:hAnsi="Arial"/>
          <w:sz w:val="8"/>
          <w:szCs w:val="8"/>
          <w:color w:val="auto"/>
        </w:rPr>
        <w:t>(1)</w:t>
        <w:tab/>
        <w:t>Our working capital is reported as a deficit, as we receive revenue from our cinema business ahead of the time that we have to pay our associated liabilities. We use the money we receive to pay down our borrowings in the first instance.</w:t>
      </w:r>
    </w:p>
    <w:p>
      <w:pPr>
        <w:spacing w:after="0" w:line="112" w:lineRule="exact"/>
        <w:rPr>
          <w:sz w:val="20"/>
          <w:szCs w:val="20"/>
          <w:color w:val="auto"/>
        </w:rPr>
      </w:pPr>
    </w:p>
    <w:p>
      <w:pPr>
        <w:jc w:val="both"/>
        <w:ind w:right="20"/>
        <w:spacing w:after="0" w:line="237" w:lineRule="auto"/>
        <w:rPr>
          <w:sz w:val="20"/>
          <w:szCs w:val="20"/>
          <w:color w:val="auto"/>
        </w:rPr>
      </w:pPr>
      <w:r>
        <w:rPr>
          <w:rFonts w:ascii="Arial" w:cs="Arial" w:eastAsia="Arial" w:hAnsi="Arial"/>
          <w:sz w:val="10"/>
          <w:szCs w:val="10"/>
          <w:color w:val="auto"/>
        </w:rPr>
        <w:t>As of September 30, 2023, we had $11.9 million in unrestricted cash and cash equivalents compared to $29.9 million on December 31, 2022. On September 30, 2023, our total outstanding borrowings were $208.6 million compared to $215.6 million on December 31, 2022.</w:t>
      </w:r>
    </w:p>
    <w:p>
      <w:pPr>
        <w:spacing w:after="0" w:line="118" w:lineRule="exact"/>
        <w:rPr>
          <w:sz w:val="20"/>
          <w:szCs w:val="20"/>
          <w:color w:val="auto"/>
        </w:rPr>
      </w:pPr>
    </w:p>
    <w:p>
      <w:pPr>
        <w:spacing w:after="0" w:line="231" w:lineRule="auto"/>
        <w:rPr>
          <w:sz w:val="20"/>
          <w:szCs w:val="20"/>
          <w:color w:val="auto"/>
        </w:rPr>
      </w:pPr>
      <w:r>
        <w:rPr>
          <w:rFonts w:ascii="Arial" w:cs="Arial" w:eastAsia="Arial" w:hAnsi="Arial"/>
          <w:sz w:val="10"/>
          <w:szCs w:val="10"/>
          <w:color w:val="auto"/>
        </w:rPr>
        <w:t>We manage our cash, investments, and capital structure to meet the short- term and long- term obligations of our business, while maintaining financial flexibility and liquidity. We forecast, analyze, and monitor our cash flows to enable investment and financing within the overall constraints of our financial strategy.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670" w:right="600" w:bottom="1440" w:gutter="0" w:footer="0" w:header="0"/>
        </w:sectPr>
      </w:pPr>
    </w:p>
    <w:bookmarkStart w:id="39" w:name="page40"/>
    <w:bookmarkEnd w:id="39"/>
    <w:p>
      <w:pPr>
        <w:spacing w:after="0"/>
        <w:rPr>
          <w:sz w:val="20"/>
          <w:szCs w:val="20"/>
          <w:color w:val="auto"/>
        </w:rPr>
      </w:pPr>
      <w:r>
        <w:rPr>
          <w:rFonts w:ascii="Arial" w:cs="Arial" w:eastAsia="Arial" w:hAnsi="Arial"/>
          <w:sz w:val="10"/>
          <w:szCs w:val="10"/>
          <w:b w:val="1"/>
          <w:bCs w:val="1"/>
          <w:color w:val="auto"/>
        </w:rPr>
        <w:t>CONTRACTUAL OBLIGATIONS, COMMITMENTS AND CONTINGENCIES</w:t>
      </w:r>
    </w:p>
    <w:p>
      <w:pPr>
        <w:spacing w:after="0" w:line="97"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provides information with respect to the maturities and scheduled principal repayments of our recorded contractual obligations and certain of our commitments and contingencies, either recorded or off-balance sheet, as of</w:t>
      </w:r>
    </w:p>
    <w:p>
      <w:pPr>
        <w:spacing w:after="0"/>
        <w:rPr>
          <w:sz w:val="20"/>
          <w:szCs w:val="20"/>
          <w:color w:val="auto"/>
        </w:rPr>
      </w:pPr>
      <w:r>
        <w:rPr>
          <w:rFonts w:ascii="Arial" w:cs="Arial" w:eastAsia="Arial" w:hAnsi="Arial"/>
          <w:sz w:val="10"/>
          <w:szCs w:val="10"/>
          <w:color w:val="auto"/>
        </w:rPr>
        <w:t>September 30,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00"/>
        </w:trPr>
        <w:tc>
          <w:tcPr>
            <w:tcW w:w="290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(Dollars in thousands)</w:t>
            </w: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79"/>
              <w:spacing w:after="0"/>
              <w:rPr>
                <w:sz w:val="20"/>
                <w:szCs w:val="20"/>
                <w:color w:val="auto"/>
              </w:rPr>
            </w:pPr>
            <w:r>
              <w:rPr>
                <w:rFonts w:ascii="Arial" w:cs="Arial" w:eastAsia="Arial" w:hAnsi="Arial"/>
                <w:sz w:val="8"/>
                <w:szCs w:val="8"/>
                <w:b w:val="1"/>
                <w:bCs w:val="1"/>
                <w:color w:val="auto"/>
              </w:rPr>
              <w:t>2023</w:t>
            </w: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8"/>
                <w:szCs w:val="8"/>
                <w:b w:val="1"/>
                <w:bCs w:val="1"/>
                <w:color w:val="auto"/>
              </w:rPr>
              <w:t>2024</w:t>
            </w: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8"/>
                <w:szCs w:val="8"/>
                <w:b w:val="1"/>
                <w:bCs w:val="1"/>
                <w:color w:val="auto"/>
              </w:rPr>
              <w:t>2025</w:t>
            </w:r>
          </w:p>
        </w:tc>
        <w:tc>
          <w:tcPr>
            <w:tcW w:w="8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8"/>
                <w:szCs w:val="8"/>
                <w:b w:val="1"/>
                <w:bCs w:val="1"/>
                <w:color w:val="auto"/>
              </w:rPr>
              <w:t>2026</w:t>
            </w: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8"/>
                <w:szCs w:val="8"/>
                <w:b w:val="1"/>
                <w:bCs w:val="1"/>
                <w:color w:val="auto"/>
              </w:rPr>
              <w:t>2027</w:t>
            </w: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8"/>
                <w:szCs w:val="8"/>
                <w:b w:val="1"/>
                <w:bCs w:val="1"/>
                <w:color w:val="auto"/>
              </w:rPr>
              <w:t>Thereafter</w:t>
            </w:r>
          </w:p>
        </w:tc>
        <w:tc>
          <w:tcPr>
            <w:tcW w:w="8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8"/>
                <w:szCs w:val="8"/>
                <w:b w:val="1"/>
                <w:bCs w:val="1"/>
                <w:color w:val="auto"/>
              </w:rPr>
              <w:t>Total</w:t>
            </w:r>
          </w:p>
        </w:tc>
      </w:tr>
      <w:tr>
        <w:trPr>
          <w:trHeight w:val="108"/>
        </w:trPr>
        <w:tc>
          <w:tcPr>
            <w:tcW w:w="3000" w:type="dxa"/>
            <w:vAlign w:val="bottom"/>
            <w:gridSpan w:val="2"/>
            <w:shd w:val="clear" w:color="auto" w:fill="CCEEFF"/>
          </w:tcPr>
          <w:p>
            <w:pPr>
              <w:spacing w:after="0" w:line="107" w:lineRule="exact"/>
              <w:rPr>
                <w:sz w:val="20"/>
                <w:szCs w:val="20"/>
                <w:color w:val="auto"/>
              </w:rPr>
            </w:pPr>
            <w:r>
              <w:rPr>
                <w:rFonts w:ascii="Arial" w:cs="Arial" w:eastAsia="Arial" w:hAnsi="Arial"/>
                <w:sz w:val="8"/>
                <w:szCs w:val="8"/>
                <w:color w:val="auto"/>
              </w:rPr>
              <w:t>Debt</w:t>
            </w:r>
            <w:r>
              <w:rPr>
                <w:rFonts w:ascii="Arial" w:cs="Arial" w:eastAsia="Arial" w:hAnsi="Arial"/>
                <w:sz w:val="12"/>
                <w:szCs w:val="12"/>
                <w:color w:val="auto"/>
                <w:vertAlign w:val="superscript"/>
              </w:rPr>
              <w:t>(1)</w:t>
            </w:r>
          </w:p>
        </w:tc>
        <w:tc>
          <w:tcPr>
            <w:tcW w:w="240" w:type="dxa"/>
            <w:vAlign w:val="bottom"/>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10,625</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jc w:val="right"/>
              <w:ind w:right="154"/>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96,651</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jc w:val="right"/>
              <w:ind w:right="154"/>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64,810</w:t>
            </w:r>
          </w:p>
        </w:tc>
        <w:tc>
          <w:tcPr>
            <w:tcW w:w="320" w:type="dxa"/>
            <w:vAlign w:val="bottom"/>
            <w:gridSpan w:val="2"/>
            <w:shd w:val="clear" w:color="auto" w:fill="CCEEFF"/>
          </w:tcPr>
          <w:p>
            <w:pPr>
              <w:jc w:val="right"/>
              <w:ind w:right="174"/>
              <w:spacing w:after="0"/>
              <w:rPr>
                <w:sz w:val="20"/>
                <w:szCs w:val="20"/>
                <w:color w:val="auto"/>
              </w:rPr>
            </w:pPr>
            <w:r>
              <w:rPr>
                <w:rFonts w:ascii="Arial" w:cs="Arial" w:eastAsia="Arial" w:hAnsi="Arial"/>
                <w:sz w:val="8"/>
                <w:szCs w:val="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314</w:t>
            </w:r>
          </w:p>
        </w:tc>
        <w:tc>
          <w:tcPr>
            <w:tcW w:w="220" w:type="dxa"/>
            <w:vAlign w:val="bottom"/>
            <w:shd w:val="clear" w:color="auto" w:fill="CCEEFF"/>
          </w:tcPr>
          <w:p>
            <w:pPr>
              <w:jc w:val="right"/>
              <w:ind w:right="154"/>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7,500</w:t>
            </w:r>
          </w:p>
        </w:tc>
        <w:tc>
          <w:tcPr>
            <w:tcW w:w="260" w:type="dxa"/>
            <w:vAlign w:val="bottom"/>
            <w:gridSpan w:val="2"/>
            <w:shd w:val="clear" w:color="auto" w:fill="CCEEFF"/>
          </w:tcPr>
          <w:p>
            <w:pPr>
              <w:jc w:val="right"/>
              <w:ind w:right="94"/>
              <w:spacing w:after="0"/>
              <w:rPr>
                <w:sz w:val="20"/>
                <w:szCs w:val="20"/>
                <w:color w:val="auto"/>
              </w:rPr>
            </w:pPr>
            <w:r>
              <w:rPr>
                <w:rFonts w:ascii="Arial" w:cs="Arial" w:eastAsia="Arial" w:hAnsi="Arial"/>
                <w:sz w:val="8"/>
                <w:szCs w:val="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w w:val="88"/>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179,900</w:t>
            </w:r>
          </w:p>
        </w:tc>
      </w:tr>
      <w:tr>
        <w:trPr>
          <w:trHeight w:val="83"/>
        </w:trPr>
        <w:tc>
          <w:tcPr>
            <w:tcW w:w="3000" w:type="dxa"/>
            <w:vAlign w:val="bottom"/>
            <w:gridSpan w:val="2"/>
          </w:tcPr>
          <w:p>
            <w:pPr>
              <w:spacing w:after="0" w:line="83" w:lineRule="exact"/>
              <w:rPr>
                <w:sz w:val="20"/>
                <w:szCs w:val="20"/>
                <w:color w:val="auto"/>
              </w:rPr>
            </w:pPr>
            <w:r>
              <w:rPr>
                <w:rFonts w:ascii="Arial" w:cs="Arial" w:eastAsia="Arial" w:hAnsi="Arial"/>
                <w:sz w:val="8"/>
                <w:szCs w:val="8"/>
                <w:color w:val="auto"/>
              </w:rPr>
              <w:t>Operating leases, including imputed interest</w:t>
            </w:r>
          </w:p>
        </w:tc>
        <w:tc>
          <w:tcPr>
            <w:tcW w:w="240" w:type="dxa"/>
            <w:vAlign w:val="bottom"/>
          </w:tcPr>
          <w:p>
            <w:pPr>
              <w:spacing w:after="0"/>
              <w:rPr>
                <w:sz w:val="7"/>
                <w:szCs w:val="7"/>
                <w:color w:val="auto"/>
              </w:rPr>
            </w:pPr>
          </w:p>
        </w:tc>
        <w:tc>
          <w:tcPr>
            <w:tcW w:w="780" w:type="dxa"/>
            <w:vAlign w:val="bottom"/>
          </w:tcPr>
          <w:p>
            <w:pPr>
              <w:jc w:val="right"/>
              <w:spacing w:after="0" w:line="83" w:lineRule="exact"/>
              <w:rPr>
                <w:sz w:val="20"/>
                <w:szCs w:val="20"/>
                <w:color w:val="auto"/>
              </w:rPr>
            </w:pPr>
            <w:r>
              <w:rPr>
                <w:rFonts w:ascii="Arial" w:cs="Arial" w:eastAsia="Arial" w:hAnsi="Arial"/>
                <w:sz w:val="8"/>
                <w:szCs w:val="8"/>
                <w:color w:val="auto"/>
              </w:rPr>
              <w:t>8,149</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31,198</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jc w:val="right"/>
              <w:spacing w:after="0" w:line="83" w:lineRule="exact"/>
              <w:rPr>
                <w:sz w:val="20"/>
                <w:szCs w:val="20"/>
                <w:color w:val="auto"/>
              </w:rPr>
            </w:pPr>
            <w:r>
              <w:rPr>
                <w:rFonts w:ascii="Arial" w:cs="Arial" w:eastAsia="Arial" w:hAnsi="Arial"/>
                <w:sz w:val="8"/>
                <w:szCs w:val="8"/>
                <w:color w:val="auto"/>
              </w:rPr>
              <w:t>29,159</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jc w:val="right"/>
              <w:spacing w:after="0" w:line="83" w:lineRule="exact"/>
              <w:rPr>
                <w:sz w:val="20"/>
                <w:szCs w:val="20"/>
                <w:color w:val="auto"/>
              </w:rPr>
            </w:pPr>
            <w:r>
              <w:rPr>
                <w:rFonts w:ascii="Arial" w:cs="Arial" w:eastAsia="Arial" w:hAnsi="Arial"/>
                <w:sz w:val="8"/>
                <w:szCs w:val="8"/>
                <w:color w:val="auto"/>
              </w:rPr>
              <w:t>27,283</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jc w:val="right"/>
              <w:spacing w:after="0" w:line="83" w:lineRule="exact"/>
              <w:rPr>
                <w:sz w:val="20"/>
                <w:szCs w:val="20"/>
                <w:color w:val="auto"/>
              </w:rPr>
            </w:pPr>
            <w:r>
              <w:rPr>
                <w:rFonts w:ascii="Arial" w:cs="Arial" w:eastAsia="Arial" w:hAnsi="Arial"/>
                <w:sz w:val="8"/>
                <w:szCs w:val="8"/>
                <w:color w:val="auto"/>
              </w:rPr>
              <w:t>24,977</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jc w:val="right"/>
              <w:spacing w:after="0" w:line="83" w:lineRule="exact"/>
              <w:rPr>
                <w:sz w:val="20"/>
                <w:szCs w:val="20"/>
                <w:color w:val="auto"/>
              </w:rPr>
            </w:pPr>
            <w:r>
              <w:rPr>
                <w:rFonts w:ascii="Arial" w:cs="Arial" w:eastAsia="Arial" w:hAnsi="Arial"/>
                <w:sz w:val="8"/>
                <w:szCs w:val="8"/>
                <w:color w:val="auto"/>
              </w:rPr>
              <w:t>139,619</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jc w:val="right"/>
              <w:spacing w:after="0" w:line="83" w:lineRule="exact"/>
              <w:rPr>
                <w:sz w:val="20"/>
                <w:szCs w:val="20"/>
                <w:color w:val="auto"/>
              </w:rPr>
            </w:pPr>
            <w:r>
              <w:rPr>
                <w:rFonts w:ascii="Arial" w:cs="Arial" w:eastAsia="Arial" w:hAnsi="Arial"/>
                <w:sz w:val="8"/>
                <w:szCs w:val="8"/>
                <w:color w:val="auto"/>
              </w:rPr>
              <w:t>260,385</w:t>
            </w:r>
          </w:p>
        </w:tc>
      </w:tr>
      <w:tr>
        <w:trPr>
          <w:trHeight w:val="83"/>
        </w:trPr>
        <w:tc>
          <w:tcPr>
            <w:tcW w:w="3000" w:type="dxa"/>
            <w:vAlign w:val="bottom"/>
            <w:gridSpan w:val="2"/>
            <w:shd w:val="clear" w:color="auto" w:fill="CCEEFF"/>
          </w:tcPr>
          <w:p>
            <w:pPr>
              <w:spacing w:after="0" w:line="83" w:lineRule="exact"/>
              <w:rPr>
                <w:sz w:val="20"/>
                <w:szCs w:val="20"/>
                <w:color w:val="auto"/>
              </w:rPr>
            </w:pPr>
            <w:r>
              <w:rPr>
                <w:rFonts w:ascii="Arial" w:cs="Arial" w:eastAsia="Arial" w:hAnsi="Arial"/>
                <w:sz w:val="8"/>
                <w:szCs w:val="8"/>
                <w:color w:val="auto"/>
              </w:rPr>
              <w:t>Finance leases, including imputed interest</w:t>
            </w:r>
          </w:p>
        </w:tc>
        <w:tc>
          <w:tcPr>
            <w:tcW w:w="24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3</w:t>
            </w:r>
          </w:p>
        </w:tc>
        <w:tc>
          <w:tcPr>
            <w:tcW w:w="22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7"/>
                <w:szCs w:val="7"/>
                <w:color w:val="auto"/>
              </w:rPr>
            </w:pPr>
          </w:p>
        </w:tc>
        <w:tc>
          <w:tcPr>
            <w:tcW w:w="76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3</w:t>
            </w:r>
          </w:p>
        </w:tc>
      </w:tr>
      <w:tr>
        <w:trPr>
          <w:trHeight w:val="113"/>
        </w:trPr>
        <w:tc>
          <w:tcPr>
            <w:tcW w:w="3000" w:type="dxa"/>
            <w:vAlign w:val="bottom"/>
            <w:gridSpan w:val="2"/>
          </w:tcPr>
          <w:p>
            <w:pPr>
              <w:spacing w:after="0" w:line="113" w:lineRule="exact"/>
              <w:rPr>
                <w:sz w:val="20"/>
                <w:szCs w:val="20"/>
                <w:color w:val="auto"/>
              </w:rPr>
            </w:pPr>
            <w:r>
              <w:rPr>
                <w:rFonts w:ascii="Arial" w:cs="Arial" w:eastAsia="Arial" w:hAnsi="Arial"/>
                <w:sz w:val="8"/>
                <w:szCs w:val="8"/>
                <w:color w:val="auto"/>
              </w:rPr>
              <w:t>Subordinated debt</w:t>
            </w:r>
            <w:r>
              <w:rPr>
                <w:rFonts w:ascii="Arial" w:cs="Arial" w:eastAsia="Arial" w:hAnsi="Arial"/>
                <w:sz w:val="13"/>
                <w:szCs w:val="13"/>
                <w:color w:val="auto"/>
                <w:vertAlign w:val="superscript"/>
              </w:rPr>
              <w:t>(1)</w:t>
            </w:r>
          </w:p>
        </w:tc>
        <w:tc>
          <w:tcPr>
            <w:tcW w:w="240" w:type="dxa"/>
            <w:vAlign w:val="bottom"/>
          </w:tcPr>
          <w:p>
            <w:pPr>
              <w:spacing w:after="0"/>
              <w:rPr>
                <w:sz w:val="9"/>
                <w:szCs w:val="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8"/>
                <w:szCs w:val="8"/>
                <w:color w:val="auto"/>
              </w:rPr>
              <w:t>190</w:t>
            </w:r>
          </w:p>
        </w:tc>
        <w:tc>
          <w:tcPr>
            <w:tcW w:w="220" w:type="dxa"/>
            <w:vAlign w:val="bottom"/>
          </w:tcPr>
          <w:p>
            <w:pPr>
              <w:spacing w:after="0"/>
              <w:rPr>
                <w:sz w:val="9"/>
                <w:szCs w:val="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8"/>
                <w:szCs w:val="8"/>
                <w:color w:val="auto"/>
              </w:rPr>
              <w:t>586</w:t>
            </w:r>
          </w:p>
        </w:tc>
        <w:tc>
          <w:tcPr>
            <w:tcW w:w="22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27,913</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28,689</w:t>
            </w:r>
          </w:p>
        </w:tc>
      </w:tr>
      <w:tr>
        <w:trPr>
          <w:trHeight w:val="83"/>
        </w:trPr>
        <w:tc>
          <w:tcPr>
            <w:tcW w:w="3000" w:type="dxa"/>
            <w:vAlign w:val="bottom"/>
            <w:gridSpan w:val="2"/>
            <w:shd w:val="clear" w:color="auto" w:fill="CCEEFF"/>
          </w:tcPr>
          <w:p>
            <w:pPr>
              <w:spacing w:after="0" w:line="83" w:lineRule="exact"/>
              <w:rPr>
                <w:sz w:val="20"/>
                <w:szCs w:val="20"/>
                <w:color w:val="auto"/>
              </w:rPr>
            </w:pPr>
            <w:r>
              <w:rPr>
                <w:rFonts w:ascii="Arial" w:cs="Arial" w:eastAsia="Arial" w:hAnsi="Arial"/>
                <w:sz w:val="8"/>
                <w:szCs w:val="8"/>
                <w:color w:val="auto"/>
              </w:rPr>
              <w:t>Pension liability</w:t>
            </w:r>
          </w:p>
        </w:tc>
        <w:tc>
          <w:tcPr>
            <w:tcW w:w="24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8"/>
                <w:szCs w:val="8"/>
                <w:color w:val="auto"/>
              </w:rPr>
              <w:t>171</w:t>
            </w:r>
          </w:p>
        </w:tc>
        <w:tc>
          <w:tcPr>
            <w:tcW w:w="22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684</w:t>
            </w: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684</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6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684</w:t>
            </w: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684</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80"/>
              <w:spacing w:after="0" w:line="83" w:lineRule="exact"/>
              <w:rPr>
                <w:sz w:val="20"/>
                <w:szCs w:val="20"/>
                <w:color w:val="auto"/>
              </w:rPr>
            </w:pPr>
            <w:r>
              <w:rPr>
                <w:rFonts w:ascii="Arial" w:cs="Arial" w:eastAsia="Arial" w:hAnsi="Arial"/>
                <w:sz w:val="8"/>
                <w:szCs w:val="8"/>
                <w:color w:val="auto"/>
              </w:rPr>
              <w:t>548</w:t>
            </w:r>
          </w:p>
        </w:tc>
        <w:tc>
          <w:tcPr>
            <w:tcW w:w="240" w:type="dxa"/>
            <w:vAlign w:val="bottom"/>
            <w:shd w:val="clear" w:color="auto" w:fill="CCEEFF"/>
          </w:tcPr>
          <w:p>
            <w:pPr>
              <w:spacing w:after="0"/>
              <w:rPr>
                <w:sz w:val="7"/>
                <w:szCs w:val="7"/>
                <w:color w:val="auto"/>
              </w:rPr>
            </w:pPr>
          </w:p>
        </w:tc>
        <w:tc>
          <w:tcPr>
            <w:tcW w:w="760" w:type="dxa"/>
            <w:vAlign w:val="bottom"/>
            <w:shd w:val="clear" w:color="auto" w:fill="CCEEFF"/>
          </w:tcPr>
          <w:p>
            <w:pPr>
              <w:jc w:val="right"/>
              <w:spacing w:after="0" w:line="83" w:lineRule="exact"/>
              <w:rPr>
                <w:sz w:val="20"/>
                <w:szCs w:val="20"/>
                <w:color w:val="auto"/>
              </w:rPr>
            </w:pPr>
            <w:r>
              <w:rPr>
                <w:rFonts w:ascii="Arial" w:cs="Arial" w:eastAsia="Arial" w:hAnsi="Arial"/>
                <w:sz w:val="8"/>
                <w:szCs w:val="8"/>
                <w:color w:val="auto"/>
              </w:rPr>
              <w:t>3,455</w:t>
            </w:r>
          </w:p>
        </w:tc>
      </w:tr>
      <w:tr>
        <w:trPr>
          <w:trHeight w:val="113"/>
        </w:trPr>
        <w:tc>
          <w:tcPr>
            <w:tcW w:w="3000" w:type="dxa"/>
            <w:vAlign w:val="bottom"/>
            <w:gridSpan w:val="2"/>
          </w:tcPr>
          <w:p>
            <w:pPr>
              <w:spacing w:after="0" w:line="113" w:lineRule="exact"/>
              <w:rPr>
                <w:sz w:val="20"/>
                <w:szCs w:val="20"/>
                <w:color w:val="auto"/>
              </w:rPr>
            </w:pPr>
            <w:r>
              <w:rPr>
                <w:rFonts w:ascii="Arial" w:cs="Arial" w:eastAsia="Arial" w:hAnsi="Arial"/>
                <w:sz w:val="8"/>
                <w:szCs w:val="8"/>
                <w:color w:val="auto"/>
              </w:rPr>
              <w:t xml:space="preserve">Estimated interest on debt </w:t>
            </w:r>
            <w:r>
              <w:rPr>
                <w:rFonts w:ascii="Arial" w:cs="Arial" w:eastAsia="Arial" w:hAnsi="Arial"/>
                <w:sz w:val="13"/>
                <w:szCs w:val="13"/>
                <w:color w:val="auto"/>
                <w:vertAlign w:val="superscript"/>
              </w:rPr>
              <w:t>(2)</w:t>
            </w:r>
          </w:p>
        </w:tc>
        <w:tc>
          <w:tcPr>
            <w:tcW w:w="2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4,539</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12,297</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5,640</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3,019</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1,362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26,856</w:t>
            </w:r>
          </w:p>
        </w:tc>
      </w:tr>
      <w:tr>
        <w:trPr>
          <w:trHeight w:val="113"/>
        </w:trPr>
        <w:tc>
          <w:tcPr>
            <w:tcW w:w="3000" w:type="dxa"/>
            <w:vAlign w:val="bottom"/>
            <w:gridSpan w:val="2"/>
            <w:shd w:val="clear" w:color="auto" w:fill="CCEEFF"/>
          </w:tcPr>
          <w:p>
            <w:pPr>
              <w:spacing w:after="0" w:line="113" w:lineRule="exact"/>
              <w:rPr>
                <w:sz w:val="20"/>
                <w:szCs w:val="20"/>
                <w:color w:val="auto"/>
              </w:rPr>
            </w:pPr>
            <w:r>
              <w:rPr>
                <w:rFonts w:ascii="Arial" w:cs="Arial" w:eastAsia="Arial" w:hAnsi="Arial"/>
                <w:sz w:val="8"/>
                <w:szCs w:val="8"/>
                <w:color w:val="auto"/>
              </w:rPr>
              <w:t>Village East purchase option</w:t>
            </w:r>
            <w:r>
              <w:rPr>
                <w:rFonts w:ascii="Arial" w:cs="Arial" w:eastAsia="Arial" w:hAnsi="Arial"/>
                <w:sz w:val="13"/>
                <w:szCs w:val="13"/>
                <w:color w:val="auto"/>
                <w:vertAlign w:val="superscript"/>
              </w:rPr>
              <w:t>(3)</w:t>
            </w:r>
          </w:p>
        </w:tc>
        <w:tc>
          <w:tcPr>
            <w:tcW w:w="24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5,900</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5,900</w:t>
            </w:r>
          </w:p>
        </w:tc>
      </w:tr>
      <w:tr>
        <w:trPr>
          <w:trHeight w:val="70"/>
        </w:trPr>
        <w:tc>
          <w:tcPr>
            <w:tcW w:w="3000" w:type="dxa"/>
            <w:vAlign w:val="bottom"/>
            <w:gridSpan w:val="2"/>
          </w:tcPr>
          <w:p>
            <w:pPr>
              <w:ind w:left="60"/>
              <w:spacing w:after="0" w:line="70" w:lineRule="exact"/>
              <w:rPr>
                <w:sz w:val="20"/>
                <w:szCs w:val="20"/>
                <w:color w:val="auto"/>
              </w:rPr>
            </w:pPr>
            <w:r>
              <w:rPr>
                <w:rFonts w:ascii="Arial" w:cs="Arial" w:eastAsia="Arial" w:hAnsi="Arial"/>
                <w:sz w:val="8"/>
                <w:szCs w:val="8"/>
                <w:color w:val="auto"/>
              </w:rPr>
              <w:t>Total</w:t>
            </w: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color w:val="auto"/>
              </w:rPr>
              <w:t>23,677</w:t>
            </w:r>
          </w:p>
        </w:tc>
        <w:tc>
          <w:tcPr>
            <w:tcW w:w="100" w:type="dxa"/>
            <w:vAlign w:val="bottom"/>
          </w:tcPr>
          <w:p>
            <w:pPr>
              <w:spacing w:after="0"/>
              <w:rPr>
                <w:sz w:val="6"/>
                <w:szCs w:val="6"/>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color w:val="auto"/>
              </w:rPr>
              <w:t>147,316</w:t>
            </w:r>
          </w:p>
        </w:tc>
        <w:tc>
          <w:tcPr>
            <w:tcW w:w="100" w:type="dxa"/>
            <w:vAlign w:val="bottom"/>
          </w:tcPr>
          <w:p>
            <w:pPr>
              <w:spacing w:after="0"/>
              <w:rPr>
                <w:sz w:val="6"/>
                <w:szCs w:val="6"/>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color w:val="auto"/>
              </w:rPr>
              <w:t>100,293</w:t>
            </w:r>
          </w:p>
        </w:tc>
        <w:tc>
          <w:tcPr>
            <w:tcW w:w="80" w:type="dxa"/>
            <w:vAlign w:val="bottom"/>
          </w:tcPr>
          <w:p>
            <w:pPr>
              <w:spacing w:after="0"/>
              <w:rPr>
                <w:sz w:val="6"/>
                <w:szCs w:val="6"/>
                <w:color w:val="auto"/>
              </w:rPr>
            </w:pP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color w:val="auto"/>
              </w:rPr>
              <w:t>31,300</w:t>
            </w:r>
          </w:p>
        </w:tc>
        <w:tc>
          <w:tcPr>
            <w:tcW w:w="100" w:type="dxa"/>
            <w:vAlign w:val="bottom"/>
          </w:tcPr>
          <w:p>
            <w:pPr>
              <w:spacing w:after="0"/>
              <w:rPr>
                <w:sz w:val="6"/>
                <w:szCs w:val="6"/>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color w:val="auto"/>
              </w:rPr>
              <w:t>62,436</w:t>
            </w:r>
          </w:p>
        </w:tc>
        <w:tc>
          <w:tcPr>
            <w:tcW w:w="100" w:type="dxa"/>
            <w:vAlign w:val="bottom"/>
          </w:tcPr>
          <w:p>
            <w:pPr>
              <w:spacing w:after="0"/>
              <w:rPr>
                <w:sz w:val="6"/>
                <w:szCs w:val="6"/>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color w:val="auto"/>
              </w:rPr>
              <w:t>140,167</w:t>
            </w:r>
          </w:p>
        </w:tc>
        <w:tc>
          <w:tcPr>
            <w:tcW w:w="80" w:type="dxa"/>
            <w:vAlign w:val="bottom"/>
          </w:tcPr>
          <w:p>
            <w:pPr>
              <w:spacing w:after="0"/>
              <w:rPr>
                <w:sz w:val="6"/>
                <w:szCs w:val="6"/>
                <w:color w:val="auto"/>
              </w:rPr>
            </w:pPr>
          </w:p>
        </w:tc>
        <w:tc>
          <w:tcPr>
            <w:tcW w:w="240" w:type="dxa"/>
            <w:vAlign w:val="bottom"/>
            <w:tcBorders>
              <w:top w:val="single" w:sz="8" w:color="auto"/>
              <w:bottom w:val="single" w:sz="8" w:color="auto"/>
            </w:tcBorders>
          </w:tcPr>
          <w:p>
            <w:pPr>
              <w:jc w:val="right"/>
              <w:ind w:right="139"/>
              <w:spacing w:after="0" w:line="70" w:lineRule="exact"/>
              <w:rPr>
                <w:sz w:val="20"/>
                <w:szCs w:val="20"/>
                <w:color w:val="auto"/>
              </w:rPr>
            </w:pPr>
            <w:r>
              <w:rPr>
                <w:rFonts w:ascii="Arial" w:cs="Arial" w:eastAsia="Arial" w:hAnsi="Arial"/>
                <w:sz w:val="8"/>
                <w:szCs w:val="8"/>
                <w:color w:val="auto"/>
                <w:w w:val="88"/>
              </w:rPr>
              <w:t>$</w:t>
            </w:r>
          </w:p>
        </w:tc>
        <w:tc>
          <w:tcPr>
            <w:tcW w:w="76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8"/>
                <w:szCs w:val="8"/>
                <w:color w:val="auto"/>
              </w:rPr>
              <w:t>505,188</w:t>
            </w:r>
          </w:p>
        </w:tc>
      </w:tr>
    </w:tbl>
    <w:p>
      <w:pPr>
        <w:spacing w:after="0" w:line="36" w:lineRule="exact"/>
        <w:rPr>
          <w:sz w:val="20"/>
          <w:szCs w:val="20"/>
          <w:color w:val="auto"/>
        </w:rPr>
      </w:pPr>
    </w:p>
    <w:p>
      <w:pPr>
        <w:ind w:left="360" w:hanging="190"/>
        <w:spacing w:after="0"/>
        <w:tabs>
          <w:tab w:leader="none" w:pos="360" w:val="left"/>
        </w:tabs>
        <w:numPr>
          <w:ilvl w:val="0"/>
          <w:numId w:val="8"/>
        </w:numPr>
        <w:rPr>
          <w:rFonts w:ascii="Arial" w:cs="Arial" w:eastAsia="Arial" w:hAnsi="Arial"/>
          <w:sz w:val="8"/>
          <w:szCs w:val="8"/>
          <w:color w:val="auto"/>
        </w:rPr>
      </w:pPr>
      <w:r>
        <w:rPr>
          <w:rFonts w:ascii="Arial" w:cs="Arial" w:eastAsia="Arial" w:hAnsi="Arial"/>
          <w:sz w:val="8"/>
          <w:szCs w:val="8"/>
          <w:color w:val="auto"/>
        </w:rPr>
        <w:t>Information is presented gross of deferred financing costs.</w:t>
      </w:r>
    </w:p>
    <w:p>
      <w:pPr>
        <w:ind w:left="360" w:hanging="190"/>
        <w:spacing w:after="0" w:line="215" w:lineRule="auto"/>
        <w:tabs>
          <w:tab w:leader="none" w:pos="360" w:val="left"/>
        </w:tabs>
        <w:numPr>
          <w:ilvl w:val="0"/>
          <w:numId w:val="8"/>
        </w:numPr>
        <w:rPr>
          <w:rFonts w:ascii="Arial" w:cs="Arial" w:eastAsia="Arial" w:hAnsi="Arial"/>
          <w:sz w:val="8"/>
          <w:szCs w:val="8"/>
          <w:color w:val="auto"/>
        </w:rPr>
      </w:pPr>
      <w:r>
        <w:rPr>
          <w:rFonts w:ascii="Arial" w:cs="Arial" w:eastAsia="Arial" w:hAnsi="Arial"/>
          <w:sz w:val="8"/>
          <w:szCs w:val="8"/>
          <w:color w:val="auto"/>
        </w:rPr>
        <w:t>Estimated interest on debt is based on the anticipated loan balances for future periods and current applicable interest rates.</w:t>
      </w:r>
    </w:p>
    <w:p>
      <w:pPr>
        <w:ind w:left="360" w:hanging="190"/>
        <w:spacing w:after="0"/>
        <w:tabs>
          <w:tab w:leader="none" w:pos="360" w:val="left"/>
        </w:tabs>
        <w:numPr>
          <w:ilvl w:val="0"/>
          <w:numId w:val="8"/>
        </w:numPr>
        <w:rPr>
          <w:rFonts w:ascii="Arial" w:cs="Arial" w:eastAsia="Arial" w:hAnsi="Arial"/>
          <w:sz w:val="8"/>
          <w:szCs w:val="8"/>
          <w:color w:val="auto"/>
        </w:rPr>
      </w:pPr>
      <w:r>
        <w:rPr>
          <w:rFonts w:ascii="Arial" w:cs="Arial" w:eastAsia="Arial" w:hAnsi="Arial"/>
          <w:sz w:val="8"/>
          <w:szCs w:val="8"/>
          <w:color w:val="auto"/>
        </w:rPr>
        <w:t>Represents the lease liability of the option associated with the ground lease purchase of the Village East Cinema, which on November 4, 2022, we modified to settle on or before July 1, 2024.</w:t>
      </w:r>
    </w:p>
    <w:p>
      <w:pPr>
        <w:spacing w:after="0" w:line="10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Litigation</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We are currently involved in certain legal proceedings and, as required, have accrued estimates of probable and estimable losses for the resolution of these claims.</w:t>
      </w:r>
    </w:p>
    <w:p>
      <w:pPr>
        <w:spacing w:after="0" w:line="91" w:lineRule="exact"/>
        <w:rPr>
          <w:sz w:val="20"/>
          <w:szCs w:val="20"/>
          <w:color w:val="auto"/>
        </w:rPr>
      </w:pPr>
    </w:p>
    <w:p>
      <w:pPr>
        <w:ind w:right="180"/>
        <w:spacing w:after="0" w:line="242" w:lineRule="auto"/>
        <w:rPr>
          <w:sz w:val="20"/>
          <w:szCs w:val="20"/>
          <w:color w:val="auto"/>
        </w:rPr>
      </w:pPr>
      <w:r>
        <w:rPr>
          <w:rFonts w:ascii="Arial" w:cs="Arial" w:eastAsia="Arial" w:hAnsi="Arial"/>
          <w:sz w:val="10"/>
          <w:szCs w:val="10"/>
          <w:color w:val="auto"/>
        </w:rPr>
        <w:t xml:space="preserve">Please refer to </w:t>
      </w:r>
      <w:r>
        <w:rPr>
          <w:rFonts w:ascii="Arial" w:cs="Arial" w:eastAsia="Arial" w:hAnsi="Arial"/>
          <w:sz w:val="10"/>
          <w:szCs w:val="10"/>
          <w:i w:val="1"/>
          <w:iCs w:val="1"/>
          <w:color w:val="auto"/>
        </w:rPr>
        <w:t>Part I, Item 3 – Legal Proceedings</w:t>
      </w:r>
      <w:r>
        <w:rPr>
          <w:rFonts w:ascii="Arial" w:cs="Arial" w:eastAsia="Arial" w:hAnsi="Arial"/>
          <w:sz w:val="10"/>
          <w:szCs w:val="10"/>
          <w:color w:val="auto"/>
        </w:rPr>
        <w:t xml:space="preserve"> in our 2022 Form 10 -K for more information. There have been no material changes to our litigation since our 2022 Form 10 -K, except as set forth in </w:t>
      </w:r>
      <w:r>
        <w:rPr>
          <w:rFonts w:ascii="Arial" w:cs="Arial" w:eastAsia="Arial" w:hAnsi="Arial"/>
          <w:sz w:val="10"/>
          <w:szCs w:val="10"/>
          <w:i w:val="1"/>
          <w:iCs w:val="1"/>
          <w:color w:val="auto"/>
        </w:rPr>
        <w:t>Notes to Consolidated Financial Statements--</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Note 15 – Commitments and Contingencies </w:t>
      </w:r>
      <w:r>
        <w:rPr>
          <w:rFonts w:ascii="Arial" w:cs="Arial" w:eastAsia="Arial" w:hAnsi="Arial"/>
          <w:sz w:val="10"/>
          <w:szCs w:val="10"/>
          <w:color w:val="auto"/>
        </w:rPr>
        <w:t>included herein in</w:t>
      </w:r>
      <w:r>
        <w:rPr>
          <w:rFonts w:ascii="Arial" w:cs="Arial" w:eastAsia="Arial" w:hAnsi="Arial"/>
          <w:sz w:val="10"/>
          <w:szCs w:val="10"/>
          <w:i w:val="1"/>
          <w:iCs w:val="1"/>
          <w:color w:val="auto"/>
        </w:rPr>
        <w:t xml:space="preserve"> Part I – Financial Information, Item 1 – Financial Statements </w:t>
      </w:r>
      <w:r>
        <w:rPr>
          <w:rFonts w:ascii="Arial" w:cs="Arial" w:eastAsia="Arial" w:hAnsi="Arial"/>
          <w:sz w:val="10"/>
          <w:szCs w:val="10"/>
          <w:color w:val="auto"/>
        </w:rPr>
        <w:t>on this Quarterly Report on Form 10-Q. This note sets out our litigation accounting policies.</w:t>
      </w:r>
    </w:p>
    <w:p>
      <w:pPr>
        <w:spacing w:after="0" w:line="8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Off-Balance Sheet Arrangements</w:t>
      </w:r>
    </w:p>
    <w:p>
      <w:pPr>
        <w:spacing w:after="0" w:line="101" w:lineRule="exact"/>
        <w:rPr>
          <w:sz w:val="20"/>
          <w:szCs w:val="20"/>
          <w:color w:val="auto"/>
        </w:rPr>
      </w:pPr>
    </w:p>
    <w:p>
      <w:pPr>
        <w:ind w:right="240"/>
        <w:spacing w:after="0" w:line="237" w:lineRule="auto"/>
        <w:rPr>
          <w:sz w:val="20"/>
          <w:szCs w:val="20"/>
          <w:color w:val="auto"/>
        </w:rPr>
      </w:pPr>
      <w:r>
        <w:rPr>
          <w:rFonts w:ascii="Arial" w:cs="Arial" w:eastAsia="Arial" w:hAnsi="Arial"/>
          <w:sz w:val="10"/>
          <w:szCs w:val="10"/>
          <w:color w:val="auto"/>
        </w:rPr>
        <w:t>There are no off- 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CRITICAL ACCOUNTING POLICIES</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We believe that the application of the following accounting policies requires significant judgments and estimates in the preparation of our Consolidated Financial Statements and hence, are critical to our business operations and the understanding of our financial results:</w:t>
      </w:r>
    </w:p>
    <w:p>
      <w:pPr>
        <w:spacing w:after="0" w:line="84" w:lineRule="exact"/>
        <w:rPr>
          <w:sz w:val="20"/>
          <w:szCs w:val="20"/>
          <w:color w:val="auto"/>
        </w:rPr>
      </w:pPr>
    </w:p>
    <w:p>
      <w:pPr>
        <w:ind w:left="360" w:right="40" w:hanging="10"/>
        <w:spacing w:after="0" w:line="230" w:lineRule="auto"/>
        <w:tabs>
          <w:tab w:leader="none" w:pos="474" w:val="left"/>
        </w:tabs>
        <w:numPr>
          <w:ilvl w:val="0"/>
          <w:numId w:val="9"/>
        </w:numPr>
        <w:rPr>
          <w:rFonts w:ascii="Arial" w:cs="Arial" w:eastAsia="Arial" w:hAnsi="Arial"/>
          <w:sz w:val="10"/>
          <w:szCs w:val="10"/>
          <w:i w:val="1"/>
          <w:iCs w:val="1"/>
          <w:color w:val="auto"/>
        </w:rPr>
      </w:pPr>
      <w:r>
        <w:rPr>
          <w:rFonts w:ascii="Arial" w:cs="Arial" w:eastAsia="Arial" w:hAnsi="Arial"/>
          <w:sz w:val="10"/>
          <w:szCs w:val="10"/>
          <w:i w:val="1"/>
          <w:iCs w:val="1"/>
          <w:color w:val="auto"/>
        </w:rPr>
        <w:t xml:space="preserve">Impairment of Long-lived Assets (other than Goodwill and Intangible Assets with indefinite lives) – </w:t>
      </w:r>
      <w:r>
        <w:rPr>
          <w:rFonts w:ascii="Arial" w:cs="Arial" w:eastAsia="Arial" w:hAnsi="Arial"/>
          <w:sz w:val="10"/>
          <w:szCs w:val="10"/>
          <w:color w:val="auto"/>
        </w:rPr>
        <w:t>we evaluate our long-lived assets and finite-lived intangible assets using historical and projected data of cash flows as our primary</w:t>
      </w:r>
      <w:r>
        <w:rPr>
          <w:rFonts w:ascii="Arial" w:cs="Arial" w:eastAsia="Arial" w:hAnsi="Arial"/>
          <w:sz w:val="10"/>
          <w:szCs w:val="10"/>
          <w:i w:val="1"/>
          <w:iCs w:val="1"/>
          <w:color w:val="auto"/>
        </w:rPr>
        <w:t xml:space="preserve"> </w:t>
      </w:r>
      <w:r>
        <w:rPr>
          <w:rFonts w:ascii="Arial" w:cs="Arial" w:eastAsia="Arial" w:hAnsi="Arial"/>
          <w:sz w:val="10"/>
          <w:szCs w:val="10"/>
          <w:color w:val="auto"/>
        </w:rPr>
        <w:t>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0"/>
          <w:szCs w:val="10"/>
          <w:color w:val="auto"/>
        </w:rPr>
        <w:t>No impairment losses were recorded for long-lived and finite-lived intangible assets for the third quarter and nine months ended September 30, 2023.</w:t>
      </w:r>
    </w:p>
    <w:p>
      <w:pPr>
        <w:spacing w:after="0" w:line="91" w:lineRule="exact"/>
        <w:rPr>
          <w:sz w:val="20"/>
          <w:szCs w:val="20"/>
          <w:color w:val="auto"/>
        </w:rPr>
      </w:pPr>
    </w:p>
    <w:p>
      <w:pPr>
        <w:ind w:left="360" w:right="40" w:hanging="10"/>
        <w:spacing w:after="0" w:line="230" w:lineRule="auto"/>
        <w:tabs>
          <w:tab w:leader="none" w:pos="495" w:val="left"/>
        </w:tabs>
        <w:numPr>
          <w:ilvl w:val="0"/>
          <w:numId w:val="10"/>
        </w:numPr>
        <w:rPr>
          <w:rFonts w:ascii="Arial" w:cs="Arial" w:eastAsia="Arial" w:hAnsi="Arial"/>
          <w:sz w:val="10"/>
          <w:szCs w:val="10"/>
          <w:i w:val="1"/>
          <w:iCs w:val="1"/>
          <w:color w:val="auto"/>
        </w:rPr>
      </w:pPr>
      <w:r>
        <w:rPr>
          <w:rFonts w:ascii="Arial" w:cs="Arial" w:eastAsia="Arial" w:hAnsi="Arial"/>
          <w:sz w:val="10"/>
          <w:szCs w:val="10"/>
          <w:i w:val="1"/>
          <w:iCs w:val="1"/>
          <w:color w:val="auto"/>
        </w:rPr>
        <w:t xml:space="preserve">Impairment of Goodwill and Intangible Assets with indefinite lives – </w:t>
      </w:r>
      <w:r>
        <w:rPr>
          <w:rFonts w:ascii="Arial" w:cs="Arial" w:eastAsia="Arial" w:hAnsi="Arial"/>
          <w:sz w:val="10"/>
          <w:szCs w:val="10"/>
          <w:color w:val="auto"/>
        </w:rPr>
        <w:t>goodwill and intangible assets with indefinite useful lives are not amortized, but instead, tested for impairment at least annually on a reporting unit basis. The</w:t>
      </w:r>
      <w:r>
        <w:rPr>
          <w:rFonts w:ascii="Arial" w:cs="Arial" w:eastAsia="Arial" w:hAnsi="Arial"/>
          <w:sz w:val="10"/>
          <w:szCs w:val="10"/>
          <w:i w:val="1"/>
          <w:iCs w:val="1"/>
          <w:color w:val="auto"/>
        </w:rPr>
        <w:t xml:space="preserve"> </w:t>
      </w:r>
      <w:r>
        <w:rPr>
          <w:rFonts w:ascii="Arial" w:cs="Arial" w:eastAsia="Arial" w:hAnsi="Arial"/>
          <w:sz w:val="10"/>
          <w:szCs w:val="10"/>
          <w:color w:val="auto"/>
        </w:rPr>
        <w:t>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0"/>
          <w:szCs w:val="10"/>
          <w:color w:val="auto"/>
        </w:rPr>
        <w:t>No impairment losses were recorded for goodwill and indefinite-lived intangible assets for the third quarter and nine months ended September 30, 2023.</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784" w:right="620" w:bottom="1440" w:gutter="0" w:footer="0" w:header="0"/>
        </w:sectPr>
      </w:pPr>
    </w:p>
    <w:bookmarkStart w:id="40" w:name="page41"/>
    <w:bookmarkEnd w:id="40"/>
    <w:p>
      <w:pPr>
        <w:spacing w:after="0"/>
        <w:rPr>
          <w:sz w:val="20"/>
          <w:szCs w:val="20"/>
          <w:color w:val="auto"/>
        </w:rPr>
      </w:pPr>
      <w:r>
        <w:rPr>
          <w:rFonts w:ascii="Arial" w:cs="Arial" w:eastAsia="Arial" w:hAnsi="Arial"/>
          <w:sz w:val="10"/>
          <w:szCs w:val="10"/>
          <w:b w:val="1"/>
          <w:bCs w:val="1"/>
          <w:color w:val="auto"/>
        </w:rPr>
        <w:t>CAUTIONARY STATEMENT REGARDING FORWARD-LOOKING STATEMENTS</w:t>
      </w:r>
    </w:p>
    <w:p>
      <w:pPr>
        <w:spacing w:after="0" w:line="101" w:lineRule="exact"/>
        <w:rPr>
          <w:sz w:val="20"/>
          <w:szCs w:val="20"/>
          <w:color w:val="auto"/>
        </w:rPr>
      </w:pPr>
    </w:p>
    <w:p>
      <w:pPr>
        <w:ind w:right="20"/>
        <w:spacing w:after="0" w:line="223" w:lineRule="auto"/>
        <w:rPr>
          <w:sz w:val="20"/>
          <w:szCs w:val="20"/>
          <w:color w:val="auto"/>
        </w:rPr>
      </w:pPr>
      <w:r>
        <w:rPr>
          <w:rFonts w:ascii="Arial" w:cs="Arial" w:eastAsia="Arial" w:hAnsi="Arial"/>
          <w:sz w:val="10"/>
          <w:szCs w:val="10"/>
          <w:color w:val="auto"/>
        </w:rPr>
        <w:t>Our statements in this quarterly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statements we make regarding the closures and reopening of our cinemas and theatres, including our expectations regarding renovations and addition of cinemas; our expectations regarding the long-term impacts of the COVID-19 pandemic on customers’ desires for social interaction our expected operating results, including the long- term impact of the COVID-19 pandemic and our ultimate return to pre- pandemic type results; our expectations regarding the recovery and future of the cinema exhibition industry, including the strength of movies anticipated for release in the future; our expectations regarding the effects of the Hollywood Strikes on the cinema industry and the recovery of the industry during the coming years; our expectations regarding the timing of completing the sale of certain assets; our expectations regarding people returning to our theatres and continuing to use discretionary funds on entertainment outside of the home; our expectations regarding our ability to extend the contract with Audible on terms acceptable to us; our expectations regarding the impact of streaming and mobile video services on the cinema exhibition industry; our belief regarding the attractiveness of 44 Union Square to potential tenants and ability to lease space on acceptable terms; our expectations regarding the effects of our enhanced F&amp;B offerings on our operating results; our expectations regarding credit facility covenant compliance and our ability to continue to obtain necessary covenant waivers and loan extensions on terms acceptable to us; and our expectations of our liquidity and capital requirements and the allocation of funds.</w:t>
      </w:r>
    </w:p>
    <w:p>
      <w:pPr>
        <w:spacing w:after="0" w:line="88" w:lineRule="exact"/>
        <w:rPr>
          <w:sz w:val="20"/>
          <w:szCs w:val="20"/>
          <w:color w:val="auto"/>
        </w:rPr>
      </w:pPr>
    </w:p>
    <w:p>
      <w:pPr>
        <w:ind w:right="60"/>
        <w:spacing w:after="0" w:line="228" w:lineRule="auto"/>
        <w:rPr>
          <w:sz w:val="20"/>
          <w:szCs w:val="20"/>
          <w:color w:val="auto"/>
        </w:rPr>
      </w:pPr>
      <w:r>
        <w:rPr>
          <w:rFonts w:ascii="Arial" w:cs="Arial" w:eastAsia="Arial" w:hAnsi="Arial"/>
          <w:sz w:val="10"/>
          <w:szCs w:val="10"/>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0"/>
          <w:szCs w:val="10"/>
          <w:color w:val="auto"/>
        </w:rPr>
        <w:t>with respect to our cinema and live theatre operations:</w:t>
      </w:r>
    </w:p>
    <w:p>
      <w:pPr>
        <w:ind w:left="540"/>
        <w:spacing w:after="0"/>
        <w:rPr>
          <w:sz w:val="20"/>
          <w:szCs w:val="20"/>
          <w:color w:val="auto"/>
        </w:rPr>
      </w:pPr>
      <w:r>
        <w:rPr>
          <w:rFonts w:ascii="Arial" w:cs="Arial" w:eastAsia="Arial" w:hAnsi="Arial"/>
          <w:sz w:val="10"/>
          <w:szCs w:val="10"/>
          <w:color w:val="auto"/>
        </w:rPr>
        <w:t>reduced consumer demand due to recessionary pressures;</w:t>
      </w:r>
    </w:p>
    <w:p>
      <w:pPr>
        <w:spacing w:after="0" w:line="1" w:lineRule="exact"/>
        <w:rPr>
          <w:sz w:val="20"/>
          <w:szCs w:val="20"/>
          <w:color w:val="auto"/>
        </w:rPr>
      </w:pPr>
    </w:p>
    <w:p>
      <w:pPr>
        <w:ind w:left="540" w:right="260"/>
        <w:spacing w:after="0" w:line="238" w:lineRule="auto"/>
        <w:rPr>
          <w:sz w:val="20"/>
          <w:szCs w:val="20"/>
          <w:color w:val="auto"/>
        </w:rPr>
      </w:pPr>
      <w:r>
        <w:rPr>
          <w:rFonts w:ascii="Arial" w:cs="Arial" w:eastAsia="Arial" w:hAnsi="Arial"/>
          <w:sz w:val="10"/>
          <w:szCs w:val="10"/>
          <w:color w:val="auto"/>
        </w:rPr>
        <w:t>the adverse continuing impact of the COVID-19 pandemic, and other contagious diseases and the adverse effects on our anticipated cinema operations should there be further closings or restrictions mandated as a result of other pandemics or diseases;</w:t>
      </w:r>
    </w:p>
    <w:p>
      <w:pPr>
        <w:spacing w:after="0" w:line="1" w:lineRule="exact"/>
        <w:rPr>
          <w:sz w:val="20"/>
          <w:szCs w:val="20"/>
          <w:color w:val="auto"/>
        </w:rPr>
      </w:pPr>
    </w:p>
    <w:p>
      <w:pPr>
        <w:ind w:left="540" w:right="1260"/>
        <w:spacing w:after="0" w:line="248" w:lineRule="auto"/>
        <w:rPr>
          <w:sz w:val="20"/>
          <w:szCs w:val="20"/>
          <w:color w:val="auto"/>
        </w:rPr>
      </w:pPr>
      <w:r>
        <w:rPr>
          <w:rFonts w:ascii="Arial" w:cs="Arial" w:eastAsia="Arial" w:hAnsi="Arial"/>
          <w:sz w:val="10"/>
          <w:szCs w:val="10"/>
          <w:color w:val="auto"/>
        </w:rPr>
        <w:t>the adverse continuing effects of the COVID-19 pandemic or other contagious diseases on our Company’s results from operations, liquidity, cash flows, financial condition, and access to credit markets; the adverse continuing impact of the COVID-19 pandemic or other contagious diseases on short-term and/or long-term entertainment, leisure and discretionary spending habits and practices of our patrons; the decrease in attendance at our cinemas and theatres due to a change in consumer behavior in favor of alternative forms or mediums of entertainment; reduction in operating margins (or negative operating margins) due to the implementation of health and safety protocols;</w:t>
      </w:r>
    </w:p>
    <w:p>
      <w:pPr>
        <w:spacing w:after="0" w:line="1" w:lineRule="exact"/>
        <w:rPr>
          <w:sz w:val="20"/>
          <w:szCs w:val="20"/>
          <w:color w:val="auto"/>
        </w:rPr>
      </w:pPr>
    </w:p>
    <w:p>
      <w:pPr>
        <w:ind w:left="540" w:right="1460"/>
        <w:spacing w:after="0" w:line="250" w:lineRule="auto"/>
        <w:rPr>
          <w:sz w:val="20"/>
          <w:szCs w:val="20"/>
          <w:color w:val="auto"/>
        </w:rPr>
      </w:pPr>
      <w:r>
        <w:rPr>
          <w:rFonts w:ascii="Arial" w:cs="Arial" w:eastAsia="Arial" w:hAnsi="Arial"/>
          <w:sz w:val="10"/>
          <w:szCs w:val="10"/>
          <w:color w:val="auto"/>
        </w:rPr>
        <w:t>potentially uninsurable liability exposure to customers and staff should they become (or allege that they have become) infected with COVID-19 or other contagious diseases while at one of our facilities; unwillingness of employees to report to work due to the adverse effects of contagious diseases or to otherwise conduct work under any revised work environment protocols; competition from cinema operators who have successfully used debtor laws or government grants to reduce their debt and/or rent exposure;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9"/>
          <w:szCs w:val="9"/>
          <w:color w:val="auto"/>
        </w:rPr>
        <w:t>the disruptions or reductions in the utilization of entertainment, shopping, and hospitality venues, as well as in our operations, due to pandemics, epidemics, widespread health emergencies, or outbreaks of infectious diseases or to</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0"/>
          <w:szCs w:val="10"/>
          <w:color w:val="auto"/>
        </w:rPr>
        <w:t>changing consumer tastes and habits;</w:t>
      </w:r>
    </w:p>
    <w:p>
      <w:pPr>
        <w:ind w:left="540"/>
        <w:spacing w:after="0"/>
        <w:rPr>
          <w:sz w:val="20"/>
          <w:szCs w:val="20"/>
          <w:color w:val="auto"/>
        </w:rPr>
      </w:pPr>
      <w:r>
        <w:rPr>
          <w:rFonts w:ascii="Arial" w:cs="Arial" w:eastAsia="Arial" w:hAnsi="Arial"/>
          <w:sz w:val="10"/>
          <w:szCs w:val="10"/>
          <w:color w:val="auto"/>
        </w:rPr>
        <w:t>the number and attractiveness to moviegoers of the films released in future periods, and potential changes in release dates for motion pictures;</w:t>
      </w:r>
    </w:p>
    <w:p>
      <w:pPr>
        <w:spacing w:after="0" w:line="1" w:lineRule="exact"/>
        <w:rPr>
          <w:sz w:val="20"/>
          <w:szCs w:val="20"/>
          <w:color w:val="auto"/>
        </w:rPr>
      </w:pPr>
    </w:p>
    <w:p>
      <w:pPr>
        <w:ind w:left="540" w:right="2380"/>
        <w:spacing w:after="0" w:line="250" w:lineRule="auto"/>
        <w:rPr>
          <w:sz w:val="20"/>
          <w:szCs w:val="20"/>
          <w:color w:val="auto"/>
        </w:rPr>
      </w:pPr>
      <w:r>
        <w:rPr>
          <w:rFonts w:ascii="Arial" w:cs="Arial" w:eastAsia="Arial" w:hAnsi="Arial"/>
          <w:sz w:val="10"/>
          <w:szCs w:val="10"/>
          <w:color w:val="auto"/>
        </w:rPr>
        <w:t>the lack of availability of films in the short- or long-term as a result of (i) major film distributors releasing scheduled films on alternative channels or (ii) disruptions of film production; the amount of money spent by film distributors to promote their motion pictures;</w:t>
      </w:r>
    </w:p>
    <w:p>
      <w:pPr>
        <w:ind w:left="540"/>
        <w:spacing w:after="0"/>
        <w:rPr>
          <w:sz w:val="20"/>
          <w:szCs w:val="20"/>
          <w:color w:val="auto"/>
        </w:rPr>
      </w:pPr>
      <w:r>
        <w:rPr>
          <w:rFonts w:ascii="Arial" w:cs="Arial" w:eastAsia="Arial" w:hAnsi="Arial"/>
          <w:sz w:val="10"/>
          <w:szCs w:val="10"/>
          <w:color w:val="auto"/>
        </w:rPr>
        <w:t>the licensing fees and terms required by film distributors from motion picture exhibitors in order to exhibit their films;</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9"/>
          <w:szCs w:val="9"/>
          <w:color w:val="auto"/>
        </w:rPr>
        <w:t>the comparative attractiveness of motion pictures as a source of entertainment and willingness and/or ability of consumers (i) to spend their dollars on entertainment and (ii) to spend their entertainment dollars on movies in an outside-</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0"/>
          <w:szCs w:val="10"/>
          <w:color w:val="auto"/>
        </w:rPr>
        <w:t>the-home environment;</w:t>
      </w:r>
    </w:p>
    <w:p>
      <w:pPr>
        <w:ind w:left="540"/>
        <w:spacing w:after="0" w:line="253" w:lineRule="auto"/>
        <w:rPr>
          <w:sz w:val="20"/>
          <w:szCs w:val="20"/>
          <w:color w:val="auto"/>
        </w:rPr>
      </w:pPr>
      <w:r>
        <w:rPr>
          <w:rFonts w:ascii="Arial" w:cs="Arial" w:eastAsia="Arial" w:hAnsi="Arial"/>
          <w:sz w:val="10"/>
          <w:szCs w:val="10"/>
          <w:color w:val="auto"/>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video on demand platforms, and Blu-ray/DVD rentals and sales;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559" w:right="660" w:bottom="1440" w:gutter="0" w:footer="0" w:header="0"/>
        </w:sectPr>
      </w:pPr>
    </w:p>
    <w:bookmarkStart w:id="41" w:name="page42"/>
    <w:bookmarkEnd w:id="41"/>
    <w:p>
      <w:pPr>
        <w:ind w:left="180" w:right="4460"/>
        <w:spacing w:after="0" w:line="252" w:lineRule="auto"/>
        <w:rPr>
          <w:sz w:val="20"/>
          <w:szCs w:val="20"/>
          <w:color w:val="auto"/>
        </w:rPr>
      </w:pPr>
      <w:r>
        <w:rPr>
          <w:rFonts w:ascii="Arial" w:cs="Arial" w:eastAsia="Arial" w:hAnsi="Arial"/>
          <w:sz w:val="10"/>
          <w:szCs w:val="10"/>
          <w:color w:val="auto"/>
        </w:rPr>
        <w:t>our ability to continue to obtain, to the extent needed, waivers or other financial accommodations from our lenders and landlords; the impact of major movies being released directly to one of the multitudes of streaming services available; the impact of certain competitors’ subscription or advance pay programs;</w:t>
      </w:r>
    </w:p>
    <w:p>
      <w:pPr>
        <w:ind w:left="180"/>
        <w:spacing w:after="0"/>
        <w:rPr>
          <w:sz w:val="20"/>
          <w:szCs w:val="20"/>
          <w:color w:val="auto"/>
        </w:rPr>
      </w:pPr>
      <w:r>
        <w:rPr>
          <w:rFonts w:ascii="Arial" w:cs="Arial" w:eastAsia="Arial" w:hAnsi="Arial"/>
          <w:sz w:val="10"/>
          <w:szCs w:val="10"/>
          <w:color w:val="auto"/>
        </w:rPr>
        <w:t>the cost and impact of improvements to our cinemas, such as improved seating, enhanced F&amp;B offerings, and other improvements;</w:t>
      </w:r>
    </w:p>
    <w:p>
      <w:pPr>
        <w:spacing w:after="0" w:line="5" w:lineRule="exact"/>
        <w:rPr>
          <w:sz w:val="20"/>
          <w:szCs w:val="20"/>
          <w:color w:val="auto"/>
        </w:rPr>
      </w:pPr>
    </w:p>
    <w:p>
      <w:pPr>
        <w:ind w:left="180" w:right="1760"/>
        <w:spacing w:after="0" w:line="250" w:lineRule="auto"/>
        <w:rPr>
          <w:sz w:val="20"/>
          <w:szCs w:val="20"/>
          <w:color w:val="auto"/>
        </w:rPr>
      </w:pPr>
      <w:r>
        <w:rPr>
          <w:rFonts w:ascii="Arial" w:cs="Arial" w:eastAsia="Arial" w:hAnsi="Arial"/>
          <w:sz w:val="10"/>
          <w:szCs w:val="10"/>
          <w:color w:val="auto"/>
        </w:rPr>
        <w:t>the ability to negotiate favorable rent abatement, deferral and repayment terms with our landlords (which may include lenders who have foreclosed on the collateral held by our prior landlords); disruptions during cinema improvements;</w:t>
      </w:r>
    </w:p>
    <w:p>
      <w:pPr>
        <w:ind w:left="180"/>
        <w:spacing w:after="0"/>
        <w:rPr>
          <w:sz w:val="20"/>
          <w:szCs w:val="20"/>
          <w:color w:val="auto"/>
        </w:rPr>
      </w:pPr>
      <w:r>
        <w:rPr>
          <w:rFonts w:ascii="Arial" w:cs="Arial" w:eastAsia="Arial" w:hAnsi="Arial"/>
          <w:sz w:val="10"/>
          <w:szCs w:val="10"/>
          <w:color w:val="auto"/>
        </w:rPr>
        <w:t>in the U.S., the impact of the termination and phase-out of the so called “Paramount Decree;”</w:t>
      </w:r>
    </w:p>
    <w:p>
      <w:pPr>
        <w:spacing w:after="0" w:line="5" w:lineRule="exact"/>
        <w:rPr>
          <w:sz w:val="20"/>
          <w:szCs w:val="20"/>
          <w:color w:val="auto"/>
        </w:rPr>
      </w:pPr>
    </w:p>
    <w:p>
      <w:pPr>
        <w:ind w:left="180" w:right="3920"/>
        <w:spacing w:after="0" w:line="278" w:lineRule="auto"/>
        <w:rPr>
          <w:sz w:val="20"/>
          <w:szCs w:val="20"/>
          <w:color w:val="auto"/>
        </w:rPr>
      </w:pPr>
      <w:r>
        <w:rPr>
          <w:rFonts w:ascii="Arial" w:cs="Arial" w:eastAsia="Arial" w:hAnsi="Arial"/>
          <w:sz w:val="9"/>
          <w:szCs w:val="9"/>
          <w:color w:val="auto"/>
        </w:rPr>
        <w:t>the risk of damage and/or disruption of cinema businesses from earthquakes as certain of our operations are in geologically active areas; the impact of protests, demonstrations, and civil unrest on, among other things, government policy, consumer willingness to go to the movies;</w:t>
      </w:r>
    </w:p>
    <w:p>
      <w:pPr>
        <w:ind w:left="180"/>
        <w:spacing w:after="0"/>
        <w:rPr>
          <w:sz w:val="20"/>
          <w:szCs w:val="20"/>
          <w:color w:val="auto"/>
        </w:rPr>
      </w:pPr>
      <w:r>
        <w:rPr>
          <w:rFonts w:ascii="Arial" w:cs="Arial" w:eastAsia="Arial" w:hAnsi="Arial"/>
          <w:sz w:val="9"/>
          <w:szCs w:val="9"/>
          <w:color w:val="auto"/>
        </w:rPr>
        <w:t>labor shortages and increased labor costs related to such shortages and to increasingly costly labor laws and regulations applicable to part time non-exempt workers. Disruptions in film supply and film marketing due to the Hollywood</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0"/>
          <w:szCs w:val="10"/>
          <w:color w:val="auto"/>
        </w:rPr>
        <w:t>Strikes; and</w:t>
      </w:r>
    </w:p>
    <w:p>
      <w:pPr>
        <w:ind w:left="180"/>
        <w:spacing w:after="0"/>
        <w:rPr>
          <w:sz w:val="20"/>
          <w:szCs w:val="20"/>
          <w:color w:val="auto"/>
        </w:rPr>
      </w:pPr>
      <w:r>
        <w:rPr>
          <w:rFonts w:ascii="Arial" w:cs="Arial" w:eastAsia="Arial" w:hAnsi="Arial"/>
          <w:sz w:val="10"/>
          <w:szCs w:val="10"/>
          <w:color w:val="auto"/>
        </w:rPr>
        <w:t>competition from a newly restructured Regal, which may have lower occupancy costs than we do.</w:t>
      </w:r>
    </w:p>
    <w:p>
      <w:pPr>
        <w:spacing w:after="0" w:line="229" w:lineRule="auto"/>
        <w:rPr>
          <w:sz w:val="20"/>
          <w:szCs w:val="20"/>
          <w:color w:val="auto"/>
        </w:rPr>
      </w:pPr>
      <w:r>
        <w:rPr>
          <w:rFonts w:ascii="Arial" w:cs="Arial" w:eastAsia="Arial" w:hAnsi="Arial"/>
          <w:sz w:val="10"/>
          <w:szCs w:val="10"/>
          <w:color w:val="auto"/>
        </w:rPr>
        <w:t>with respect to our real estate development and operation activities:</w:t>
      </w:r>
    </w:p>
    <w:p>
      <w:pPr>
        <w:ind w:left="180"/>
        <w:spacing w:after="0"/>
        <w:rPr>
          <w:sz w:val="20"/>
          <w:szCs w:val="20"/>
          <w:color w:val="auto"/>
        </w:rPr>
      </w:pPr>
      <w:r>
        <w:rPr>
          <w:rFonts w:ascii="Arial" w:cs="Arial" w:eastAsia="Arial" w:hAnsi="Arial"/>
          <w:sz w:val="10"/>
          <w:szCs w:val="10"/>
          <w:color w:val="auto"/>
        </w:rPr>
        <w:t>the increased costs of wages, supplies, services and other development expenses from inflation;</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0"/>
          <w:szCs w:val="10"/>
          <w:color w:val="auto"/>
        </w:rPr>
        <w:t>the impact on tenants from recessionary pressures;</w:t>
      </w:r>
    </w:p>
    <w:p>
      <w:pPr>
        <w:spacing w:after="0" w:line="5" w:lineRule="exact"/>
        <w:rPr>
          <w:sz w:val="20"/>
          <w:szCs w:val="20"/>
          <w:color w:val="auto"/>
        </w:rPr>
      </w:pPr>
    </w:p>
    <w:p>
      <w:pPr>
        <w:ind w:left="180" w:right="200"/>
        <w:spacing w:after="0" w:line="238" w:lineRule="auto"/>
        <w:rPr>
          <w:sz w:val="20"/>
          <w:szCs w:val="20"/>
          <w:color w:val="auto"/>
        </w:rPr>
      </w:pPr>
      <w:r>
        <w:rPr>
          <w:rFonts w:ascii="Arial" w:cs="Arial" w:eastAsia="Arial" w:hAnsi="Arial"/>
          <w:sz w:val="10"/>
          <w:szCs w:val="10"/>
          <w:color w:val="auto"/>
        </w:rPr>
        <w:t>the impact of the COVID-19 pandemic or other contagious diseases may continue to affect many of our tenants at our real estate operations in the United States, Australia, and New Zealand, their ability to pay rent, and to stay in business;</w:t>
      </w:r>
    </w:p>
    <w:p>
      <w:pPr>
        <w:spacing w:after="0" w:line="1" w:lineRule="exact"/>
        <w:rPr>
          <w:sz w:val="20"/>
          <w:szCs w:val="20"/>
          <w:color w:val="auto"/>
        </w:rPr>
      </w:pPr>
    </w:p>
    <w:p>
      <w:pPr>
        <w:ind w:left="180" w:right="4120"/>
        <w:spacing w:after="0" w:line="246" w:lineRule="auto"/>
        <w:rPr>
          <w:sz w:val="20"/>
          <w:szCs w:val="20"/>
          <w:color w:val="auto"/>
        </w:rPr>
      </w:pPr>
      <w:r>
        <w:rPr>
          <w:rFonts w:ascii="Arial" w:cs="Arial" w:eastAsia="Arial" w:hAnsi="Arial"/>
          <w:sz w:val="10"/>
          <w:szCs w:val="10"/>
          <w:color w:val="auto"/>
        </w:rPr>
        <w:t>the impact of the COVID-19 pandemic or other contagious diseases on real estate valuations in major urban centers, such as New York; uncertainty as to governmental responses to COVID-19 or other contagious diseases;</w:t>
      </w:r>
    </w:p>
    <w:p>
      <w:pPr>
        <w:ind w:left="180" w:right="4520"/>
        <w:spacing w:after="0" w:line="250" w:lineRule="auto"/>
        <w:rPr>
          <w:sz w:val="20"/>
          <w:szCs w:val="20"/>
          <w:color w:val="auto"/>
        </w:rPr>
      </w:pPr>
      <w:r>
        <w:rPr>
          <w:rFonts w:ascii="Arial" w:cs="Arial" w:eastAsia="Arial" w:hAnsi="Arial"/>
          <w:sz w:val="10"/>
          <w:szCs w:val="10"/>
          <w:color w:val="auto"/>
        </w:rPr>
        <w:t>the rental rates and capitalization rates applicable to the markets in which we operate and the quality of properties that we own; the ability to negotiate and execute lease agreements with material tenants;</w:t>
      </w:r>
    </w:p>
    <w:p>
      <w:pPr>
        <w:ind w:left="180" w:right="4220"/>
        <w:spacing w:after="0" w:line="260" w:lineRule="auto"/>
        <w:rPr>
          <w:sz w:val="20"/>
          <w:szCs w:val="20"/>
          <w:color w:val="auto"/>
        </w:rPr>
      </w:pPr>
      <w:r>
        <w:rPr>
          <w:rFonts w:ascii="Arial" w:cs="Arial" w:eastAsia="Arial" w:hAnsi="Arial"/>
          <w:sz w:val="10"/>
          <w:szCs w:val="10"/>
          <w:color w:val="auto"/>
        </w:rPr>
        <w:t>the extent to which we can obtain on a timely basis the various land use approvals and entitlements needed to develop our properties; the risks and uncertainties associated with real estate development; the availability and cost of labor and materials;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0"/>
          <w:szCs w:val="10"/>
          <w:color w:val="auto"/>
        </w:rPr>
        <w:t>the ability to obtain all permits to construct improvements;</w:t>
      </w:r>
    </w:p>
    <w:p>
      <w:pPr>
        <w:spacing w:after="0" w:line="5" w:lineRule="exact"/>
        <w:rPr>
          <w:sz w:val="20"/>
          <w:szCs w:val="20"/>
          <w:color w:val="auto"/>
        </w:rPr>
      </w:pPr>
    </w:p>
    <w:p>
      <w:pPr>
        <w:ind w:right="4500" w:firstLine="180"/>
        <w:spacing w:after="0" w:line="250" w:lineRule="auto"/>
        <w:rPr>
          <w:sz w:val="20"/>
          <w:szCs w:val="20"/>
          <w:color w:val="auto"/>
        </w:rPr>
      </w:pPr>
      <w:r>
        <w:rPr>
          <w:rFonts w:ascii="Arial" w:cs="Arial" w:eastAsia="Arial" w:hAnsi="Arial"/>
          <w:sz w:val="10"/>
          <w:szCs w:val="10"/>
          <w:color w:val="auto"/>
        </w:rPr>
        <w:t>the ability to finance improvements, including, but not limited to increased cost of borrowing and tightened lender credit policies; the disruptions to our business from construction and/or renovations;</w:t>
      </w:r>
    </w:p>
    <w:p>
      <w:pPr>
        <w:ind w:left="180"/>
        <w:spacing w:after="0"/>
        <w:rPr>
          <w:sz w:val="20"/>
          <w:szCs w:val="20"/>
          <w:color w:val="auto"/>
        </w:rPr>
      </w:pPr>
      <w:r>
        <w:rPr>
          <w:rFonts w:ascii="Arial" w:cs="Arial" w:eastAsia="Arial" w:hAnsi="Arial"/>
          <w:sz w:val="10"/>
          <w:szCs w:val="10"/>
          <w:color w:val="auto"/>
        </w:rPr>
        <w:t>the possibility of construction delays, work stoppage, and material shortage;</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0"/>
          <w:szCs w:val="10"/>
          <w:color w:val="auto"/>
        </w:rPr>
        <w:t>competition for development sites and tenants;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0"/>
          <w:szCs w:val="10"/>
          <w:color w:val="auto"/>
        </w:rPr>
        <w:t>environmental remediation issues;</w:t>
      </w:r>
    </w:p>
    <w:p>
      <w:pPr>
        <w:spacing w:after="0" w:line="5" w:lineRule="exact"/>
        <w:rPr>
          <w:sz w:val="20"/>
          <w:szCs w:val="20"/>
          <w:color w:val="auto"/>
        </w:rPr>
      </w:pPr>
    </w:p>
    <w:p>
      <w:pPr>
        <w:ind w:left="180" w:right="1860"/>
        <w:spacing w:after="0" w:line="250" w:lineRule="auto"/>
        <w:rPr>
          <w:sz w:val="20"/>
          <w:szCs w:val="20"/>
          <w:color w:val="auto"/>
        </w:rPr>
      </w:pPr>
      <w:r>
        <w:rPr>
          <w:rFonts w:ascii="Arial" w:cs="Arial" w:eastAsia="Arial" w:hAnsi="Arial"/>
          <w:sz w:val="10"/>
          <w:szCs w:val="10"/>
          <w:color w:val="auto"/>
        </w:rPr>
        <w:t>the extent to which our cinemas can continue to serve as an anchor tenant that will, in turn, be influenced by the same factors as will influence generally the results of our cinema operations; the increased depreciation and amortization expense as construction projects transition to leased real property; the ability to negotiate and execute joint venture opportunities and relationships;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0"/>
          <w:szCs w:val="10"/>
          <w:color w:val="auto"/>
        </w:rPr>
        <w:t>the risk of damage and/or disruption of real estate businesses from earthquakes as certain of our operations are in geologically active areas;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9"/>
          <w:szCs w:val="9"/>
          <w:color w:val="auto"/>
        </w:rPr>
        <w:t>the disruptions or reductions in the utilization of entertainment, shopping and hospitality venues, as well as in our operations, due to pandemics, epidemics, widespread health emergencies, or outbreaks of infectious diseases, or to</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0"/>
          <w:szCs w:val="10"/>
          <w:color w:val="auto"/>
        </w:rPr>
        <w:t>changing consumer tastes and habits; and</w:t>
      </w:r>
    </w:p>
    <w:p>
      <w:pPr>
        <w:ind w:left="180"/>
        <w:spacing w:after="0"/>
        <w:rPr>
          <w:sz w:val="20"/>
          <w:szCs w:val="20"/>
          <w:color w:val="auto"/>
        </w:rPr>
      </w:pPr>
      <w:r>
        <w:rPr>
          <w:rFonts w:ascii="Arial" w:cs="Arial" w:eastAsia="Arial" w:hAnsi="Arial"/>
          <w:sz w:val="10"/>
          <w:szCs w:val="10"/>
          <w:color w:val="auto"/>
        </w:rPr>
        <w:t>the impact of protests, demonstrations, and civil unrest on government policy, consumer willingness to visit shopping centers.</w:t>
      </w:r>
    </w:p>
    <w:p>
      <w:pPr>
        <w:spacing w:after="0" w:line="104" w:lineRule="exact"/>
        <w:rPr>
          <w:sz w:val="20"/>
          <w:szCs w:val="20"/>
          <w:color w:val="auto"/>
        </w:rPr>
      </w:pPr>
    </w:p>
    <w:p>
      <w:pPr>
        <w:ind w:right="160"/>
        <w:spacing w:after="0" w:line="225" w:lineRule="auto"/>
        <w:rPr>
          <w:sz w:val="20"/>
          <w:szCs w:val="20"/>
          <w:color w:val="auto"/>
        </w:rPr>
      </w:pPr>
      <w:r>
        <w:rPr>
          <w:rFonts w:ascii="Arial" w:cs="Arial" w:eastAsia="Arial" w:hAnsi="Arial"/>
          <w:sz w:val="10"/>
          <w:szCs w:val="10"/>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ind w:left="180" w:right="4100"/>
        <w:spacing w:after="0" w:line="253" w:lineRule="auto"/>
        <w:rPr>
          <w:sz w:val="20"/>
          <w:szCs w:val="20"/>
          <w:color w:val="auto"/>
        </w:rPr>
      </w:pPr>
      <w:r>
        <w:rPr>
          <w:rFonts w:ascii="Arial" w:cs="Arial" w:eastAsia="Arial" w:hAnsi="Arial"/>
          <w:sz w:val="10"/>
          <w:szCs w:val="10"/>
          <w:color w:val="auto"/>
        </w:rPr>
        <w:t>our ability to renew, extend, renegotiate or replace our loans that mature in 2023 and beyond, and the impact of increasing interest rates; our ability to grow our Company and provide value to our stockholders;</w:t>
      </w:r>
    </w:p>
    <w:p>
      <w:pPr>
        <w:spacing w:after="0" w:line="97" w:lineRule="exact"/>
        <w:rPr>
          <w:sz w:val="20"/>
          <w:szCs w:val="20"/>
          <w:color w:val="auto"/>
        </w:rPr>
      </w:pPr>
    </w:p>
    <w:p>
      <w:pPr>
        <w:jc w:val="center"/>
        <w:ind w:right="260"/>
        <w:spacing w:after="0"/>
        <w:rPr>
          <w:sz w:val="20"/>
          <w:szCs w:val="20"/>
          <w:color w:val="auto"/>
        </w:rPr>
      </w:pPr>
      <w:r>
        <w:rPr>
          <w:rFonts w:ascii="Arial" w:cs="Arial" w:eastAsia="Arial" w:hAnsi="Arial"/>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97790</wp:posOffset>
            </wp:positionV>
            <wp:extent cx="677862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60"/>
          </w:cols>
          <w:pgMar w:left="1000" w:top="775" w:right="740" w:bottom="1440" w:gutter="0" w:footer="0" w:header="0"/>
        </w:sectPr>
      </w:pPr>
    </w:p>
    <w:bookmarkStart w:id="42" w:name="page43"/>
    <w:bookmarkEnd w:id="42"/>
    <w:p>
      <w:pPr>
        <w:ind w:left="540" w:right="500"/>
        <w:spacing w:after="0" w:line="241" w:lineRule="auto"/>
        <w:rPr>
          <w:sz w:val="20"/>
          <w:szCs w:val="20"/>
          <w:color w:val="auto"/>
        </w:rPr>
      </w:pPr>
      <w:r>
        <w:rPr>
          <w:rFonts w:ascii="Arial" w:cs="Arial" w:eastAsia="Arial" w:hAnsi="Arial"/>
          <w:sz w:val="10"/>
          <w:szCs w:val="10"/>
          <w:color w:val="auto"/>
        </w:rPr>
        <w:t>our ongoing access to borrowed funds and capital and the interest that must be paid on that debt and the returns that must be paid on such capital, and our ability to borrow funds to help cover the cessation of cash flows we experienced during the COVID-19 pandemic;</w:t>
      </w:r>
    </w:p>
    <w:p>
      <w:pPr>
        <w:ind w:left="540"/>
        <w:spacing w:after="0"/>
        <w:rPr>
          <w:sz w:val="20"/>
          <w:szCs w:val="20"/>
          <w:color w:val="auto"/>
        </w:rPr>
      </w:pPr>
      <w:r>
        <w:rPr>
          <w:rFonts w:ascii="Arial" w:cs="Arial" w:eastAsia="Arial" w:hAnsi="Arial"/>
          <w:sz w:val="10"/>
          <w:szCs w:val="10"/>
          <w:color w:val="auto"/>
        </w:rPr>
        <w:t>our ability to reallocate funds among jurisdictions to meet short-term liquidity needs;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0"/>
          <w:szCs w:val="10"/>
          <w:color w:val="auto"/>
        </w:rPr>
        <w:t>the relative values of the currency used in the countries in which we operate;</w:t>
      </w:r>
    </w:p>
    <w:p>
      <w:pPr>
        <w:spacing w:after="0" w:line="5" w:lineRule="exact"/>
        <w:rPr>
          <w:sz w:val="20"/>
          <w:szCs w:val="20"/>
          <w:color w:val="auto"/>
        </w:rPr>
      </w:pPr>
    </w:p>
    <w:p>
      <w:pPr>
        <w:ind w:left="540" w:right="1080"/>
        <w:spacing w:after="0" w:line="250" w:lineRule="auto"/>
        <w:rPr>
          <w:sz w:val="20"/>
          <w:szCs w:val="20"/>
          <w:color w:val="auto"/>
        </w:rPr>
      </w:pPr>
      <w:r>
        <w:rPr>
          <w:rFonts w:ascii="Arial" w:cs="Arial" w:eastAsia="Arial" w:hAnsi="Arial"/>
          <w:sz w:val="10"/>
          <w:szCs w:val="10"/>
          <w:color w:val="auto"/>
        </w:rPr>
        <w:t>the impact that any discontinuance, modification or other reform of London Inter-Bank Offered Rate (LIBOR), or the establishment of alternative reference rates, may have on our LIBOR-based debt instruments; changes in government regulation, including by way of example, the costs resulting from the requirements of Sarbanes-Oxley and other increased regulatory requirements;</w:t>
      </w:r>
    </w:p>
    <w:p>
      <w:pPr>
        <w:ind w:left="540"/>
        <w:spacing w:after="0"/>
        <w:rPr>
          <w:sz w:val="20"/>
          <w:szCs w:val="20"/>
          <w:color w:val="auto"/>
        </w:rPr>
      </w:pPr>
      <w:r>
        <w:rPr>
          <w:rFonts w:ascii="Arial" w:cs="Arial" w:eastAsia="Arial" w:hAnsi="Arial"/>
          <w:sz w:val="9"/>
          <w:szCs w:val="9"/>
          <w:color w:val="auto"/>
        </w:rPr>
        <w:t>our labor relations and costs of labor (including future government requirements with respect to minimum wages, shift scheduling, the use of consultants, pension liabilities, disability insurance and health coverage, and vacations and</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0"/>
          <w:szCs w:val="10"/>
          <w:color w:val="auto"/>
        </w:rPr>
        <w:t>leave);</w:t>
      </w:r>
    </w:p>
    <w:p>
      <w:pPr>
        <w:ind w:left="540"/>
        <w:spacing w:after="0"/>
        <w:rPr>
          <w:sz w:val="20"/>
          <w:szCs w:val="20"/>
          <w:color w:val="auto"/>
        </w:rPr>
      </w:pPr>
      <w:r>
        <w:rPr>
          <w:rFonts w:ascii="Arial" w:cs="Arial" w:eastAsia="Arial" w:hAnsi="Arial"/>
          <w:sz w:val="9"/>
          <w:szCs w:val="9"/>
          <w:color w:val="auto"/>
        </w:rPr>
        <w:t>our exposure from time to time to legal claims and to uninsurable risks, such as those related to our historic railroad operations, including potential environmental claims and health-related claims relating to alleged exposure to asbestos</w:t>
      </w:r>
    </w:p>
    <w:p>
      <w:pPr>
        <w:spacing w:after="0" w:line="13" w:lineRule="exact"/>
        <w:rPr>
          <w:sz w:val="20"/>
          <w:szCs w:val="20"/>
          <w:color w:val="auto"/>
        </w:rPr>
      </w:pPr>
    </w:p>
    <w:p>
      <w:pPr>
        <w:ind w:left="540" w:right="600"/>
        <w:spacing w:after="0" w:line="234" w:lineRule="auto"/>
        <w:rPr>
          <w:sz w:val="20"/>
          <w:szCs w:val="20"/>
          <w:color w:val="auto"/>
        </w:rPr>
      </w:pPr>
      <w:r>
        <w:rPr>
          <w:rFonts w:ascii="Arial" w:cs="Arial" w:eastAsia="Arial" w:hAnsi="Arial"/>
          <w:sz w:val="10"/>
          <w:szCs w:val="10"/>
          <w:color w:val="auto"/>
        </w:rPr>
        <w:t>or other substances now or in the future recognized as being possible causes of cancer or other health related problems, and class actions and private attorney general wage and hour and/or safe workplace-based claims; our exposure to cybersecurity risks, including misappropriation of customer information or other breaches of information security;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0"/>
          <w:szCs w:val="10"/>
          <w:color w:val="auto"/>
        </w:rPr>
        <w:t>the impact of major outbreaks of contagious diseases;</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0"/>
          <w:szCs w:val="10"/>
          <w:color w:val="auto"/>
        </w:rPr>
        <w:t>the availability of employees and/or their ability or willingness to conduct work under any revised work environment protocols;</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0"/>
          <w:szCs w:val="10"/>
          <w:color w:val="auto"/>
        </w:rPr>
        <w:t>the increased risks related to employee matters, including increased employment litigation and claims relating to terminations or furloughs caused by cinema and ETC closures;</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9"/>
          <w:szCs w:val="9"/>
          <w:color w:val="auto"/>
        </w:rPr>
        <w:t>our ability to generate significant cash flow from operations if our cinemas and/or ETCs continue to experience demand at levels significantly lower than historical levels, which could lead to a substantial increase in indebtedness and</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0"/>
          <w:szCs w:val="10"/>
          <w:color w:val="auto"/>
        </w:rPr>
        <w:t>negatively impact our ability to comply with the financial covenants, if applicable, in our debt agreements;</w:t>
      </w:r>
    </w:p>
    <w:p>
      <w:pPr>
        <w:ind w:left="540"/>
        <w:spacing w:after="0"/>
        <w:rPr>
          <w:sz w:val="20"/>
          <w:szCs w:val="20"/>
          <w:color w:val="auto"/>
        </w:rPr>
      </w:pPr>
      <w:r>
        <w:rPr>
          <w:rFonts w:ascii="Arial" w:cs="Arial" w:eastAsia="Arial" w:hAnsi="Arial"/>
          <w:sz w:val="10"/>
          <w:szCs w:val="10"/>
          <w:color w:val="auto"/>
        </w:rPr>
        <w:t>our ability to comply with credit facility covenants and our ability to obtain necessary covenant waivers and necessary credit facility amendments;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0"/>
          <w:szCs w:val="10"/>
          <w:color w:val="auto"/>
        </w:rPr>
        <w:t>changes in future effective tax rates and the results of currently ongoing and future potential audits by taxing authorities having jurisdiction over our various companies;</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0"/>
          <w:szCs w:val="10"/>
          <w:color w:val="auto"/>
        </w:rPr>
        <w:t>inflationary pressures on labor and supplies, and supply chain disruptions;</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0"/>
          <w:szCs w:val="10"/>
          <w:color w:val="auto"/>
        </w:rPr>
        <w:t>changes in applicable accounting policies and practices;</w:t>
      </w:r>
    </w:p>
    <w:p>
      <w:pPr>
        <w:spacing w:after="0" w:line="5" w:lineRule="exact"/>
        <w:rPr>
          <w:sz w:val="20"/>
          <w:szCs w:val="20"/>
          <w:color w:val="auto"/>
        </w:rPr>
      </w:pPr>
    </w:p>
    <w:p>
      <w:pPr>
        <w:ind w:left="540" w:right="2920"/>
        <w:spacing w:after="0" w:line="255" w:lineRule="auto"/>
        <w:rPr>
          <w:sz w:val="20"/>
          <w:szCs w:val="20"/>
          <w:color w:val="auto"/>
        </w:rPr>
      </w:pPr>
      <w:r>
        <w:rPr>
          <w:rFonts w:ascii="Arial" w:cs="Arial" w:eastAsia="Arial" w:hAnsi="Arial"/>
          <w:sz w:val="10"/>
          <w:szCs w:val="10"/>
          <w:color w:val="auto"/>
        </w:rPr>
        <w:t>changes in future effective tax rates and the results of currently ongoing and future potential audits by taxing authorities having jurisdiction over our various companies; the impact of the conflict events occurring in Eastern Europe and the threats of potential conflicts in the Asia-Pacific region; and the impact of the conflict events occurring in Israel and the threats of potential conflicts in the Middle East.</w:t>
      </w:r>
    </w:p>
    <w:p>
      <w:pPr>
        <w:spacing w:after="0" w:line="96" w:lineRule="exact"/>
        <w:rPr>
          <w:sz w:val="20"/>
          <w:szCs w:val="20"/>
          <w:color w:val="auto"/>
        </w:rPr>
      </w:pPr>
    </w:p>
    <w:p>
      <w:pPr>
        <w:ind w:right="120"/>
        <w:spacing w:after="0" w:line="231" w:lineRule="auto"/>
        <w:rPr>
          <w:sz w:val="20"/>
          <w:szCs w:val="20"/>
          <w:color w:val="auto"/>
        </w:rPr>
      </w:pPr>
      <w:r>
        <w:rPr>
          <w:rFonts w:ascii="Arial" w:cs="Arial" w:eastAsia="Arial" w:hAnsi="Arial"/>
          <w:sz w:val="10"/>
          <w:szCs w:val="10"/>
          <w:color w:val="auto"/>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earthquakes, pandemics, and the extent to which consumers in our markets have the economic wherewithal to spend money on beyond-the-home entertainment. Refer to </w:t>
      </w:r>
      <w:r>
        <w:rPr>
          <w:rFonts w:ascii="Arial" w:cs="Arial" w:eastAsia="Arial" w:hAnsi="Arial"/>
          <w:sz w:val="10"/>
          <w:szCs w:val="10"/>
          <w:i w:val="1"/>
          <w:iCs w:val="1"/>
          <w:color w:val="auto"/>
        </w:rPr>
        <w:t>Item 1A - Risk Factors</w:t>
      </w:r>
      <w:r>
        <w:rPr>
          <w:rFonts w:ascii="Arial" w:cs="Arial" w:eastAsia="Arial" w:hAnsi="Arial"/>
          <w:sz w:val="10"/>
          <w:szCs w:val="10"/>
          <w:color w:val="auto"/>
        </w:rPr>
        <w:t>, as well as the risk factors set forth in any other filings made under the Securities Act of 1934, as amended, including any of our Quarterly Reports on Form 10-Q, for more information.</w:t>
      </w:r>
    </w:p>
    <w:p>
      <w:pPr>
        <w:spacing w:after="0" w:line="88" w:lineRule="exact"/>
        <w:rPr>
          <w:sz w:val="20"/>
          <w:szCs w:val="20"/>
          <w:color w:val="auto"/>
        </w:rPr>
      </w:pPr>
    </w:p>
    <w:p>
      <w:pPr>
        <w:ind w:right="140"/>
        <w:spacing w:after="0" w:line="237" w:lineRule="auto"/>
        <w:rPr>
          <w:sz w:val="20"/>
          <w:szCs w:val="20"/>
          <w:color w:val="auto"/>
        </w:rPr>
      </w:pPr>
      <w:r>
        <w:rPr>
          <w:rFonts w:ascii="Arial" w:cs="Arial" w:eastAsia="Arial" w:hAnsi="Arial"/>
          <w:sz w:val="10"/>
          <w:szCs w:val="10"/>
          <w:color w:val="auto"/>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88" w:lineRule="exact"/>
        <w:rPr>
          <w:sz w:val="20"/>
          <w:szCs w:val="20"/>
          <w:color w:val="auto"/>
        </w:rPr>
      </w:pPr>
    </w:p>
    <w:p>
      <w:pPr>
        <w:jc w:val="both"/>
        <w:spacing w:after="0" w:line="231" w:lineRule="auto"/>
        <w:rPr>
          <w:sz w:val="20"/>
          <w:szCs w:val="20"/>
          <w:color w:val="auto"/>
        </w:rPr>
      </w:pPr>
      <w:r>
        <w:rPr>
          <w:rFonts w:ascii="Arial" w:cs="Arial" w:eastAsia="Arial" w:hAnsi="Arial"/>
          <w:sz w:val="10"/>
          <w:szCs w:val="10"/>
          <w:color w:val="auto"/>
        </w:rPr>
        <w:t>Forward-looking statements made by us in this quarter report are based only on information currently available to us and are current only as of the date of this Quarterly Report on Form 10-Q for the period ended September 30, 2023.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775" w:right="640" w:bottom="1440" w:gutter="0" w:footer="0" w:header="0"/>
        </w:sectPr>
      </w:pPr>
    </w:p>
    <w:bookmarkStart w:id="43" w:name="page44"/>
    <w:bookmarkEnd w:id="43"/>
    <w:p>
      <w:pPr>
        <w:spacing w:after="0"/>
        <w:rPr>
          <w:sz w:val="20"/>
          <w:szCs w:val="20"/>
          <w:color w:val="auto"/>
        </w:rPr>
      </w:pPr>
      <w:r>
        <w:rPr>
          <w:rFonts w:ascii="Arial" w:cs="Arial" w:eastAsia="Arial" w:hAnsi="Arial"/>
          <w:sz w:val="10"/>
          <w:szCs w:val="10"/>
          <w:b w:val="1"/>
          <w:bCs w:val="1"/>
          <w:u w:val="single" w:color="auto"/>
          <w:color w:val="auto"/>
        </w:rPr>
        <w:t>Item 3 – Quantitative and Qualitative Disclosure about Market Risk</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The SEC requires that registrants include information about potential effects of changes in currency exchange and interest rates in their filings. Several alternatives, all with some limitations, have been offered. We base the following discussion on a sensitivity analysis that models the effects of fluctuations in currency exchange rates and interest rates. This analysis is constrained by several factors, including the following:</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0"/>
          <w:szCs w:val="10"/>
          <w:color w:val="auto"/>
        </w:rPr>
        <w:t>It is based on a single point in time; and</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0"/>
          <w:szCs w:val="10"/>
          <w:color w:val="auto"/>
        </w:rPr>
        <w:t>It does not include the effects of other complex market reactions that would arise from the changes modeled.</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Although the results of such an analysis may be useful as a benchmark, they should not be viewed as forecasts.</w:t>
      </w:r>
    </w:p>
    <w:p>
      <w:pPr>
        <w:spacing w:after="0" w:line="8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Currency Risk</w:t>
      </w:r>
    </w:p>
    <w:p>
      <w:pPr>
        <w:spacing w:after="0" w:line="101" w:lineRule="exact"/>
        <w:rPr>
          <w:sz w:val="20"/>
          <w:szCs w:val="20"/>
          <w:color w:val="auto"/>
        </w:rPr>
      </w:pPr>
    </w:p>
    <w:p>
      <w:pPr>
        <w:spacing w:after="0" w:line="226" w:lineRule="auto"/>
        <w:rPr>
          <w:sz w:val="20"/>
          <w:szCs w:val="20"/>
          <w:color w:val="auto"/>
        </w:rPr>
      </w:pPr>
      <w:r>
        <w:rPr>
          <w:rFonts w:ascii="Arial" w:cs="Arial" w:eastAsia="Arial" w:hAnsi="Arial"/>
          <w:sz w:val="10"/>
          <w:szCs w:val="10"/>
          <w:color w:val="auto"/>
        </w:rPr>
        <w:t>While we report our earnings and net assets in U.S. dollars, substantial portions of our revenue and of our 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intercompany debt and our ability to service this debt could be adversely impacted by declines in the relative value of the Australian and New Zealand dollars compared to the U.S. dollar. Also, our use of local borrowings to mitigate the business risk of currency fluctuations has reduced our flexibility to move cash between jurisdictions. Set forth below is a chart of the exchange ratios between these three currencies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59055</wp:posOffset>
            </wp:positionV>
            <wp:extent cx="3333750" cy="23431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33750" cy="2343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100"/>
        <w:spacing w:after="0" w:line="231" w:lineRule="auto"/>
        <w:rPr>
          <w:sz w:val="20"/>
          <w:szCs w:val="20"/>
          <w:color w:val="auto"/>
        </w:rPr>
      </w:pPr>
      <w:r>
        <w:rPr>
          <w:rFonts w:ascii="Arial" w:cs="Arial" w:eastAsia="Arial" w:hAnsi="Arial"/>
          <w:sz w:val="10"/>
          <w:szCs w:val="10"/>
          <w:color w:val="auto"/>
        </w:rPr>
        <w:t>In recent periods, we have paid material intercompany dividends and have repaid intercompany debt, using these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 the Australian dollar and/or the New Zealand dollar would effectively raise the overall cost of our borrowing and capital and make it more expensive to return funds from the United States to Australia and New Zealand.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664" w:right="660" w:bottom="1440" w:gutter="0" w:footer="0" w:header="0"/>
        </w:sectPr>
      </w:pPr>
    </w:p>
    <w:bookmarkStart w:id="44" w:name="page45"/>
    <w:bookmarkEnd w:id="44"/>
    <w:p>
      <w:pPr>
        <w:ind w:right="120"/>
        <w:spacing w:after="0" w:line="237" w:lineRule="auto"/>
        <w:rPr>
          <w:sz w:val="20"/>
          <w:szCs w:val="20"/>
          <w:color w:val="auto"/>
        </w:rPr>
      </w:pPr>
      <w:r>
        <w:rPr>
          <w:rFonts w:ascii="Arial" w:cs="Arial" w:eastAsia="Arial" w:hAnsi="Arial"/>
          <w:sz w:val="10"/>
          <w:szCs w:val="10"/>
          <w:color w:val="auto"/>
        </w:rPr>
        <w:t>Our Company transacts business in Australia and New Zealand and is subject to risks associated with fluctuating foreign currency exchange rates. During the third quarter of 2023, the average Australian dollar and New Zealand dollar weakened against the U.S. dollar by 4.1% and 1.2%, respectively, compared to the same period prior year.</w:t>
      </w:r>
    </w:p>
    <w:p>
      <w:pPr>
        <w:spacing w:after="0" w:line="88" w:lineRule="exact"/>
        <w:rPr>
          <w:sz w:val="20"/>
          <w:szCs w:val="20"/>
          <w:color w:val="auto"/>
        </w:rPr>
      </w:pPr>
    </w:p>
    <w:p>
      <w:pPr>
        <w:ind w:right="80"/>
        <w:spacing w:after="0" w:line="231" w:lineRule="auto"/>
        <w:rPr>
          <w:sz w:val="20"/>
          <w:szCs w:val="20"/>
          <w:color w:val="auto"/>
        </w:rPr>
      </w:pPr>
      <w:r>
        <w:rPr>
          <w:rFonts w:ascii="Arial" w:cs="Arial" w:eastAsia="Arial" w:hAnsi="Arial"/>
          <w:sz w:val="10"/>
          <w:szCs w:val="10"/>
          <w:color w:val="auto"/>
        </w:rPr>
        <w:t>At September 30, 2023, approximately 35.4% and 8.5% of our assets were invested in assets denominated in Australian dollars (Reading Entertainment Australia) and New Zealand dollars (Reading New Zealand), respectively, including approximately $6.4 million in cash and cash equivalents. At December 31, 2022, approximately 34.1% and 8.4% of our assets were invested in assets denominated in Australian dollars (Reading Entertainment Australia) and New Zealand dollars (Reading New Zealand), respectively, including approximately ($14.6) million in cash and cash equivalents.</w:t>
      </w:r>
    </w:p>
    <w:p>
      <w:pPr>
        <w:spacing w:after="0" w:line="88" w:lineRule="exact"/>
        <w:rPr>
          <w:sz w:val="20"/>
          <w:szCs w:val="20"/>
          <w:color w:val="auto"/>
        </w:rPr>
      </w:pPr>
    </w:p>
    <w:p>
      <w:pPr>
        <w:ind w:right="40"/>
        <w:spacing w:after="0" w:line="228" w:lineRule="auto"/>
        <w:rPr>
          <w:sz w:val="20"/>
          <w:szCs w:val="20"/>
          <w:color w:val="auto"/>
        </w:rPr>
      </w:pPr>
      <w:r>
        <w:rPr>
          <w:rFonts w:ascii="Arial" w:cs="Arial" w:eastAsia="Arial" w:hAnsi="Arial"/>
          <w:sz w:val="10"/>
          <w:szCs w:val="10"/>
          <w:color w:val="auto"/>
        </w:rPr>
        <w:t>Our policy in Australia and New Zealand is to match revenues and expenses, whenever possible, in local currencies. As a result, we have procured a majority of our expenses in Australia and New Zealand in local currencies. Despite this natural hedge, recent movements in foreign currencies and the current holding of U.S. dollars by certain Australian and New Zealand subsidiaries have had an effect on our current earnings. The effect of the translation adjustment on our assets and liabilities noted in our other comprehensive income was a decrease of $1.7 million and $ 3.0 million for the quarter and nine months ended September 30, 2023, respectively. As we continue to progress our acquisition and development activities in Australia and New Zealand, no assurances can be given that the foreign currency effect on our earnings will not be material in the future.</w:t>
      </w:r>
    </w:p>
    <w:p>
      <w:pPr>
        <w:spacing w:after="0" w:line="88" w:lineRule="exact"/>
        <w:rPr>
          <w:sz w:val="20"/>
          <w:szCs w:val="20"/>
          <w:color w:val="auto"/>
        </w:rPr>
      </w:pPr>
    </w:p>
    <w:p>
      <w:pPr>
        <w:spacing w:after="0" w:line="231" w:lineRule="auto"/>
        <w:rPr>
          <w:sz w:val="20"/>
          <w:szCs w:val="20"/>
          <w:color w:val="auto"/>
        </w:rPr>
      </w:pPr>
      <w:r>
        <w:rPr>
          <w:rFonts w:ascii="Arial" w:cs="Arial" w:eastAsia="Arial" w:hAnsi="Arial"/>
          <w:sz w:val="10"/>
          <w:szCs w:val="10"/>
          <w:color w:val="auto"/>
        </w:rPr>
        <w:t>Historically, our policy has been to borrow in local currencies to finance the development and construction of our long -term assets in Australia and New Zealand. As a result, the borrowings in local currencies have provided somewhat of a natural hedge against the foreign currency exchange exposure. We have also historically paid management fees to the U.S. to cover a portion of our domestic overhead. The fluctuations of the Australian and New Zealand currencies, however, may impact our ability to rely on such funding for ongoing support of our domestic overhead.</w:t>
      </w:r>
    </w:p>
    <w:p>
      <w:pPr>
        <w:spacing w:after="0" w:line="88" w:lineRule="exact"/>
        <w:rPr>
          <w:sz w:val="20"/>
          <w:szCs w:val="20"/>
          <w:color w:val="auto"/>
        </w:rPr>
      </w:pPr>
    </w:p>
    <w:p>
      <w:pPr>
        <w:ind w:right="300"/>
        <w:spacing w:after="0" w:line="237" w:lineRule="auto"/>
        <w:rPr>
          <w:sz w:val="20"/>
          <w:szCs w:val="20"/>
          <w:color w:val="auto"/>
        </w:rPr>
      </w:pPr>
      <w:r>
        <w:rPr>
          <w:rFonts w:ascii="Arial" w:cs="Arial" w:eastAsia="Arial" w:hAnsi="Arial"/>
          <w:sz w:val="10"/>
          <w:szCs w:val="10"/>
          <w:color w:val="auto"/>
        </w:rPr>
        <w:t>We record unrealized foreign currency translation gains or losses that could materially affect our financial position. As of September 30, 2023, and December 31, 2022, the balance of cumulative foreign currency translation adjustments were approximately a ($3.7) million loss and ($0.7) million loss,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u w:val="single" w:color="auto"/>
          <w:color w:val="auto"/>
        </w:rPr>
        <w:t>Interest Rate Risk</w:t>
      </w:r>
    </w:p>
    <w:p>
      <w:pPr>
        <w:spacing w:after="0" w:line="101" w:lineRule="exact"/>
        <w:rPr>
          <w:sz w:val="20"/>
          <w:szCs w:val="20"/>
          <w:color w:val="auto"/>
        </w:rPr>
      </w:pPr>
    </w:p>
    <w:p>
      <w:pPr>
        <w:ind w:right="20"/>
        <w:spacing w:after="0" w:line="287" w:lineRule="auto"/>
        <w:rPr>
          <w:sz w:val="20"/>
          <w:szCs w:val="20"/>
          <w:color w:val="auto"/>
        </w:rPr>
      </w:pPr>
      <w:r>
        <w:rPr>
          <w:rFonts w:ascii="Arial" w:cs="Arial" w:eastAsia="Arial" w:hAnsi="Arial"/>
          <w:sz w:val="9"/>
          <w:szCs w:val="9"/>
          <w:color w:val="auto"/>
        </w:rPr>
        <w:t>Our exposure to interest rate risk arises out of our long-term floating-rate borrowings. To manage the risk, we utilize interest rate derivative contracts to convert certain 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w:t>
      </w:r>
    </w:p>
    <w:p>
      <w:pPr>
        <w:spacing w:after="0" w:line="67" w:lineRule="exact"/>
        <w:rPr>
          <w:sz w:val="20"/>
          <w:szCs w:val="20"/>
          <w:color w:val="auto"/>
        </w:rPr>
      </w:pPr>
    </w:p>
    <w:p>
      <w:pPr>
        <w:ind w:right="280"/>
        <w:spacing w:after="0" w:line="237" w:lineRule="auto"/>
        <w:rPr>
          <w:sz w:val="20"/>
          <w:szCs w:val="20"/>
          <w:color w:val="auto"/>
        </w:rPr>
      </w:pPr>
      <w:r>
        <w:rPr>
          <w:rFonts w:ascii="Arial" w:cs="Arial" w:eastAsia="Arial" w:hAnsi="Arial"/>
          <w:sz w:val="10"/>
          <w:szCs w:val="10"/>
          <w:color w:val="auto"/>
        </w:rPr>
        <w:t>Historically, we maintain most of our cash and cash equivalent balances in short-term money market instruments with original maturities of three months or less. Due to the short- term nature of such investments, a change of 1% in short-term interest rates would not have a material effect on our financial condition. The negative spread between our borrowing costs and earned interest will exacerbate as we hold cash to provide a safety net to meet our expenses.</w:t>
      </w:r>
    </w:p>
    <w:p>
      <w:pPr>
        <w:spacing w:after="0" w:line="88" w:lineRule="exact"/>
        <w:rPr>
          <w:sz w:val="20"/>
          <w:szCs w:val="20"/>
          <w:color w:val="auto"/>
        </w:rPr>
      </w:pPr>
    </w:p>
    <w:p>
      <w:pPr>
        <w:ind w:right="40"/>
        <w:spacing w:after="0" w:line="237" w:lineRule="auto"/>
        <w:rPr>
          <w:sz w:val="20"/>
          <w:szCs w:val="20"/>
          <w:color w:val="auto"/>
        </w:rPr>
      </w:pPr>
      <w:r>
        <w:rPr>
          <w:rFonts w:ascii="Arial" w:cs="Arial" w:eastAsia="Arial" w:hAnsi="Arial"/>
          <w:sz w:val="10"/>
          <w:szCs w:val="10"/>
          <w:color w:val="auto"/>
        </w:rPr>
        <w:t>We have a combination of fixed and variable interest rate loans. In connection with our variable interest rate loans, a change of approximately 1% in short-term interest rates would have resulted in an approximate $396,000 increase or decrease in our quarterly interest expense.</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For further discussion on market risks, please refer to </w:t>
      </w:r>
      <w:r>
        <w:rPr>
          <w:rFonts w:ascii="Arial" w:cs="Arial" w:eastAsia="Arial" w:hAnsi="Arial"/>
          <w:sz w:val="10"/>
          <w:szCs w:val="10"/>
          <w:i w:val="1"/>
          <w:iCs w:val="1"/>
          <w:color w:val="auto"/>
        </w:rPr>
        <w:t>Part I, Item 1A – Risk Factors</w:t>
      </w:r>
      <w:r>
        <w:rPr>
          <w:rFonts w:ascii="Arial" w:cs="Arial" w:eastAsia="Arial" w:hAnsi="Arial"/>
          <w:sz w:val="10"/>
          <w:szCs w:val="10"/>
          <w:color w:val="auto"/>
        </w:rPr>
        <w:t xml:space="preserve"> included on our 2022 Form 10-K.</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775" w:right="640" w:bottom="1440" w:gutter="0" w:footer="0" w:header="0"/>
        </w:sectPr>
      </w:pPr>
    </w:p>
    <w:bookmarkStart w:id="45" w:name="page46"/>
    <w:bookmarkEnd w:id="45"/>
    <w:p>
      <w:pPr>
        <w:spacing w:after="0"/>
        <w:rPr>
          <w:sz w:val="20"/>
          <w:szCs w:val="20"/>
          <w:color w:val="auto"/>
        </w:rPr>
      </w:pPr>
      <w:r>
        <w:rPr>
          <w:rFonts w:ascii="Arial" w:cs="Arial" w:eastAsia="Arial" w:hAnsi="Arial"/>
          <w:sz w:val="10"/>
          <w:szCs w:val="10"/>
          <w:b w:val="1"/>
          <w:bCs w:val="1"/>
          <w:u w:val="single" w:color="auto"/>
          <w:color w:val="auto"/>
        </w:rPr>
        <w:t>Item 4 – Controls and Procedures</w:t>
      </w:r>
    </w:p>
    <w:p>
      <w:pPr>
        <w:spacing w:after="0" w:line="101" w:lineRule="exact"/>
        <w:rPr>
          <w:sz w:val="20"/>
          <w:szCs w:val="20"/>
          <w:color w:val="auto"/>
        </w:rPr>
      </w:pPr>
    </w:p>
    <w:p>
      <w:pPr>
        <w:spacing w:after="0" w:line="228" w:lineRule="auto"/>
        <w:rPr>
          <w:sz w:val="20"/>
          <w:szCs w:val="20"/>
          <w:color w:val="auto"/>
        </w:rPr>
      </w:pPr>
      <w:r>
        <w:rPr>
          <w:rFonts w:ascii="Arial" w:cs="Arial" w:eastAsia="Arial" w:hAnsi="Arial"/>
          <w:sz w:val="10"/>
          <w:szCs w:val="10"/>
          <w:color w:val="auto"/>
        </w:rPr>
        <w:t>We maintain disclosure controls and procedures that are designed to ensure that information required to be disclosed in our Company’s reports filed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our management is required to apply its judgment in evaluating the cost-benefit relationship of possible controls and procedures.</w:t>
      </w:r>
    </w:p>
    <w:p>
      <w:pPr>
        <w:spacing w:after="0" w:line="88" w:lineRule="exact"/>
        <w:rPr>
          <w:sz w:val="20"/>
          <w:szCs w:val="20"/>
          <w:color w:val="auto"/>
        </w:rPr>
      </w:pPr>
    </w:p>
    <w:p>
      <w:pPr>
        <w:ind w:right="60"/>
        <w:spacing w:after="0" w:line="237" w:lineRule="auto"/>
        <w:rPr>
          <w:sz w:val="20"/>
          <w:szCs w:val="20"/>
          <w:color w:val="auto"/>
        </w:rPr>
      </w:pPr>
      <w:r>
        <w:rPr>
          <w:rFonts w:ascii="Arial" w:cs="Arial" w:eastAsia="Arial" w:hAnsi="Arial"/>
          <w:sz w:val="10"/>
          <w:szCs w:val="10"/>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Based upon that evaluation, we concluded that, as of September 30, 2023, our disclosure controls and procedures were effective.</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Changes in Internal Control over Financial Reporting</w:t>
      </w:r>
    </w:p>
    <w:p>
      <w:pPr>
        <w:spacing w:after="0" w:line="101" w:lineRule="exact"/>
        <w:rPr>
          <w:sz w:val="20"/>
          <w:szCs w:val="20"/>
          <w:color w:val="auto"/>
        </w:rPr>
      </w:pPr>
    </w:p>
    <w:p>
      <w:pPr>
        <w:ind w:right="40"/>
        <w:spacing w:after="0" w:line="237" w:lineRule="auto"/>
        <w:rPr>
          <w:sz w:val="20"/>
          <w:szCs w:val="20"/>
          <w:color w:val="auto"/>
        </w:rPr>
      </w:pPr>
      <w:r>
        <w:rPr>
          <w:rFonts w:ascii="Arial" w:cs="Arial" w:eastAsia="Arial" w:hAnsi="Arial"/>
          <w:sz w:val="10"/>
          <w:szCs w:val="10"/>
          <w:color w:val="auto"/>
        </w:rPr>
        <w:t>There were no other changes in our internal control over financial reporting (as defined in Rule 13a-15(f) and 15d-15(f) under the Exchange Act) that occurred during the third quarter ended September 30, 2023, that have materially affected, or are reasonably likely to materially affect, our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664" w:right="6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0"/>
          <w:szCs w:val="10"/>
          <w:b w:val="1"/>
          <w:bCs w:val="1"/>
          <w:u w:val="single" w:color="auto"/>
          <w:color w:val="auto"/>
        </w:rPr>
        <w:t>PART II – Other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Item 1 – Legal Proceedings</w:t>
      </w:r>
    </w:p>
    <w:p>
      <w:pPr>
        <w:spacing w:after="0" w:line="97" w:lineRule="exact"/>
        <w:rPr>
          <w:sz w:val="20"/>
          <w:szCs w:val="20"/>
          <w:color w:val="auto"/>
        </w:rPr>
      </w:pPr>
    </w:p>
    <w:p>
      <w:pPr>
        <w:ind w:right="140"/>
        <w:spacing w:after="0" w:line="242" w:lineRule="auto"/>
        <w:rPr>
          <w:sz w:val="20"/>
          <w:szCs w:val="20"/>
          <w:color w:val="auto"/>
        </w:rPr>
      </w:pPr>
      <w:r>
        <w:rPr>
          <w:rFonts w:ascii="Arial" w:cs="Arial" w:eastAsia="Arial" w:hAnsi="Arial"/>
          <w:sz w:val="10"/>
          <w:szCs w:val="10"/>
          <w:color w:val="auto"/>
        </w:rPr>
        <w:t xml:space="preserve">The information required under Part II, Item 1 </w:t>
      </w:r>
      <w:r>
        <w:rPr>
          <w:rFonts w:ascii="Arial" w:cs="Arial" w:eastAsia="Arial" w:hAnsi="Arial"/>
          <w:sz w:val="10"/>
          <w:szCs w:val="10"/>
          <w:i w:val="1"/>
          <w:iCs w:val="1"/>
          <w:color w:val="auto"/>
        </w:rPr>
        <w:t>(Legal Proceedings)</w:t>
      </w:r>
      <w:r>
        <w:rPr>
          <w:rFonts w:ascii="Arial" w:cs="Arial" w:eastAsia="Arial" w:hAnsi="Arial"/>
          <w:sz w:val="10"/>
          <w:szCs w:val="10"/>
          <w:color w:val="auto"/>
        </w:rPr>
        <w:t xml:space="preserve"> is incorporated by reference to the information contained in </w:t>
      </w:r>
      <w:r>
        <w:rPr>
          <w:rFonts w:ascii="Arial" w:cs="Arial" w:eastAsia="Arial" w:hAnsi="Arial"/>
          <w:sz w:val="10"/>
          <w:szCs w:val="10"/>
          <w:i w:val="1"/>
          <w:iCs w:val="1"/>
          <w:color w:val="auto"/>
        </w:rPr>
        <w:t>Notes to Consolidated Financial Statements-- Note 15 – Commitments and Contingencies</w:t>
      </w:r>
      <w:r>
        <w:rPr>
          <w:rFonts w:ascii="Arial" w:cs="Arial" w:eastAsia="Arial" w:hAnsi="Arial"/>
          <w:sz w:val="10"/>
          <w:szCs w:val="10"/>
          <w:color w:val="auto"/>
        </w:rPr>
        <w:t xml:space="preserve"> included herein in </w:t>
      </w:r>
      <w:r>
        <w:rPr>
          <w:rFonts w:ascii="Arial" w:cs="Arial" w:eastAsia="Arial" w:hAnsi="Arial"/>
          <w:sz w:val="10"/>
          <w:szCs w:val="10"/>
          <w:i w:val="1"/>
          <w:iCs w:val="1"/>
          <w:color w:val="auto"/>
        </w:rPr>
        <w:t>Part I –</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Financial Information, Item 1 – Financial Statements </w:t>
      </w:r>
      <w:r>
        <w:rPr>
          <w:rFonts w:ascii="Arial" w:cs="Arial" w:eastAsia="Arial" w:hAnsi="Arial"/>
          <w:sz w:val="10"/>
          <w:szCs w:val="10"/>
          <w:color w:val="auto"/>
        </w:rPr>
        <w:t>on this Quarterly Report on Form 10-Q.</w:t>
      </w:r>
    </w:p>
    <w:p>
      <w:pPr>
        <w:spacing w:after="0" w:line="83"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For further details on our legal proceedings, please refer to </w:t>
      </w:r>
      <w:r>
        <w:rPr>
          <w:rFonts w:ascii="Arial" w:cs="Arial" w:eastAsia="Arial" w:hAnsi="Arial"/>
          <w:sz w:val="10"/>
          <w:szCs w:val="10"/>
          <w:i w:val="1"/>
          <w:iCs w:val="1"/>
          <w:color w:val="auto"/>
        </w:rPr>
        <w:t>Part I, Item 3 – Legal Proceedings,</w:t>
      </w:r>
      <w:r>
        <w:rPr>
          <w:rFonts w:ascii="Arial" w:cs="Arial" w:eastAsia="Arial" w:hAnsi="Arial"/>
          <w:sz w:val="10"/>
          <w:szCs w:val="10"/>
          <w:color w:val="auto"/>
        </w:rPr>
        <w:t xml:space="preserve"> contained in our 2022 Form 10-K.</w:t>
      </w:r>
    </w:p>
    <w:p>
      <w:pPr>
        <w:spacing w:after="0" w:line="93"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Item 1A – Risk Factors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There have been no material changes to the risk factors we previously disclosed in Item 1A of our 2022 Form 10-K other than the potential impact of the Hollywood Strikes on the cinema industry and our business.</w:t>
      </w:r>
    </w:p>
    <w:p>
      <w:pPr>
        <w:spacing w:after="0" w:line="95" w:lineRule="exact"/>
        <w:rPr>
          <w:sz w:val="20"/>
          <w:szCs w:val="20"/>
          <w:color w:val="auto"/>
        </w:rPr>
      </w:pPr>
    </w:p>
    <w:p>
      <w:pPr>
        <w:ind w:right="160"/>
        <w:spacing w:after="0" w:line="237" w:lineRule="auto"/>
        <w:rPr>
          <w:sz w:val="20"/>
          <w:szCs w:val="20"/>
          <w:color w:val="auto"/>
        </w:rPr>
      </w:pPr>
      <w:r>
        <w:rPr>
          <w:rFonts w:ascii="Arial" w:cs="Arial" w:eastAsia="Arial" w:hAnsi="Arial"/>
          <w:sz w:val="10"/>
          <w:szCs w:val="10"/>
          <w:color w:val="auto"/>
        </w:rPr>
        <w:t>We encourage investors to review the risks and uncertainties relating to our business disclosed under the heading Risk Factors or otherwise in the 2022 Form 10-K, as well as those contained in Part I – Forward-Looking Statements thereof, as revised or supplemented by our Quarterly Reports filed with the SEC since the filing of the 2022 Form 10-K.</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Item 2 – Sales of Equity Securities and Use of Proceeds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None.</w:t>
      </w:r>
    </w:p>
    <w:p>
      <w:pPr>
        <w:spacing w:after="0" w:line="89"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Item 3 – Defaults upon Senior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None.</w:t>
      </w:r>
    </w:p>
    <w:p>
      <w:pPr>
        <w:spacing w:after="0" w:line="89"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Item 4 – Mine Safety Disclosure</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Not applicable.</w:t>
      </w:r>
    </w:p>
    <w:p>
      <w:pPr>
        <w:spacing w:after="0" w:line="89"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Item 5 – Other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9"/>
          <w:szCs w:val="9"/>
          <w:color w:val="auto"/>
        </w:rPr>
        <w:t>During the quarter ended September 30, 2023, no director or officer of the Company adopted or terminated a “Rule 10b5-1 trading arrangement” or a “non-Rule 10b5-1 trading arrangement” (in each case, as defined in Item 408 of Regulation S-K).</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77862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664" w:right="680"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115"/>
        </w:trPr>
        <w:tc>
          <w:tcPr>
            <w:tcW w:w="1240" w:type="dxa"/>
            <w:vAlign w:val="bottom"/>
            <w:gridSpan w:val="2"/>
          </w:tcPr>
          <w:p>
            <w:pPr>
              <w:spacing w:after="0"/>
              <w:rPr>
                <w:sz w:val="20"/>
                <w:szCs w:val="20"/>
                <w:color w:val="auto"/>
              </w:rPr>
            </w:pPr>
            <w:r>
              <w:rPr>
                <w:rFonts w:ascii="Arial" w:cs="Arial" w:eastAsia="Arial" w:hAnsi="Arial"/>
                <w:sz w:val="10"/>
                <w:szCs w:val="10"/>
                <w:b w:val="1"/>
                <w:bCs w:val="1"/>
                <w:color w:val="auto"/>
              </w:rPr>
              <w:t>Item 6 – Exhibits</w:t>
            </w:r>
          </w:p>
        </w:tc>
        <w:tc>
          <w:tcPr>
            <w:tcW w:w="3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r>
      <w:tr>
        <w:trPr>
          <w:trHeight w:val="93"/>
        </w:trPr>
        <w:tc>
          <w:tcPr>
            <w:tcW w:w="76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500" w:type="dxa"/>
            <w:vAlign w:val="bottom"/>
          </w:tcPr>
          <w:p>
            <w:pPr>
              <w:spacing w:after="0"/>
              <w:rPr>
                <w:sz w:val="8"/>
                <w:szCs w:val="8"/>
                <w:color w:val="auto"/>
              </w:rPr>
            </w:pPr>
          </w:p>
        </w:tc>
      </w:tr>
      <w:tr>
        <w:trPr>
          <w:trHeight w:val="98"/>
        </w:trPr>
        <w:tc>
          <w:tcPr>
            <w:tcW w:w="760" w:type="dxa"/>
            <w:vAlign w:val="bottom"/>
            <w:shd w:val="clear" w:color="auto" w:fill="CCEEFF"/>
          </w:tcPr>
          <w:p>
            <w:pPr>
              <w:spacing w:after="0" w:line="98" w:lineRule="exact"/>
              <w:rPr>
                <w:sz w:val="20"/>
                <w:szCs w:val="20"/>
                <w:color w:val="auto"/>
              </w:rPr>
            </w:pPr>
            <w:r>
              <w:rPr>
                <w:rFonts w:ascii="Arial" w:cs="Arial" w:eastAsia="Arial" w:hAnsi="Arial"/>
                <w:sz w:val="10"/>
                <w:szCs w:val="10"/>
                <w:color w:val="auto"/>
              </w:rPr>
              <w:t>10.1*</w:t>
            </w:r>
          </w:p>
        </w:tc>
        <w:tc>
          <w:tcPr>
            <w:tcW w:w="480" w:type="dxa"/>
            <w:vAlign w:val="bottom"/>
            <w:shd w:val="clear" w:color="auto" w:fill="CCEEFF"/>
          </w:tcPr>
          <w:p>
            <w:pPr>
              <w:spacing w:after="0"/>
              <w:rPr>
                <w:sz w:val="8"/>
                <w:szCs w:val="8"/>
                <w:color w:val="auto"/>
              </w:rPr>
            </w:pPr>
          </w:p>
        </w:tc>
        <w:tc>
          <w:tcPr>
            <w:tcW w:w="9380" w:type="dxa"/>
            <w:vAlign w:val="bottom"/>
            <w:gridSpan w:val="5"/>
            <w:shd w:val="clear" w:color="auto" w:fill="CCEEFF"/>
          </w:tcPr>
          <w:p>
            <w:pPr>
              <w:spacing w:after="0" w:line="98" w:lineRule="exact"/>
              <w:rPr>
                <w:rFonts w:ascii="Arial" w:cs="Arial" w:eastAsia="Arial" w:hAnsi="Arial"/>
                <w:sz w:val="10"/>
                <w:szCs w:val="10"/>
                <w:color w:val="0000FF"/>
              </w:rPr>
            </w:pPr>
            <w:hyperlink w:anchor="page1">
              <w:r>
                <w:rPr>
                  <w:rFonts w:ascii="Arial" w:cs="Arial" w:eastAsia="Arial" w:hAnsi="Arial"/>
                  <w:sz w:val="10"/>
                  <w:szCs w:val="10"/>
                  <w:color w:val="0000FF"/>
                </w:rPr>
                <w:t>Amendment Deed dated August 13, 2023, by and between Reading Entertainment Australia Pty Ltd, as borrower, and National Australia Bank Limited, as bank.</w:t>
              </w:r>
            </w:hyperlink>
          </w:p>
        </w:tc>
      </w:tr>
      <w:tr>
        <w:trPr>
          <w:trHeight w:val="85"/>
        </w:trPr>
        <w:tc>
          <w:tcPr>
            <w:tcW w:w="760" w:type="dxa"/>
            <w:vAlign w:val="bottom"/>
            <w:tcBorders>
              <w:top w:val="single" w:sz="8" w:color="CCEEFF"/>
            </w:tcBorders>
          </w:tcPr>
          <w:p>
            <w:pPr>
              <w:spacing w:after="0" w:line="85" w:lineRule="exact"/>
              <w:rPr>
                <w:sz w:val="20"/>
                <w:szCs w:val="20"/>
                <w:color w:val="auto"/>
              </w:rPr>
            </w:pPr>
            <w:r>
              <w:rPr>
                <w:rFonts w:ascii="Arial" w:cs="Arial" w:eastAsia="Arial" w:hAnsi="Arial"/>
                <w:sz w:val="9"/>
                <w:szCs w:val="9"/>
                <w:color w:val="auto"/>
              </w:rPr>
              <w:t>31.1*</w:t>
            </w:r>
          </w:p>
        </w:tc>
        <w:tc>
          <w:tcPr>
            <w:tcW w:w="480" w:type="dxa"/>
            <w:vAlign w:val="bottom"/>
            <w:tcBorders>
              <w:top w:val="single" w:sz="8" w:color="CCEEFF"/>
            </w:tcBorders>
          </w:tcPr>
          <w:p>
            <w:pPr>
              <w:spacing w:after="0"/>
              <w:rPr>
                <w:sz w:val="7"/>
                <w:szCs w:val="7"/>
                <w:color w:val="auto"/>
              </w:rPr>
            </w:pPr>
          </w:p>
        </w:tc>
        <w:tc>
          <w:tcPr>
            <w:tcW w:w="4560" w:type="dxa"/>
            <w:vAlign w:val="bottom"/>
            <w:tcBorders>
              <w:top w:val="single" w:sz="8" w:color="0000FF"/>
              <w:bottom w:val="single" w:sz="8" w:color="0000FF"/>
            </w:tcBorders>
            <w:gridSpan w:val="3"/>
          </w:tcPr>
          <w:p>
            <w:pPr>
              <w:spacing w:after="0" w:line="85" w:lineRule="exact"/>
              <w:rPr>
                <w:rFonts w:ascii="Arial" w:cs="Arial" w:eastAsia="Arial" w:hAnsi="Arial"/>
                <w:sz w:val="9"/>
                <w:szCs w:val="9"/>
                <w:color w:val="0000FF"/>
              </w:rPr>
            </w:pPr>
            <w:hyperlink w:anchor="page1">
              <w:r>
                <w:rPr>
                  <w:rFonts w:ascii="Arial" w:cs="Arial" w:eastAsia="Arial" w:hAnsi="Arial"/>
                  <w:sz w:val="9"/>
                  <w:szCs w:val="9"/>
                  <w:color w:val="0000FF"/>
                </w:rPr>
                <w:t>Certification of the Principal Executive Officer Pursuant to Section 302 of the Sarbanes-Oxley Act of 2002.</w:t>
              </w:r>
            </w:hyperlink>
          </w:p>
        </w:tc>
        <w:tc>
          <w:tcPr>
            <w:tcW w:w="2320" w:type="dxa"/>
            <w:vAlign w:val="bottom"/>
            <w:tcBorders>
              <w:top w:val="single" w:sz="8" w:color="0000FF"/>
            </w:tcBorders>
          </w:tcPr>
          <w:p>
            <w:pPr>
              <w:spacing w:after="0"/>
              <w:rPr>
                <w:sz w:val="7"/>
                <w:szCs w:val="7"/>
                <w:color w:val="auto"/>
              </w:rPr>
            </w:pPr>
          </w:p>
        </w:tc>
        <w:tc>
          <w:tcPr>
            <w:tcW w:w="2500" w:type="dxa"/>
            <w:vAlign w:val="bottom"/>
            <w:tcBorders>
              <w:top w:val="single" w:sz="8" w:color="CCEEFF"/>
            </w:tcBorders>
          </w:tcPr>
          <w:p>
            <w:pPr>
              <w:spacing w:after="0"/>
              <w:rPr>
                <w:sz w:val="7"/>
                <w:szCs w:val="7"/>
                <w:color w:val="auto"/>
              </w:rPr>
            </w:pPr>
          </w:p>
        </w:tc>
      </w:tr>
      <w:tr>
        <w:trPr>
          <w:trHeight w:val="85"/>
        </w:trPr>
        <w:tc>
          <w:tcPr>
            <w:tcW w:w="760" w:type="dxa"/>
            <w:vAlign w:val="bottom"/>
            <w:shd w:val="clear" w:color="auto" w:fill="CCEEFF"/>
          </w:tcPr>
          <w:p>
            <w:pPr>
              <w:spacing w:after="0" w:line="85" w:lineRule="exact"/>
              <w:rPr>
                <w:sz w:val="20"/>
                <w:szCs w:val="20"/>
                <w:color w:val="auto"/>
              </w:rPr>
            </w:pPr>
            <w:r>
              <w:rPr>
                <w:rFonts w:ascii="Arial" w:cs="Arial" w:eastAsia="Arial" w:hAnsi="Arial"/>
                <w:sz w:val="9"/>
                <w:szCs w:val="9"/>
                <w:color w:val="auto"/>
              </w:rPr>
              <w:t>31.2*</w:t>
            </w:r>
          </w:p>
        </w:tc>
        <w:tc>
          <w:tcPr>
            <w:tcW w:w="480" w:type="dxa"/>
            <w:vAlign w:val="bottom"/>
            <w:shd w:val="clear" w:color="auto" w:fill="CCEEFF"/>
          </w:tcPr>
          <w:p>
            <w:pPr>
              <w:spacing w:after="0"/>
              <w:rPr>
                <w:sz w:val="7"/>
                <w:szCs w:val="7"/>
                <w:color w:val="auto"/>
              </w:rPr>
            </w:pPr>
          </w:p>
        </w:tc>
        <w:tc>
          <w:tcPr>
            <w:tcW w:w="9380" w:type="dxa"/>
            <w:vAlign w:val="bottom"/>
            <w:gridSpan w:val="5"/>
            <w:shd w:val="clear" w:color="auto" w:fill="CCEEFF"/>
          </w:tcPr>
          <w:p>
            <w:pPr>
              <w:spacing w:after="0" w:line="85" w:lineRule="exact"/>
              <w:rPr>
                <w:rFonts w:ascii="Arial" w:cs="Arial" w:eastAsia="Arial" w:hAnsi="Arial"/>
                <w:sz w:val="9"/>
                <w:szCs w:val="9"/>
                <w:color w:val="0000FF"/>
              </w:rPr>
            </w:pPr>
            <w:hyperlink w:anchor="page1">
              <w:r>
                <w:rPr>
                  <w:rFonts w:ascii="Arial" w:cs="Arial" w:eastAsia="Arial" w:hAnsi="Arial"/>
                  <w:sz w:val="9"/>
                  <w:szCs w:val="9"/>
                  <w:color w:val="0000FF"/>
                </w:rPr>
                <w:t>Certification of the Principal Financial Officer Pursuant to Section 302 of the Sarbanes-Oxley Act of 2002.</w:t>
              </w:r>
            </w:hyperlink>
          </w:p>
        </w:tc>
      </w:tr>
      <w:tr>
        <w:trPr>
          <w:trHeight w:val="85"/>
        </w:trPr>
        <w:tc>
          <w:tcPr>
            <w:tcW w:w="760" w:type="dxa"/>
            <w:vAlign w:val="bottom"/>
            <w:tcBorders>
              <w:top w:val="single" w:sz="8" w:color="CCEEFF"/>
            </w:tcBorders>
          </w:tcPr>
          <w:p>
            <w:pPr>
              <w:spacing w:after="0" w:line="85" w:lineRule="exact"/>
              <w:rPr>
                <w:sz w:val="20"/>
                <w:szCs w:val="20"/>
                <w:color w:val="auto"/>
              </w:rPr>
            </w:pPr>
            <w:r>
              <w:rPr>
                <w:rFonts w:ascii="Arial" w:cs="Arial" w:eastAsia="Arial" w:hAnsi="Arial"/>
                <w:sz w:val="9"/>
                <w:szCs w:val="9"/>
                <w:color w:val="auto"/>
              </w:rPr>
              <w:t>32**</w:t>
            </w:r>
          </w:p>
        </w:tc>
        <w:tc>
          <w:tcPr>
            <w:tcW w:w="480" w:type="dxa"/>
            <w:vAlign w:val="bottom"/>
            <w:tcBorders>
              <w:top w:val="single" w:sz="8" w:color="CCEEFF"/>
            </w:tcBorders>
          </w:tcPr>
          <w:p>
            <w:pPr>
              <w:spacing w:after="0"/>
              <w:rPr>
                <w:sz w:val="7"/>
                <w:szCs w:val="7"/>
                <w:color w:val="auto"/>
              </w:rPr>
            </w:pPr>
          </w:p>
        </w:tc>
        <w:tc>
          <w:tcPr>
            <w:tcW w:w="3180" w:type="dxa"/>
            <w:vAlign w:val="bottom"/>
            <w:tcBorders>
              <w:top w:val="single" w:sz="8" w:color="0000FF"/>
              <w:bottom w:val="single" w:sz="8" w:color="0000FF"/>
            </w:tcBorders>
          </w:tcPr>
          <w:p>
            <w:pPr>
              <w:spacing w:after="0" w:line="85" w:lineRule="exact"/>
              <w:rPr>
                <w:rFonts w:ascii="Arial" w:cs="Arial" w:eastAsia="Arial" w:hAnsi="Arial"/>
                <w:sz w:val="9"/>
                <w:szCs w:val="9"/>
                <w:color w:val="0000FF"/>
              </w:rPr>
            </w:pPr>
            <w:hyperlink w:anchor="page1">
              <w:r>
                <w:rPr>
                  <w:rFonts w:ascii="Arial" w:cs="Arial" w:eastAsia="Arial" w:hAnsi="Arial"/>
                  <w:sz w:val="9"/>
                  <w:szCs w:val="9"/>
                  <w:color w:val="0000FF"/>
                </w:rPr>
                <w:t>Certifications Pursuant to Section 906 of the Sarbanes-Oxley Act of 2002.</w:t>
              </w:r>
            </w:hyperlink>
          </w:p>
        </w:tc>
        <w:tc>
          <w:tcPr>
            <w:tcW w:w="1340" w:type="dxa"/>
            <w:vAlign w:val="bottom"/>
            <w:tcBorders>
              <w:top w:val="single" w:sz="8" w:color="0000FF"/>
            </w:tcBorders>
          </w:tcPr>
          <w:p>
            <w:pPr>
              <w:spacing w:after="0"/>
              <w:rPr>
                <w:sz w:val="7"/>
                <w:szCs w:val="7"/>
                <w:color w:val="auto"/>
              </w:rPr>
            </w:pPr>
          </w:p>
        </w:tc>
        <w:tc>
          <w:tcPr>
            <w:tcW w:w="4860" w:type="dxa"/>
            <w:vAlign w:val="bottom"/>
            <w:tcBorders>
              <w:top w:val="single" w:sz="8" w:color="CCEEFF"/>
            </w:tcBorders>
            <w:gridSpan w:val="3"/>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53225" cy="133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53225" cy="133350"/>
                    </a:xfrm>
                    <a:prstGeom prst="rect">
                      <a:avLst/>
                    </a:prstGeom>
                    <a:noFill/>
                  </pic:spPr>
                </pic:pic>
              </a:graphicData>
            </a:graphic>
          </wp:anchor>
        </w:drawing>
      </w:r>
    </w:p>
    <w:p>
      <w:pPr>
        <w:ind w:left="1250" w:right="180" w:hanging="1242"/>
        <w:spacing w:after="0" w:line="245" w:lineRule="auto"/>
        <w:tabs>
          <w:tab w:leader="none" w:pos="1250" w:val="left"/>
        </w:tabs>
        <w:numPr>
          <w:ilvl w:val="0"/>
          <w:numId w:val="11"/>
        </w:numPr>
        <w:rPr>
          <w:rFonts w:ascii="Arial" w:cs="Arial" w:eastAsia="Arial" w:hAnsi="Arial"/>
          <w:sz w:val="9"/>
          <w:szCs w:val="9"/>
          <w:color w:val="auto"/>
        </w:rPr>
      </w:pPr>
      <w:r>
        <w:rPr>
          <w:rFonts w:ascii="Arial" w:cs="Arial" w:eastAsia="Arial" w:hAnsi="Arial"/>
          <w:sz w:val="9"/>
          <w:szCs w:val="9"/>
          <w:color w:val="auto"/>
        </w:rPr>
        <w:t>The following material from our Company’s Quarterly Report on Form 10-Q for the quarter ended September 30, 2023, formatted in iXBRL (Inline Extensible Business Reporting Language): (i) Consolidated Balance Sheets, (ii) Consolidated Statements of Income, (iii) Consolidated Statements of Comprehensive Income, (iv) Consolidated Statements of Cash Flows, and (v) the Notes to the Consolidated Financial Statements.</w:t>
      </w:r>
    </w:p>
    <w:p>
      <w:pPr>
        <w:ind w:left="1250" w:hanging="1242"/>
        <w:spacing w:after="0"/>
        <w:tabs>
          <w:tab w:leader="none" w:pos="1250" w:val="left"/>
        </w:tabs>
        <w:numPr>
          <w:ilvl w:val="1"/>
          <w:numId w:val="12"/>
        </w:numPr>
        <w:rPr>
          <w:rFonts w:ascii="Arial" w:cs="Arial" w:eastAsia="Arial" w:hAnsi="Arial"/>
          <w:sz w:val="10"/>
          <w:szCs w:val="10"/>
          <w:color w:val="auto"/>
        </w:rPr>
      </w:pPr>
      <w:r>
        <w:rPr>
          <w:rFonts w:ascii="Arial" w:cs="Arial" w:eastAsia="Arial" w:hAnsi="Arial"/>
          <w:sz w:val="10"/>
          <w:szCs w:val="10"/>
          <w:color w:val="auto"/>
        </w:rPr>
        <w:t>Cover Page Interactive Data File (formatted in iXBRL and contained in Exhibit 101)</w:t>
      </w:r>
    </w:p>
    <w:p>
      <w:pPr>
        <w:spacing w:after="0" w:line="89" w:lineRule="exact"/>
        <w:rPr>
          <w:rFonts w:ascii="Arial" w:cs="Arial" w:eastAsia="Arial" w:hAnsi="Arial"/>
          <w:sz w:val="10"/>
          <w:szCs w:val="10"/>
          <w:color w:val="auto"/>
        </w:rPr>
      </w:pPr>
    </w:p>
    <w:p>
      <w:pPr>
        <w:ind w:left="10"/>
        <w:spacing w:after="0"/>
        <w:rPr>
          <w:rFonts w:ascii="Arial" w:cs="Arial" w:eastAsia="Arial" w:hAnsi="Arial"/>
          <w:sz w:val="10"/>
          <w:szCs w:val="10"/>
          <w:color w:val="auto"/>
        </w:rPr>
      </w:pPr>
      <w:r>
        <w:rPr>
          <w:rFonts w:ascii="Arial" w:cs="Arial" w:eastAsia="Arial" w:hAnsi="Arial"/>
          <w:sz w:val="10"/>
          <w:szCs w:val="10"/>
          <w:color w:val="auto"/>
        </w:rPr>
        <w:t>___________________</w:t>
      </w:r>
    </w:p>
    <w:p>
      <w:pPr>
        <w:spacing w:after="0" w:line="86" w:lineRule="exact"/>
        <w:rPr>
          <w:rFonts w:ascii="Arial" w:cs="Arial" w:eastAsia="Arial" w:hAnsi="Arial"/>
          <w:sz w:val="10"/>
          <w:szCs w:val="10"/>
          <w:color w:val="auto"/>
        </w:rPr>
      </w:pPr>
    </w:p>
    <w:p>
      <w:pPr>
        <w:ind w:left="10"/>
        <w:spacing w:after="0"/>
        <w:rPr>
          <w:rFonts w:ascii="Arial" w:cs="Arial" w:eastAsia="Arial" w:hAnsi="Arial"/>
          <w:sz w:val="10"/>
          <w:szCs w:val="10"/>
          <w:color w:val="auto"/>
        </w:rPr>
      </w:pPr>
      <w:r>
        <w:rPr>
          <w:rFonts w:ascii="Arial" w:cs="Arial" w:eastAsia="Arial" w:hAnsi="Arial"/>
          <w:sz w:val="9"/>
          <w:szCs w:val="9"/>
          <w:color w:val="auto"/>
        </w:rPr>
        <w:t>*  Filed herewith</w:t>
      </w:r>
    </w:p>
    <w:p>
      <w:pPr>
        <w:spacing w:after="0" w:line="76" w:lineRule="exact"/>
        <w:rPr>
          <w:rFonts w:ascii="Arial" w:cs="Arial" w:eastAsia="Arial" w:hAnsi="Arial"/>
          <w:sz w:val="10"/>
          <w:szCs w:val="10"/>
          <w:color w:val="auto"/>
        </w:rPr>
      </w:pPr>
    </w:p>
    <w:p>
      <w:pPr>
        <w:ind w:left="90" w:hanging="90"/>
        <w:spacing w:after="0"/>
        <w:tabs>
          <w:tab w:leader="none" w:pos="90" w:val="left"/>
        </w:tabs>
        <w:numPr>
          <w:ilvl w:val="0"/>
          <w:numId w:val="13"/>
        </w:numPr>
        <w:rPr>
          <w:rFonts w:ascii="Arial" w:cs="Arial" w:eastAsia="Arial" w:hAnsi="Arial"/>
          <w:sz w:val="9"/>
          <w:szCs w:val="9"/>
          <w:color w:val="auto"/>
        </w:rPr>
      </w:pPr>
      <w:r>
        <w:rPr>
          <w:rFonts w:ascii="Arial" w:cs="Arial" w:eastAsia="Arial" w:hAnsi="Arial"/>
          <w:sz w:val="9"/>
          <w:szCs w:val="9"/>
          <w:color w:val="auto"/>
        </w:rPr>
        <w:t>Furnished herewith</w:t>
      </w:r>
    </w:p>
    <w:p>
      <w:pPr>
        <w:spacing w:after="0" w:line="205" w:lineRule="exact"/>
        <w:rPr>
          <w:sz w:val="20"/>
          <w:szCs w:val="20"/>
          <w:color w:val="auto"/>
        </w:rPr>
      </w:pPr>
    </w:p>
    <w:p>
      <w:pPr>
        <w:jc w:val="center"/>
        <w:ind w:right="-9"/>
        <w:spacing w:after="0"/>
        <w:rPr>
          <w:sz w:val="20"/>
          <w:szCs w:val="20"/>
          <w:color w:val="auto"/>
        </w:rPr>
      </w:pPr>
      <w:r>
        <w:rPr>
          <w:rFonts w:ascii="Arial" w:cs="Arial" w:eastAsia="Arial" w:hAnsi="Arial"/>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97790</wp:posOffset>
            </wp:positionV>
            <wp:extent cx="677862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552" w:right="640" w:bottom="1440" w:gutter="0" w:footer="0" w:header="0"/>
        </w:sectPr>
      </w:pPr>
    </w:p>
    <w:bookmarkStart w:id="48" w:name="page49"/>
    <w:bookmarkEnd w:id="48"/>
    <w:p>
      <w:pPr>
        <w:ind w:left="4980"/>
        <w:spacing w:after="0"/>
        <w:rPr>
          <w:sz w:val="20"/>
          <w:szCs w:val="20"/>
          <w:color w:val="auto"/>
        </w:rPr>
      </w:pPr>
      <w:r>
        <w:rPr>
          <w:rFonts w:ascii="Arial" w:cs="Arial" w:eastAsia="Arial" w:hAnsi="Arial"/>
          <w:sz w:val="10"/>
          <w:szCs w:val="10"/>
          <w:b w:val="1"/>
          <w:bCs w:val="1"/>
          <w:u w:val="single" w:color="auto"/>
          <w:color w:val="auto"/>
        </w:rPr>
        <w:t>SIGNATURES</w:t>
      </w:r>
    </w:p>
    <w:p>
      <w:pPr>
        <w:spacing w:after="0" w:line="101" w:lineRule="exact"/>
        <w:rPr>
          <w:sz w:val="20"/>
          <w:szCs w:val="20"/>
          <w:color w:val="auto"/>
        </w:rPr>
      </w:pPr>
    </w:p>
    <w:p>
      <w:pPr>
        <w:spacing w:after="0"/>
        <w:rPr>
          <w:sz w:val="20"/>
          <w:szCs w:val="20"/>
          <w:color w:val="auto"/>
        </w:rPr>
      </w:pPr>
      <w:r>
        <w:rPr>
          <w:rFonts w:ascii="Arial" w:cs="Arial" w:eastAsia="Arial" w:hAnsi="Arial"/>
          <w:sz w:val="9"/>
          <w:szCs w:val="9"/>
          <w:color w:val="auto"/>
        </w:rPr>
        <w:t>Pursuant to the requirements of the Securities Exchange Act of 1934, the Registrant has duly caused this report to be signed on its behalf by the undersigned thereunto duly authorized.</w:t>
      </w:r>
    </w:p>
    <w:p>
      <w:pPr>
        <w:spacing w:after="0" w:line="101" w:lineRule="exact"/>
        <w:rPr>
          <w:sz w:val="20"/>
          <w:szCs w:val="20"/>
          <w:color w:val="auto"/>
        </w:rPr>
      </w:pPr>
    </w:p>
    <w:p>
      <w:pPr>
        <w:ind w:left="4540"/>
        <w:spacing w:after="0"/>
        <w:rPr>
          <w:sz w:val="20"/>
          <w:szCs w:val="20"/>
          <w:color w:val="auto"/>
        </w:rPr>
      </w:pPr>
      <w:r>
        <w:rPr>
          <w:rFonts w:ascii="Arial" w:cs="Arial" w:eastAsia="Arial" w:hAnsi="Arial"/>
          <w:sz w:val="10"/>
          <w:szCs w:val="10"/>
          <w:b w:val="1"/>
          <w:bCs w:val="1"/>
          <w:u w:val="single" w:color="auto"/>
          <w:color w:val="auto"/>
        </w:rPr>
        <w:t>READING INTERNATIONAL, INC.</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Date: November 14, 2023</w:t>
      </w:r>
    </w:p>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By: </w:t>
      </w:r>
      <w:r>
        <w:rPr>
          <w:rFonts w:ascii="Arial" w:cs="Arial" w:eastAsia="Arial" w:hAnsi="Arial"/>
          <w:sz w:val="10"/>
          <w:szCs w:val="10"/>
          <w:u w:val="single" w:color="auto"/>
          <w:color w:val="auto"/>
        </w:rPr>
        <w:t>/s/ Ellen M. Cotter</w:t>
      </w:r>
    </w:p>
    <w:p>
      <w:pPr>
        <w:spacing w:after="0" w:line="219" w:lineRule="auto"/>
        <w:rPr>
          <w:sz w:val="20"/>
          <w:szCs w:val="20"/>
          <w:color w:val="auto"/>
        </w:rPr>
      </w:pPr>
      <w:r>
        <w:rPr>
          <w:rFonts w:ascii="Arial" w:cs="Arial" w:eastAsia="Arial" w:hAnsi="Arial"/>
          <w:sz w:val="10"/>
          <w:szCs w:val="10"/>
          <w:color w:val="auto"/>
        </w:rPr>
        <w:t>Ellen M. Cotter</w:t>
      </w:r>
    </w:p>
    <w:p>
      <w:pPr>
        <w:spacing w:after="0"/>
        <w:rPr>
          <w:sz w:val="20"/>
          <w:szCs w:val="20"/>
          <w:color w:val="auto"/>
        </w:rPr>
      </w:pPr>
      <w:r>
        <w:rPr>
          <w:rFonts w:ascii="Arial" w:cs="Arial" w:eastAsia="Arial" w:hAnsi="Arial"/>
          <w:sz w:val="10"/>
          <w:szCs w:val="10"/>
          <w:color w:val="auto"/>
        </w:rPr>
        <w:t>President and Chief Executive Officer</w:t>
      </w:r>
    </w:p>
    <w:p>
      <w:pPr>
        <w:spacing w:after="0" w:line="89" w:lineRule="exact"/>
        <w:rPr>
          <w:sz w:val="20"/>
          <w:szCs w:val="20"/>
          <w:color w:val="auto"/>
        </w:rPr>
      </w:pPr>
    </w:p>
    <w:p>
      <w:pPr>
        <w:spacing w:after="0"/>
        <w:rPr>
          <w:sz w:val="20"/>
          <w:szCs w:val="20"/>
          <w:color w:val="auto"/>
        </w:rPr>
      </w:pPr>
      <w:r>
        <w:rPr>
          <w:rFonts w:ascii="Arial" w:cs="Arial" w:eastAsia="Arial" w:hAnsi="Arial"/>
          <w:sz w:val="10"/>
          <w:szCs w:val="10"/>
          <w:color w:val="auto"/>
        </w:rPr>
        <w:t>Date: November 14, 2023</w:t>
      </w:r>
    </w:p>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By: </w:t>
      </w:r>
      <w:r>
        <w:rPr>
          <w:rFonts w:ascii="Arial" w:cs="Arial" w:eastAsia="Arial" w:hAnsi="Arial"/>
          <w:sz w:val="10"/>
          <w:szCs w:val="10"/>
          <w:u w:val="single" w:color="auto"/>
          <w:color w:val="auto"/>
        </w:rPr>
        <w:t>/s/ Gilbert Avanes</w:t>
      </w:r>
    </w:p>
    <w:p>
      <w:pPr>
        <w:spacing w:after="0" w:line="219" w:lineRule="auto"/>
        <w:rPr>
          <w:sz w:val="20"/>
          <w:szCs w:val="20"/>
          <w:color w:val="auto"/>
        </w:rPr>
      </w:pPr>
      <w:r>
        <w:rPr>
          <w:rFonts w:ascii="Arial" w:cs="Arial" w:eastAsia="Arial" w:hAnsi="Arial"/>
          <w:sz w:val="10"/>
          <w:szCs w:val="10"/>
          <w:color w:val="auto"/>
        </w:rPr>
        <w:t>Gilbert Avanes</w:t>
      </w:r>
    </w:p>
    <w:p>
      <w:pPr>
        <w:spacing w:after="0"/>
        <w:rPr>
          <w:sz w:val="20"/>
          <w:szCs w:val="20"/>
          <w:color w:val="auto"/>
        </w:rPr>
      </w:pPr>
      <w:r>
        <w:rPr>
          <w:rFonts w:ascii="Arial" w:cs="Arial" w:eastAsia="Arial" w:hAnsi="Arial"/>
          <w:sz w:val="10"/>
          <w:szCs w:val="10"/>
          <w:color w:val="auto"/>
        </w:rPr>
        <w:t>Executive Vice President, Chief Financial Officer and Treasurer</w:t>
      </w:r>
    </w:p>
    <w:p>
      <w:pPr>
        <w:spacing w:after="0" w:line="299" w:lineRule="exact"/>
        <w:rPr>
          <w:sz w:val="20"/>
          <w:szCs w:val="20"/>
          <w:color w:val="auto"/>
        </w:rPr>
      </w:pPr>
    </w:p>
    <w:p>
      <w:pPr>
        <w:ind w:left="5260"/>
        <w:spacing w:after="0"/>
        <w:rPr>
          <w:sz w:val="20"/>
          <w:szCs w:val="20"/>
          <w:color w:val="auto"/>
        </w:rPr>
      </w:pPr>
      <w:r>
        <w:rPr>
          <w:rFonts w:ascii="Arial" w:cs="Arial" w:eastAsia="Arial" w:hAnsi="Arial"/>
          <w:sz w:val="10"/>
          <w:szCs w:val="10"/>
          <w:color w:val="auto"/>
        </w:rPr>
        <w:t>49</w:t>
      </w:r>
    </w:p>
    <w:p>
      <w:pPr>
        <w:sectPr>
          <w:pgSz w:w="11900" w:h="16840" w:orient="portrait"/>
          <w:cols w:equalWidth="0" w:num="1">
            <w:col w:w="9820"/>
          </w:cols>
          <w:pgMar w:left="640" w:top="664" w:right="1440" w:bottom="1440" w:gutter="0" w:footer="0" w:header="0"/>
        </w:sectPr>
      </w:pPr>
    </w:p>
    <w:bookmarkStart w:id="49" w:name="page50"/>
    <w:bookmarkEnd w:id="49"/>
    <w:p>
      <w:pPr>
        <w:jc w:val="right"/>
        <w:ind w:right="2400"/>
        <w:spacing w:after="0"/>
        <w:rPr>
          <w:sz w:val="20"/>
          <w:szCs w:val="20"/>
          <w:color w:val="auto"/>
        </w:rPr>
      </w:pPr>
      <w:r>
        <w:rPr>
          <w:rFonts w:ascii="Arial" w:cs="Arial" w:eastAsia="Arial" w:hAnsi="Arial"/>
          <w:sz w:val="8"/>
          <w:szCs w:val="8"/>
          <w:color w:val="auto"/>
        </w:rPr>
        <w:t>567 Collins Street, Melbourne VIC 3000,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-53975</wp:posOffset>
            </wp:positionV>
            <wp:extent cx="581025" cy="3289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1025" cy="328930"/>
                    </a:xfrm>
                    <a:prstGeom prst="rect">
                      <a:avLst/>
                    </a:prstGeom>
                    <a:noFill/>
                  </pic:spPr>
                </pic:pic>
              </a:graphicData>
            </a:graphic>
          </wp:anchor>
        </w:drawing>
      </w:r>
    </w:p>
    <w:p>
      <w:pPr>
        <w:jc w:val="right"/>
        <w:ind w:right="2380"/>
        <w:spacing w:after="0"/>
        <w:rPr>
          <w:sz w:val="20"/>
          <w:szCs w:val="20"/>
          <w:color w:val="auto"/>
        </w:rPr>
      </w:pPr>
      <w:r>
        <w:rPr>
          <w:rFonts w:ascii="Arial" w:cs="Arial" w:eastAsia="Arial" w:hAnsi="Arial"/>
          <w:sz w:val="8"/>
          <w:szCs w:val="8"/>
          <w:color w:val="auto"/>
        </w:rPr>
        <w:t>GPO Box 9925, Melbourne VIC 3001, Australia</w:t>
      </w:r>
    </w:p>
    <w:p>
      <w:pPr>
        <w:spacing w:after="0" w:line="6" w:lineRule="exact"/>
        <w:rPr>
          <w:sz w:val="20"/>
          <w:szCs w:val="20"/>
          <w:color w:val="auto"/>
        </w:rPr>
      </w:pPr>
    </w:p>
    <w:p>
      <w:pPr>
        <w:jc w:val="right"/>
        <w:ind w:right="2380"/>
        <w:spacing w:after="0"/>
        <w:rPr>
          <w:sz w:val="20"/>
          <w:szCs w:val="20"/>
          <w:color w:val="auto"/>
        </w:rPr>
      </w:pPr>
      <w:r>
        <w:rPr>
          <w:rFonts w:ascii="Arial" w:cs="Arial" w:eastAsia="Arial" w:hAnsi="Arial"/>
          <w:sz w:val="8"/>
          <w:szCs w:val="8"/>
          <w:color w:val="auto"/>
        </w:rPr>
        <w:t>Tel +61 3 9672 3000</w:t>
      </w:r>
    </w:p>
    <w:p>
      <w:pPr>
        <w:spacing w:after="0" w:line="6" w:lineRule="exact"/>
        <w:rPr>
          <w:sz w:val="20"/>
          <w:szCs w:val="20"/>
          <w:color w:val="auto"/>
        </w:rPr>
      </w:pPr>
    </w:p>
    <w:p>
      <w:pPr>
        <w:jc w:val="right"/>
        <w:ind w:right="2380"/>
        <w:spacing w:after="0"/>
        <w:rPr>
          <w:sz w:val="20"/>
          <w:szCs w:val="20"/>
          <w:color w:val="auto"/>
        </w:rPr>
      </w:pPr>
      <w:r>
        <w:rPr>
          <w:rFonts w:ascii="Arial" w:cs="Arial" w:eastAsia="Arial" w:hAnsi="Arial"/>
          <w:sz w:val="8"/>
          <w:szCs w:val="8"/>
          <w:color w:val="auto"/>
        </w:rPr>
        <w:t>Fax +61 3 9672 3010</w:t>
      </w:r>
    </w:p>
    <w:p>
      <w:pPr>
        <w:spacing w:after="0" w:line="6" w:lineRule="exact"/>
        <w:rPr>
          <w:sz w:val="20"/>
          <w:szCs w:val="20"/>
          <w:color w:val="auto"/>
        </w:rPr>
      </w:pPr>
    </w:p>
    <w:p>
      <w:pPr>
        <w:jc w:val="right"/>
        <w:ind w:right="2380"/>
        <w:spacing w:after="0"/>
        <w:rPr>
          <w:sz w:val="20"/>
          <w:szCs w:val="20"/>
          <w:color w:val="auto"/>
        </w:rPr>
      </w:pPr>
      <w:r>
        <w:rPr>
          <w:rFonts w:ascii="Arial" w:cs="Arial" w:eastAsia="Arial" w:hAnsi="Arial"/>
          <w:sz w:val="8"/>
          <w:szCs w:val="8"/>
          <w:b w:val="1"/>
          <w:bCs w:val="1"/>
          <w:color w:val="auto"/>
        </w:rPr>
        <w:t>www.corrs.com.au</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8"/>
          <w:szCs w:val="8"/>
          <w:color w:val="808080"/>
        </w:rPr>
        <w:t>Sydney</w:t>
      </w:r>
    </w:p>
    <w:p>
      <w:pPr>
        <w:jc w:val="right"/>
        <w:spacing w:after="0" w:line="215" w:lineRule="auto"/>
        <w:rPr>
          <w:sz w:val="20"/>
          <w:szCs w:val="20"/>
          <w:color w:val="auto"/>
        </w:rPr>
      </w:pPr>
      <w:r>
        <w:rPr>
          <w:rFonts w:ascii="Arial" w:cs="Arial" w:eastAsia="Arial" w:hAnsi="Arial"/>
          <w:sz w:val="8"/>
          <w:szCs w:val="8"/>
          <w:color w:val="808080"/>
        </w:rPr>
        <w:t>Melbourne</w:t>
      </w:r>
    </w:p>
    <w:p>
      <w:pPr>
        <w:jc w:val="right"/>
        <w:spacing w:after="0" w:line="215" w:lineRule="auto"/>
        <w:rPr>
          <w:sz w:val="20"/>
          <w:szCs w:val="20"/>
          <w:color w:val="auto"/>
        </w:rPr>
      </w:pPr>
      <w:r>
        <w:rPr>
          <w:rFonts w:ascii="Arial" w:cs="Arial" w:eastAsia="Arial" w:hAnsi="Arial"/>
          <w:sz w:val="8"/>
          <w:szCs w:val="8"/>
          <w:color w:val="808080"/>
        </w:rPr>
        <w:t>Brisbane</w:t>
      </w:r>
    </w:p>
    <w:p>
      <w:pPr>
        <w:jc w:val="right"/>
        <w:spacing w:after="0" w:line="215" w:lineRule="auto"/>
        <w:rPr>
          <w:sz w:val="20"/>
          <w:szCs w:val="20"/>
          <w:color w:val="auto"/>
        </w:rPr>
      </w:pPr>
      <w:r>
        <w:rPr>
          <w:rFonts w:ascii="Arial" w:cs="Arial" w:eastAsia="Arial" w:hAnsi="Arial"/>
          <w:sz w:val="8"/>
          <w:szCs w:val="8"/>
          <w:color w:val="808080"/>
        </w:rPr>
        <w:t>Perth</w:t>
      </w:r>
    </w:p>
    <w:p>
      <w:pPr>
        <w:jc w:val="right"/>
        <w:spacing w:after="0"/>
        <w:rPr>
          <w:sz w:val="20"/>
          <w:szCs w:val="20"/>
          <w:color w:val="auto"/>
        </w:rPr>
      </w:pPr>
      <w:r>
        <w:rPr>
          <w:rFonts w:ascii="Arial" w:cs="Arial" w:eastAsia="Arial" w:hAnsi="Arial"/>
          <w:sz w:val="8"/>
          <w:szCs w:val="8"/>
          <w:color w:val="808080"/>
        </w:rPr>
        <w:t>Port Moresby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National Australia Bank Limited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Reading Entertainment Australia Pty Ltd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Each Guarantor</w:t>
      </w:r>
    </w:p>
    <w:p>
      <w:pPr>
        <w:spacing w:after="0" w:line="200" w:lineRule="exact"/>
        <w:rPr>
          <w:sz w:val="20"/>
          <w:szCs w:val="20"/>
          <w:color w:val="auto"/>
        </w:rPr>
      </w:pPr>
    </w:p>
    <w:p>
      <w:pPr>
        <w:spacing w:after="0" w:line="355" w:lineRule="exact"/>
        <w:rPr>
          <w:sz w:val="20"/>
          <w:szCs w:val="20"/>
          <w:color w:val="auto"/>
        </w:rPr>
      </w:pPr>
    </w:p>
    <w:p>
      <w:pPr>
        <w:ind w:left="320"/>
        <w:spacing w:after="0"/>
        <w:rPr>
          <w:sz w:val="20"/>
          <w:szCs w:val="20"/>
          <w:color w:val="auto"/>
        </w:rPr>
      </w:pPr>
      <w:r>
        <w:rPr>
          <w:rFonts w:ascii="Arial" w:cs="Arial" w:eastAsia="Arial" w:hAnsi="Arial"/>
          <w:sz w:val="40"/>
          <w:szCs w:val="40"/>
          <w:color w:val="12395C"/>
        </w:rPr>
        <w:t>Amendment Deed</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2"/>
          <w:szCs w:val="12"/>
          <w:color w:val="808080"/>
        </w:rPr>
        <w:t>Corporate Markets Loan &amp; Bank Guarantee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Arial" w:cs="Arial" w:eastAsia="Arial" w:hAnsi="Arial"/>
          <w:sz w:val="6"/>
          <w:szCs w:val="6"/>
          <w:color w:val="auto"/>
        </w:rPr>
        <w:t>Ref: BMH/OSM 9143151 3449-8791-0181v3</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6"/>
          <w:szCs w:val="6"/>
          <w:color w:val="auto"/>
        </w:rPr>
        <w:t>© Corrs Chambers Westgarth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151765</wp:posOffset>
            </wp:positionV>
            <wp:extent cx="585470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54700" cy="40005"/>
                    </a:xfrm>
                    <a:prstGeom prst="rect">
                      <a:avLst/>
                    </a:prstGeom>
                    <a:noFill/>
                  </pic:spPr>
                </pic:pic>
              </a:graphicData>
            </a:graphic>
          </wp:anchor>
        </w:drawing>
      </w:r>
    </w:p>
    <w:p>
      <w:pPr>
        <w:sectPr>
          <w:pgSz w:w="11900" w:h="16840" w:orient="portrait"/>
          <w:cols w:equalWidth="0" w:num="1">
            <w:col w:w="9140"/>
          </w:cols>
          <w:pgMar w:left="1440" w:top="699" w:right="1320" w:bottom="1440" w:gutter="0" w:footer="0" w:header="0"/>
        </w:sectPr>
      </w:pPr>
    </w:p>
    <w:bookmarkStart w:id="50" w:name="page51"/>
    <w:bookmarkEnd w:id="50"/>
    <w:p>
      <w:pPr>
        <w:ind w:left="40"/>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6"/>
          </w:tcPr>
          <w:p>
            <w:pPr>
              <w:ind w:left="200"/>
              <w:spacing w:after="0"/>
              <w:rPr>
                <w:sz w:val="20"/>
                <w:szCs w:val="20"/>
                <w:color w:val="auto"/>
              </w:rPr>
            </w:pPr>
            <w:r>
              <w:rPr>
                <w:rFonts w:ascii="Arial" w:cs="Arial" w:eastAsia="Arial" w:hAnsi="Arial"/>
                <w:sz w:val="16"/>
                <w:szCs w:val="16"/>
                <w:color w:val="auto"/>
              </w:rPr>
              <w:t>Contents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gridSpan w:val="3"/>
          </w:tcPr>
          <w:p>
            <w:pPr>
              <w:spacing w:after="0"/>
              <w:rPr>
                <w:rFonts w:ascii="Arial" w:cs="Arial" w:eastAsia="Arial" w:hAnsi="Arial"/>
                <w:sz w:val="11"/>
                <w:szCs w:val="11"/>
                <w:color w:val="0000EE"/>
              </w:rPr>
            </w:pPr>
            <w:hyperlink w:anchor="page52">
              <w:r>
                <w:rPr>
                  <w:rFonts w:ascii="Arial" w:cs="Arial" w:eastAsia="Arial" w:hAnsi="Arial"/>
                  <w:sz w:val="11"/>
                  <w:szCs w:val="11"/>
                  <w:color w:val="0000EE"/>
                </w:rPr>
                <w:t>1</w:t>
              </w:r>
              <w:r>
                <w:rPr>
                  <w:rFonts w:ascii="Arial" w:cs="Arial" w:eastAsia="Arial" w:hAnsi="Arial"/>
                  <w:sz w:val="9"/>
                  <w:szCs w:val="9"/>
                  <w:color w:val="000000"/>
                </w:rPr>
                <w:t>​</w:t>
              </w:r>
            </w:hyperlink>
          </w:p>
        </w:tc>
        <w:tc>
          <w:tcPr>
            <w:tcW w:w="240" w:type="dxa"/>
            <w:vAlign w:val="bottom"/>
          </w:tcPr>
          <w:p>
            <w:pPr>
              <w:spacing w:after="0"/>
              <w:rPr>
                <w:sz w:val="12"/>
                <w:szCs w:val="12"/>
                <w:color w:val="auto"/>
              </w:rPr>
            </w:pPr>
          </w:p>
        </w:tc>
        <w:tc>
          <w:tcPr>
            <w:tcW w:w="520" w:type="dxa"/>
            <w:vAlign w:val="bottom"/>
            <w:gridSpan w:val="3"/>
          </w:tcPr>
          <w:p>
            <w:pPr>
              <w:spacing w:after="0"/>
              <w:rPr>
                <w:rFonts w:ascii="Arial" w:cs="Arial" w:eastAsia="Arial" w:hAnsi="Arial"/>
                <w:sz w:val="11"/>
                <w:szCs w:val="11"/>
                <w:color w:val="0000EE"/>
                <w:w w:val="97"/>
              </w:rPr>
            </w:pPr>
            <w:hyperlink w:anchor="page52">
              <w:r>
                <w:rPr>
                  <w:rFonts w:ascii="Arial" w:cs="Arial" w:eastAsia="Arial" w:hAnsi="Arial"/>
                  <w:sz w:val="11"/>
                  <w:szCs w:val="11"/>
                  <w:color w:val="0000EE"/>
                  <w:w w:val="97"/>
                </w:rPr>
                <w:t>Definitions</w:t>
              </w:r>
            </w:hyperlink>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240" w:type="dxa"/>
            <w:vAlign w:val="bottom"/>
            <w:vMerge w:val="restart"/>
          </w:tcPr>
          <w:p>
            <w:pPr>
              <w:ind w:left="25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40"/>
        </w:trPr>
        <w:tc>
          <w:tcPr>
            <w:tcW w:w="60" w:type="dxa"/>
            <w:vAlign w:val="bottom"/>
            <w:tcBorders>
              <w:top w:val="single" w:sz="8" w:color="0000EE"/>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00" w:type="dxa"/>
            <w:vAlign w:val="bottom"/>
            <w:gridSpan w:val="3"/>
          </w:tcPr>
          <w:p>
            <w:pPr>
              <w:spacing w:after="0"/>
              <w:rPr>
                <w:rFonts w:ascii="Arial" w:cs="Arial" w:eastAsia="Arial" w:hAnsi="Arial"/>
                <w:sz w:val="11"/>
                <w:szCs w:val="11"/>
                <w:color w:val="0000EE"/>
              </w:rPr>
            </w:pPr>
            <w:hyperlink w:anchor="page52">
              <w:r>
                <w:rPr>
                  <w:rFonts w:ascii="Arial" w:cs="Arial" w:eastAsia="Arial" w:hAnsi="Arial"/>
                  <w:sz w:val="11"/>
                  <w:szCs w:val="11"/>
                  <w:color w:val="0000EE"/>
                </w:rPr>
                <w:t>2</w:t>
              </w:r>
              <w:r>
                <w:rPr>
                  <w:rFonts w:ascii="Arial" w:cs="Arial" w:eastAsia="Arial" w:hAnsi="Arial"/>
                  <w:sz w:val="9"/>
                  <w:szCs w:val="9"/>
                  <w:color w:val="000000"/>
                </w:rPr>
                <w:t>​</w:t>
              </w:r>
            </w:hyperlink>
          </w:p>
        </w:tc>
        <w:tc>
          <w:tcPr>
            <w:tcW w:w="240" w:type="dxa"/>
            <w:vAlign w:val="bottom"/>
          </w:tcPr>
          <w:p>
            <w:pPr>
              <w:spacing w:after="0"/>
              <w:rPr>
                <w:sz w:val="12"/>
                <w:szCs w:val="12"/>
                <w:color w:val="auto"/>
              </w:rPr>
            </w:pPr>
          </w:p>
        </w:tc>
        <w:tc>
          <w:tcPr>
            <w:tcW w:w="5180" w:type="dxa"/>
            <w:vAlign w:val="bottom"/>
            <w:gridSpan w:val="23"/>
          </w:tcPr>
          <w:p>
            <w:pPr>
              <w:spacing w:after="0"/>
              <w:rPr>
                <w:rFonts w:ascii="Arial" w:cs="Arial" w:eastAsia="Arial" w:hAnsi="Arial"/>
                <w:sz w:val="11"/>
                <w:szCs w:val="11"/>
                <w:color w:val="0000EE"/>
              </w:rPr>
            </w:pPr>
            <w:hyperlink w:anchor="page52">
              <w:r>
                <w:rPr>
                  <w:rFonts w:ascii="Arial" w:cs="Arial" w:eastAsia="Arial" w:hAnsi="Arial"/>
                  <w:sz w:val="11"/>
                  <w:szCs w:val="11"/>
                  <w:color w:val="0000EE"/>
                </w:rPr>
                <w:t>Consideration</w:t>
              </w:r>
            </w:hyperlink>
          </w:p>
        </w:tc>
        <w:tc>
          <w:tcPr>
            <w:tcW w:w="3240" w:type="dxa"/>
            <w:vAlign w:val="bottom"/>
            <w:vMerge w:val="restart"/>
          </w:tcPr>
          <w:p>
            <w:pPr>
              <w:ind w:left="25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40"/>
        </w:trPr>
        <w:tc>
          <w:tcPr>
            <w:tcW w:w="60" w:type="dxa"/>
            <w:vAlign w:val="bottom"/>
            <w:tcBorders>
              <w:top w:val="single" w:sz="8" w:color="0000EE"/>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00" w:type="dxa"/>
            <w:vAlign w:val="bottom"/>
            <w:gridSpan w:val="3"/>
          </w:tcPr>
          <w:p>
            <w:pPr>
              <w:spacing w:after="0"/>
              <w:rPr>
                <w:rFonts w:ascii="Arial" w:cs="Arial" w:eastAsia="Arial" w:hAnsi="Arial"/>
                <w:sz w:val="11"/>
                <w:szCs w:val="11"/>
                <w:color w:val="0000EE"/>
              </w:rPr>
            </w:pPr>
            <w:hyperlink w:anchor="page53">
              <w:r>
                <w:rPr>
                  <w:rFonts w:ascii="Arial" w:cs="Arial" w:eastAsia="Arial" w:hAnsi="Arial"/>
                  <w:sz w:val="11"/>
                  <w:szCs w:val="11"/>
                  <w:color w:val="0000EE"/>
                </w:rPr>
                <w:t>3</w:t>
              </w:r>
              <w:r>
                <w:rPr>
                  <w:rFonts w:ascii="Arial" w:cs="Arial" w:eastAsia="Arial" w:hAnsi="Arial"/>
                  <w:sz w:val="9"/>
                  <w:szCs w:val="9"/>
                  <w:color w:val="000000"/>
                </w:rPr>
                <w:t>​</w:t>
              </w:r>
            </w:hyperlink>
          </w:p>
        </w:tc>
        <w:tc>
          <w:tcPr>
            <w:tcW w:w="240" w:type="dxa"/>
            <w:vAlign w:val="bottom"/>
          </w:tcPr>
          <w:p>
            <w:pPr>
              <w:spacing w:after="0"/>
              <w:rPr>
                <w:sz w:val="12"/>
                <w:szCs w:val="12"/>
                <w:color w:val="auto"/>
              </w:rPr>
            </w:pPr>
          </w:p>
        </w:tc>
        <w:tc>
          <w:tcPr>
            <w:tcW w:w="5180" w:type="dxa"/>
            <w:vAlign w:val="bottom"/>
            <w:gridSpan w:val="23"/>
          </w:tcPr>
          <w:p>
            <w:pPr>
              <w:spacing w:after="0"/>
              <w:rPr>
                <w:rFonts w:ascii="Arial" w:cs="Arial" w:eastAsia="Arial" w:hAnsi="Arial"/>
                <w:sz w:val="11"/>
                <w:szCs w:val="11"/>
                <w:color w:val="0000EE"/>
              </w:rPr>
            </w:pPr>
            <w:hyperlink w:anchor="page53">
              <w:r>
                <w:rPr>
                  <w:rFonts w:ascii="Arial" w:cs="Arial" w:eastAsia="Arial" w:hAnsi="Arial"/>
                  <w:sz w:val="11"/>
                  <w:szCs w:val="11"/>
                  <w:color w:val="0000EE"/>
                </w:rPr>
                <w:t>Conditions precedent</w:t>
              </w:r>
            </w:hyperlink>
          </w:p>
        </w:tc>
        <w:tc>
          <w:tcPr>
            <w:tcW w:w="3240" w:type="dxa"/>
            <w:vAlign w:val="bottom"/>
            <w:vMerge w:val="restart"/>
          </w:tcPr>
          <w:p>
            <w:pPr>
              <w:ind w:left="250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40"/>
        </w:trPr>
        <w:tc>
          <w:tcPr>
            <w:tcW w:w="60" w:type="dxa"/>
            <w:vAlign w:val="bottom"/>
            <w:tcBorders>
              <w:top w:val="single" w:sz="8" w:color="0000EE"/>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0000EE"/>
            </w:tcBorders>
          </w:tcPr>
          <w:p>
            <w:pPr>
              <w:spacing w:after="0"/>
              <w:rPr>
                <w:rFonts w:ascii="Arial" w:cs="Arial" w:eastAsia="Arial" w:hAnsi="Arial"/>
                <w:sz w:val="11"/>
                <w:szCs w:val="11"/>
                <w:color w:val="0000EE"/>
                <w:w w:val="91"/>
              </w:rPr>
            </w:pPr>
            <w:hyperlink w:anchor="page53">
              <w:r>
                <w:rPr>
                  <w:rFonts w:ascii="Arial" w:cs="Arial" w:eastAsia="Arial" w:hAnsi="Arial"/>
                  <w:sz w:val="11"/>
                  <w:szCs w:val="11"/>
                  <w:color w:val="0000EE"/>
                  <w:w w:val="91"/>
                </w:rPr>
                <w:t>3.</w:t>
              </w:r>
              <w:r>
                <w:rPr>
                  <w:rFonts w:ascii="Arial" w:cs="Arial" w:eastAsia="Arial" w:hAnsi="Arial"/>
                  <w:sz w:val="11"/>
                  <w:szCs w:val="11"/>
                  <w:u w:val="single" w:color="auto"/>
                  <w:color w:val="0000EE"/>
                  <w:w w:val="91"/>
                </w:rPr>
                <w:t>1</w:t>
              </w:r>
            </w:hyperlink>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Borders>
              <w:bottom w:val="single" w:sz="8" w:color="0000EE"/>
            </w:tcBorders>
            <w:gridSpan w:val="17"/>
          </w:tcPr>
          <w:p>
            <w:pPr>
              <w:spacing w:after="0"/>
              <w:rPr>
                <w:rFonts w:ascii="Arial" w:cs="Arial" w:eastAsia="Arial" w:hAnsi="Arial"/>
                <w:sz w:val="11"/>
                <w:szCs w:val="11"/>
                <w:color w:val="0000EE"/>
              </w:rPr>
            </w:pPr>
            <w:hyperlink w:anchor="page53">
              <w:r>
                <w:rPr>
                  <w:rFonts w:ascii="Arial" w:cs="Arial" w:eastAsia="Arial" w:hAnsi="Arial"/>
                  <w:sz w:val="11"/>
                  <w:szCs w:val="11"/>
                  <w:color w:val="0000EE"/>
                </w:rPr>
                <w:t>Conditions precedent to Effective Date</w:t>
              </w:r>
            </w:hyperlink>
          </w:p>
        </w:tc>
        <w:tc>
          <w:tcPr>
            <w:tcW w:w="2660" w:type="dxa"/>
            <w:vAlign w:val="bottom"/>
            <w:gridSpan w:val="2"/>
          </w:tcPr>
          <w:p>
            <w:pPr>
              <w:spacing w:after="0"/>
              <w:rPr>
                <w:sz w:val="12"/>
                <w:szCs w:val="12"/>
                <w:color w:val="auto"/>
              </w:rPr>
            </w:pPr>
          </w:p>
        </w:tc>
        <w:tc>
          <w:tcPr>
            <w:tcW w:w="3240" w:type="dxa"/>
            <w:vAlign w:val="bottom"/>
          </w:tcPr>
          <w:p>
            <w:pPr>
              <w:ind w:left="250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rFonts w:ascii="Arial" w:cs="Arial" w:eastAsia="Arial" w:hAnsi="Arial"/>
                <w:sz w:val="11"/>
                <w:szCs w:val="11"/>
                <w:color w:val="0000EE"/>
                <w:w w:val="91"/>
              </w:rPr>
            </w:pPr>
            <w:hyperlink w:anchor="page53">
              <w:r>
                <w:rPr>
                  <w:rFonts w:ascii="Arial" w:cs="Arial" w:eastAsia="Arial" w:hAnsi="Arial"/>
                  <w:sz w:val="11"/>
                  <w:szCs w:val="11"/>
                  <w:color w:val="0000EE"/>
                  <w:w w:val="91"/>
                </w:rPr>
                <w:t>3.</w:t>
              </w:r>
              <w:r>
                <w:rPr>
                  <w:rFonts w:ascii="Arial" w:cs="Arial" w:eastAsia="Arial" w:hAnsi="Arial"/>
                  <w:sz w:val="11"/>
                  <w:szCs w:val="11"/>
                  <w:u w:val="single" w:color="auto"/>
                  <w:color w:val="0000EE"/>
                  <w:w w:val="91"/>
                </w:rPr>
                <w:t>2</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80" w:type="dxa"/>
            <w:vAlign w:val="bottom"/>
            <w:gridSpan w:val="19"/>
          </w:tcPr>
          <w:p>
            <w:pPr>
              <w:spacing w:after="0"/>
              <w:rPr>
                <w:rFonts w:ascii="Arial" w:cs="Arial" w:eastAsia="Arial" w:hAnsi="Arial"/>
                <w:sz w:val="11"/>
                <w:szCs w:val="11"/>
                <w:color w:val="0000EE"/>
              </w:rPr>
            </w:pPr>
            <w:hyperlink w:anchor="page53">
              <w:r>
                <w:rPr>
                  <w:rFonts w:ascii="Arial" w:cs="Arial" w:eastAsia="Arial" w:hAnsi="Arial"/>
                  <w:sz w:val="11"/>
                  <w:szCs w:val="11"/>
                  <w:color w:val="0000EE"/>
                </w:rPr>
                <w:t>Satisfaction of conditions precedent</w:t>
              </w:r>
            </w:hyperlink>
          </w:p>
        </w:tc>
        <w:tc>
          <w:tcPr>
            <w:tcW w:w="3240" w:type="dxa"/>
            <w:vAlign w:val="bottom"/>
          </w:tcPr>
          <w:p>
            <w:pPr>
              <w:ind w:left="250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0" w:type="dxa"/>
            <w:vAlign w:val="bottom"/>
            <w:gridSpan w:val="3"/>
          </w:tcPr>
          <w:p>
            <w:pPr>
              <w:spacing w:after="0"/>
              <w:rPr>
                <w:rFonts w:ascii="Arial" w:cs="Arial" w:eastAsia="Arial" w:hAnsi="Arial"/>
                <w:sz w:val="11"/>
                <w:szCs w:val="11"/>
                <w:color w:val="0000EE"/>
              </w:rPr>
            </w:pPr>
            <w:hyperlink w:anchor="page53">
              <w:r>
                <w:rPr>
                  <w:rFonts w:ascii="Arial" w:cs="Arial" w:eastAsia="Arial" w:hAnsi="Arial"/>
                  <w:sz w:val="11"/>
                  <w:szCs w:val="11"/>
                  <w:color w:val="0000EE"/>
                </w:rPr>
                <w:t>4</w:t>
              </w:r>
              <w:r>
                <w:rPr>
                  <w:rFonts w:ascii="Arial" w:cs="Arial" w:eastAsia="Arial" w:hAnsi="Arial"/>
                  <w:sz w:val="9"/>
                  <w:szCs w:val="9"/>
                  <w:color w:val="000000"/>
                </w:rPr>
                <w:t>​</w:t>
              </w:r>
            </w:hyperlink>
          </w:p>
        </w:tc>
        <w:tc>
          <w:tcPr>
            <w:tcW w:w="240" w:type="dxa"/>
            <w:vAlign w:val="bottom"/>
          </w:tcPr>
          <w:p>
            <w:pPr>
              <w:spacing w:after="0"/>
              <w:rPr>
                <w:sz w:val="17"/>
                <w:szCs w:val="17"/>
                <w:color w:val="auto"/>
              </w:rPr>
            </w:pPr>
          </w:p>
        </w:tc>
        <w:tc>
          <w:tcPr>
            <w:tcW w:w="5180" w:type="dxa"/>
            <w:vAlign w:val="bottom"/>
            <w:gridSpan w:val="23"/>
          </w:tcPr>
          <w:p>
            <w:pPr>
              <w:spacing w:after="0"/>
              <w:rPr>
                <w:rFonts w:ascii="Arial" w:cs="Arial" w:eastAsia="Arial" w:hAnsi="Arial"/>
                <w:sz w:val="11"/>
                <w:szCs w:val="11"/>
                <w:color w:val="0000EE"/>
              </w:rPr>
            </w:pPr>
            <w:hyperlink w:anchor="page53">
              <w:r>
                <w:rPr>
                  <w:rFonts w:ascii="Arial" w:cs="Arial" w:eastAsia="Arial" w:hAnsi="Arial"/>
                  <w:sz w:val="11"/>
                  <w:szCs w:val="11"/>
                  <w:color w:val="0000EE"/>
                </w:rPr>
                <w:t>Amendment of Facility Agreement</w:t>
              </w:r>
            </w:hyperlink>
          </w:p>
        </w:tc>
        <w:tc>
          <w:tcPr>
            <w:tcW w:w="3240" w:type="dxa"/>
            <w:vAlign w:val="bottom"/>
            <w:vMerge w:val="restart"/>
          </w:tcPr>
          <w:p>
            <w:pPr>
              <w:ind w:left="250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40"/>
        </w:trPr>
        <w:tc>
          <w:tcPr>
            <w:tcW w:w="60" w:type="dxa"/>
            <w:vAlign w:val="bottom"/>
            <w:tcBorders>
              <w:top w:val="single" w:sz="8" w:color="0000EE"/>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1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8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rFonts w:ascii="Arial" w:cs="Arial" w:eastAsia="Arial" w:hAnsi="Arial"/>
                <w:sz w:val="11"/>
                <w:szCs w:val="11"/>
                <w:color w:val="0000EE"/>
                <w:w w:val="91"/>
              </w:rPr>
            </w:pPr>
            <w:hyperlink w:anchor="page53">
              <w:r>
                <w:rPr>
                  <w:rFonts w:ascii="Arial" w:cs="Arial" w:eastAsia="Arial" w:hAnsi="Arial"/>
                  <w:sz w:val="11"/>
                  <w:szCs w:val="11"/>
                  <w:color w:val="0000EE"/>
                  <w:w w:val="91"/>
                </w:rPr>
                <w:t>4.</w:t>
              </w:r>
              <w:r>
                <w:rPr>
                  <w:rFonts w:ascii="Arial" w:cs="Arial" w:eastAsia="Arial" w:hAnsi="Arial"/>
                  <w:sz w:val="11"/>
                  <w:szCs w:val="11"/>
                  <w:u w:val="single" w:color="auto"/>
                  <w:color w:val="0000EE"/>
                  <w:w w:val="91"/>
                </w:rPr>
                <w:t>1</w:t>
              </w:r>
            </w:hyperlink>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80" w:type="dxa"/>
            <w:vAlign w:val="bottom"/>
            <w:gridSpan w:val="19"/>
          </w:tcPr>
          <w:p>
            <w:pPr>
              <w:spacing w:after="0"/>
              <w:rPr>
                <w:rFonts w:ascii="Arial" w:cs="Arial" w:eastAsia="Arial" w:hAnsi="Arial"/>
                <w:sz w:val="11"/>
                <w:szCs w:val="11"/>
                <w:color w:val="0000EE"/>
              </w:rPr>
            </w:pPr>
            <w:hyperlink w:anchor="page53">
              <w:r>
                <w:rPr>
                  <w:rFonts w:ascii="Arial" w:cs="Arial" w:eastAsia="Arial" w:hAnsi="Arial"/>
                  <w:sz w:val="11"/>
                  <w:szCs w:val="11"/>
                  <w:color w:val="0000EE"/>
                </w:rPr>
                <w:t>Amendment</w:t>
              </w:r>
            </w:hyperlink>
          </w:p>
        </w:tc>
        <w:tc>
          <w:tcPr>
            <w:tcW w:w="3240" w:type="dxa"/>
            <w:vAlign w:val="bottom"/>
          </w:tcPr>
          <w:p>
            <w:pPr>
              <w:ind w:left="250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0000EE"/>
            </w:tcBorders>
          </w:tcPr>
          <w:p>
            <w:pPr>
              <w:spacing w:after="0"/>
              <w:rPr>
                <w:rFonts w:ascii="Arial" w:cs="Arial" w:eastAsia="Arial" w:hAnsi="Arial"/>
                <w:sz w:val="11"/>
                <w:szCs w:val="11"/>
                <w:color w:val="0000EE"/>
                <w:w w:val="91"/>
              </w:rPr>
            </w:pPr>
            <w:hyperlink w:anchor="page54">
              <w:r>
                <w:rPr>
                  <w:rFonts w:ascii="Arial" w:cs="Arial" w:eastAsia="Arial" w:hAnsi="Arial"/>
                  <w:sz w:val="11"/>
                  <w:szCs w:val="11"/>
                  <w:color w:val="0000EE"/>
                  <w:w w:val="91"/>
                </w:rPr>
                <w:t>4.</w:t>
              </w:r>
              <w:r>
                <w:rPr>
                  <w:rFonts w:ascii="Arial" w:cs="Arial" w:eastAsia="Arial" w:hAnsi="Arial"/>
                  <w:sz w:val="11"/>
                  <w:szCs w:val="11"/>
                  <w:u w:val="single" w:color="auto"/>
                  <w:color w:val="0000EE"/>
                  <w:w w:val="91"/>
                </w:rPr>
                <w:t>2</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0000EE"/>
            </w:tcBorders>
            <w:gridSpan w:val="11"/>
          </w:tcPr>
          <w:p>
            <w:pPr>
              <w:spacing w:after="0"/>
              <w:rPr>
                <w:rFonts w:ascii="Arial" w:cs="Arial" w:eastAsia="Arial" w:hAnsi="Arial"/>
                <w:sz w:val="11"/>
                <w:szCs w:val="11"/>
                <w:color w:val="0000EE"/>
              </w:rPr>
            </w:pPr>
            <w:hyperlink w:anchor="page54">
              <w:r>
                <w:rPr>
                  <w:rFonts w:ascii="Arial" w:cs="Arial" w:eastAsia="Arial" w:hAnsi="Arial"/>
                  <w:sz w:val="11"/>
                  <w:szCs w:val="11"/>
                  <w:color w:val="0000EE"/>
                </w:rPr>
                <w:t>Parties bound</w:t>
              </w:r>
            </w:hyperlink>
          </w:p>
        </w:tc>
        <w:tc>
          <w:tcPr>
            <w:tcW w:w="3880" w:type="dxa"/>
            <w:vAlign w:val="bottom"/>
            <w:gridSpan w:val="8"/>
          </w:tcPr>
          <w:p>
            <w:pPr>
              <w:spacing w:after="0"/>
              <w:rPr>
                <w:sz w:val="17"/>
                <w:szCs w:val="17"/>
                <w:color w:val="auto"/>
              </w:rPr>
            </w:pPr>
          </w:p>
        </w:tc>
        <w:tc>
          <w:tcPr>
            <w:tcW w:w="3240" w:type="dxa"/>
            <w:vAlign w:val="bottom"/>
          </w:tcPr>
          <w:p>
            <w:pPr>
              <w:ind w:left="250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98"/>
        </w:trPr>
        <w:tc>
          <w:tcPr>
            <w:tcW w:w="500" w:type="dxa"/>
            <w:vAlign w:val="bottom"/>
            <w:gridSpan w:val="3"/>
          </w:tcPr>
          <w:p>
            <w:pPr>
              <w:spacing w:after="0"/>
              <w:rPr>
                <w:rFonts w:ascii="Arial" w:cs="Arial" w:eastAsia="Arial" w:hAnsi="Arial"/>
                <w:sz w:val="11"/>
                <w:szCs w:val="11"/>
                <w:color w:val="0000EE"/>
              </w:rPr>
            </w:pPr>
            <w:hyperlink w:anchor="page54">
              <w:r>
                <w:rPr>
                  <w:rFonts w:ascii="Arial" w:cs="Arial" w:eastAsia="Arial" w:hAnsi="Arial"/>
                  <w:sz w:val="11"/>
                  <w:szCs w:val="11"/>
                  <w:color w:val="0000EE"/>
                </w:rPr>
                <w:t>5</w:t>
              </w:r>
              <w:r>
                <w:rPr>
                  <w:rFonts w:ascii="Arial" w:cs="Arial" w:eastAsia="Arial" w:hAnsi="Arial"/>
                  <w:sz w:val="9"/>
                  <w:szCs w:val="9"/>
                  <w:color w:val="000000"/>
                </w:rPr>
                <w:t>​</w:t>
              </w:r>
            </w:hyperlink>
          </w:p>
        </w:tc>
        <w:tc>
          <w:tcPr>
            <w:tcW w:w="240" w:type="dxa"/>
            <w:vAlign w:val="bottom"/>
          </w:tcPr>
          <w:p>
            <w:pPr>
              <w:spacing w:after="0"/>
              <w:rPr>
                <w:sz w:val="17"/>
                <w:szCs w:val="17"/>
                <w:color w:val="auto"/>
              </w:rPr>
            </w:pPr>
          </w:p>
        </w:tc>
        <w:tc>
          <w:tcPr>
            <w:tcW w:w="5180" w:type="dxa"/>
            <w:vAlign w:val="bottom"/>
            <w:gridSpan w:val="23"/>
          </w:tcPr>
          <w:p>
            <w:pPr>
              <w:spacing w:after="0"/>
              <w:rPr>
                <w:rFonts w:ascii="Arial" w:cs="Arial" w:eastAsia="Arial" w:hAnsi="Arial"/>
                <w:sz w:val="11"/>
                <w:szCs w:val="11"/>
                <w:color w:val="0000EE"/>
              </w:rPr>
            </w:pPr>
            <w:hyperlink w:anchor="page54">
              <w:r>
                <w:rPr>
                  <w:rFonts w:ascii="Arial" w:cs="Arial" w:eastAsia="Arial" w:hAnsi="Arial"/>
                  <w:sz w:val="11"/>
                  <w:szCs w:val="11"/>
                  <w:color w:val="0000EE"/>
                </w:rPr>
                <w:t>Representations and warranties</w:t>
              </w:r>
            </w:hyperlink>
          </w:p>
        </w:tc>
        <w:tc>
          <w:tcPr>
            <w:tcW w:w="3240" w:type="dxa"/>
            <w:vAlign w:val="bottom"/>
            <w:vMerge w:val="restart"/>
          </w:tcPr>
          <w:p>
            <w:pPr>
              <w:ind w:left="250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40"/>
        </w:trPr>
        <w:tc>
          <w:tcPr>
            <w:tcW w:w="60" w:type="dxa"/>
            <w:vAlign w:val="bottom"/>
            <w:tcBorders>
              <w:top w:val="single" w:sz="8" w:color="0000EE"/>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1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80" w:type="dxa"/>
            <w:vAlign w:val="bottom"/>
            <w:tcBorders>
              <w:top w:val="single" w:sz="8" w:color="0000EE"/>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0000EE"/>
            </w:tcBorders>
          </w:tcPr>
          <w:p>
            <w:pPr>
              <w:spacing w:after="0"/>
              <w:rPr>
                <w:rFonts w:ascii="Arial" w:cs="Arial" w:eastAsia="Arial" w:hAnsi="Arial"/>
                <w:sz w:val="11"/>
                <w:szCs w:val="11"/>
                <w:color w:val="0000EE"/>
                <w:w w:val="91"/>
              </w:rPr>
            </w:pPr>
            <w:hyperlink w:anchor="page54">
              <w:r>
                <w:rPr>
                  <w:rFonts w:ascii="Arial" w:cs="Arial" w:eastAsia="Arial" w:hAnsi="Arial"/>
                  <w:sz w:val="11"/>
                  <w:szCs w:val="11"/>
                  <w:color w:val="0000EE"/>
                  <w:w w:val="91"/>
                </w:rPr>
                <w:t>5.</w:t>
              </w:r>
              <w:r>
                <w:rPr>
                  <w:rFonts w:ascii="Arial" w:cs="Arial" w:eastAsia="Arial" w:hAnsi="Arial"/>
                  <w:sz w:val="11"/>
                  <w:szCs w:val="11"/>
                  <w:u w:val="single" w:color="auto"/>
                  <w:color w:val="0000EE"/>
                  <w:w w:val="91"/>
                </w:rPr>
                <w:t>1</w:t>
              </w:r>
            </w:hyperlink>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0000EE"/>
            </w:tcBorders>
            <w:gridSpan w:val="6"/>
          </w:tcPr>
          <w:p>
            <w:pPr>
              <w:spacing w:after="0"/>
              <w:rPr>
                <w:rFonts w:ascii="Arial" w:cs="Arial" w:eastAsia="Arial" w:hAnsi="Arial"/>
                <w:sz w:val="11"/>
                <w:szCs w:val="11"/>
                <w:color w:val="0000EE"/>
                <w:w w:val="96"/>
              </w:rPr>
            </w:pPr>
            <w:hyperlink w:anchor="page54">
              <w:r>
                <w:rPr>
                  <w:rFonts w:ascii="Arial" w:cs="Arial" w:eastAsia="Arial" w:hAnsi="Arial"/>
                  <w:sz w:val="11"/>
                  <w:szCs w:val="11"/>
                  <w:color w:val="0000EE"/>
                  <w:w w:val="96"/>
                </w:rPr>
                <w:t>General</w:t>
              </w:r>
            </w:hyperlink>
          </w:p>
        </w:tc>
        <w:tc>
          <w:tcPr>
            <w:tcW w:w="4180" w:type="dxa"/>
            <w:vAlign w:val="bottom"/>
            <w:gridSpan w:val="13"/>
          </w:tcPr>
          <w:p>
            <w:pPr>
              <w:spacing w:after="0"/>
              <w:rPr>
                <w:sz w:val="12"/>
                <w:szCs w:val="12"/>
                <w:color w:val="auto"/>
              </w:rPr>
            </w:pPr>
          </w:p>
        </w:tc>
        <w:tc>
          <w:tcPr>
            <w:tcW w:w="3240" w:type="dxa"/>
            <w:vAlign w:val="bottom"/>
          </w:tcPr>
          <w:p>
            <w:pPr>
              <w:ind w:left="250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rFonts w:ascii="Arial" w:cs="Arial" w:eastAsia="Arial" w:hAnsi="Arial"/>
                <w:sz w:val="11"/>
                <w:szCs w:val="11"/>
                <w:color w:val="0000EE"/>
                <w:w w:val="91"/>
              </w:rPr>
            </w:pPr>
            <w:hyperlink w:anchor="page54">
              <w:r>
                <w:rPr>
                  <w:rFonts w:ascii="Arial" w:cs="Arial" w:eastAsia="Arial" w:hAnsi="Arial"/>
                  <w:sz w:val="11"/>
                  <w:szCs w:val="11"/>
                  <w:color w:val="0000EE"/>
                  <w:w w:val="91"/>
                </w:rPr>
                <w:t>5.</w:t>
              </w:r>
              <w:r>
                <w:rPr>
                  <w:rFonts w:ascii="Arial" w:cs="Arial" w:eastAsia="Arial" w:hAnsi="Arial"/>
                  <w:sz w:val="11"/>
                  <w:szCs w:val="11"/>
                  <w:u w:val="single" w:color="auto"/>
                  <w:color w:val="0000EE"/>
                  <w:w w:val="91"/>
                </w:rPr>
                <w:t>2</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80" w:type="dxa"/>
            <w:vAlign w:val="bottom"/>
            <w:gridSpan w:val="19"/>
          </w:tcPr>
          <w:p>
            <w:pPr>
              <w:spacing w:after="0"/>
              <w:rPr>
                <w:rFonts w:ascii="Arial" w:cs="Arial" w:eastAsia="Arial" w:hAnsi="Arial"/>
                <w:sz w:val="11"/>
                <w:szCs w:val="11"/>
                <w:color w:val="0000EE"/>
              </w:rPr>
            </w:pPr>
            <w:hyperlink w:anchor="page54">
              <w:r>
                <w:rPr>
                  <w:rFonts w:ascii="Arial" w:cs="Arial" w:eastAsia="Arial" w:hAnsi="Arial"/>
                  <w:sz w:val="11"/>
                  <w:szCs w:val="11"/>
                  <w:color w:val="0000EE"/>
                </w:rPr>
                <w:t>Survival of representations and warranties</w:t>
              </w:r>
            </w:hyperlink>
          </w:p>
        </w:tc>
        <w:tc>
          <w:tcPr>
            <w:tcW w:w="3240" w:type="dxa"/>
            <w:vAlign w:val="bottom"/>
          </w:tcPr>
          <w:p>
            <w:pPr>
              <w:ind w:left="250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0" w:type="dxa"/>
            <w:vAlign w:val="bottom"/>
            <w:gridSpan w:val="3"/>
          </w:tcPr>
          <w:p>
            <w:pPr>
              <w:spacing w:after="0"/>
              <w:rPr>
                <w:rFonts w:ascii="Arial" w:cs="Arial" w:eastAsia="Arial" w:hAnsi="Arial"/>
                <w:sz w:val="11"/>
                <w:szCs w:val="11"/>
                <w:color w:val="0000EE"/>
              </w:rPr>
            </w:pPr>
            <w:hyperlink w:anchor="page54">
              <w:r>
                <w:rPr>
                  <w:rFonts w:ascii="Arial" w:cs="Arial" w:eastAsia="Arial" w:hAnsi="Arial"/>
                  <w:sz w:val="11"/>
                  <w:szCs w:val="11"/>
                  <w:color w:val="0000EE"/>
                </w:rPr>
                <w:t>6</w:t>
              </w:r>
              <w:r>
                <w:rPr>
                  <w:rFonts w:ascii="Arial" w:cs="Arial" w:eastAsia="Arial" w:hAnsi="Arial"/>
                  <w:sz w:val="9"/>
                  <w:szCs w:val="9"/>
                  <w:color w:val="000000"/>
                </w:rPr>
                <w:t>​</w:t>
              </w:r>
            </w:hyperlink>
          </w:p>
        </w:tc>
        <w:tc>
          <w:tcPr>
            <w:tcW w:w="240" w:type="dxa"/>
            <w:vAlign w:val="bottom"/>
          </w:tcPr>
          <w:p>
            <w:pPr>
              <w:spacing w:after="0"/>
              <w:rPr>
                <w:sz w:val="17"/>
                <w:szCs w:val="17"/>
                <w:color w:val="auto"/>
              </w:rPr>
            </w:pPr>
          </w:p>
        </w:tc>
        <w:tc>
          <w:tcPr>
            <w:tcW w:w="5180" w:type="dxa"/>
            <w:vAlign w:val="bottom"/>
            <w:gridSpan w:val="23"/>
          </w:tcPr>
          <w:p>
            <w:pPr>
              <w:spacing w:after="0"/>
              <w:rPr>
                <w:rFonts w:ascii="Arial" w:cs="Arial" w:eastAsia="Arial" w:hAnsi="Arial"/>
                <w:sz w:val="11"/>
                <w:szCs w:val="11"/>
                <w:color w:val="0000EE"/>
              </w:rPr>
            </w:pPr>
            <w:hyperlink w:anchor="page54">
              <w:r>
                <w:rPr>
                  <w:rFonts w:ascii="Arial" w:cs="Arial" w:eastAsia="Arial" w:hAnsi="Arial"/>
                  <w:sz w:val="11"/>
                  <w:szCs w:val="11"/>
                  <w:color w:val="0000EE"/>
                </w:rPr>
                <w:t>Acknowledgments</w:t>
              </w:r>
            </w:hyperlink>
          </w:p>
        </w:tc>
        <w:tc>
          <w:tcPr>
            <w:tcW w:w="3240" w:type="dxa"/>
            <w:vAlign w:val="bottom"/>
            <w:vMerge w:val="restart"/>
          </w:tcPr>
          <w:p>
            <w:pPr>
              <w:ind w:left="250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40"/>
        </w:trPr>
        <w:tc>
          <w:tcPr>
            <w:tcW w:w="60" w:type="dxa"/>
            <w:vAlign w:val="bottom"/>
            <w:tcBorders>
              <w:top w:val="single" w:sz="8" w:color="0000EE"/>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00" w:type="dxa"/>
            <w:vAlign w:val="bottom"/>
            <w:gridSpan w:val="3"/>
          </w:tcPr>
          <w:p>
            <w:pPr>
              <w:spacing w:after="0"/>
              <w:rPr>
                <w:rFonts w:ascii="Arial" w:cs="Arial" w:eastAsia="Arial" w:hAnsi="Arial"/>
                <w:sz w:val="11"/>
                <w:szCs w:val="11"/>
                <w:color w:val="0000EE"/>
              </w:rPr>
            </w:pPr>
            <w:hyperlink w:anchor="page55">
              <w:r>
                <w:rPr>
                  <w:rFonts w:ascii="Arial" w:cs="Arial" w:eastAsia="Arial" w:hAnsi="Arial"/>
                  <w:sz w:val="11"/>
                  <w:szCs w:val="11"/>
                  <w:color w:val="0000EE"/>
                </w:rPr>
                <w:t>7</w:t>
              </w:r>
              <w:r>
                <w:rPr>
                  <w:rFonts w:ascii="Arial" w:cs="Arial" w:eastAsia="Arial" w:hAnsi="Arial"/>
                  <w:sz w:val="9"/>
                  <w:szCs w:val="9"/>
                  <w:color w:val="000000"/>
                </w:rPr>
                <w:t>​</w:t>
              </w:r>
            </w:hyperlink>
          </w:p>
        </w:tc>
        <w:tc>
          <w:tcPr>
            <w:tcW w:w="240" w:type="dxa"/>
            <w:vAlign w:val="bottom"/>
          </w:tcPr>
          <w:p>
            <w:pPr>
              <w:spacing w:after="0"/>
              <w:rPr>
                <w:sz w:val="12"/>
                <w:szCs w:val="12"/>
                <w:color w:val="auto"/>
              </w:rPr>
            </w:pPr>
          </w:p>
        </w:tc>
        <w:tc>
          <w:tcPr>
            <w:tcW w:w="520" w:type="dxa"/>
            <w:vAlign w:val="bottom"/>
            <w:gridSpan w:val="3"/>
          </w:tcPr>
          <w:p>
            <w:pPr>
              <w:spacing w:after="0"/>
              <w:rPr>
                <w:rFonts w:ascii="Arial" w:cs="Arial" w:eastAsia="Arial" w:hAnsi="Arial"/>
                <w:sz w:val="11"/>
                <w:szCs w:val="11"/>
                <w:color w:val="0000EE"/>
              </w:rPr>
            </w:pPr>
            <w:hyperlink w:anchor="page55">
              <w:r>
                <w:rPr>
                  <w:rFonts w:ascii="Arial" w:cs="Arial" w:eastAsia="Arial" w:hAnsi="Arial"/>
                  <w:sz w:val="11"/>
                  <w:szCs w:val="11"/>
                  <w:color w:val="0000EE"/>
                </w:rPr>
                <w:t>General</w:t>
              </w:r>
            </w:hyperlink>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240" w:type="dxa"/>
            <w:vAlign w:val="bottom"/>
            <w:vMerge w:val="restart"/>
          </w:tcPr>
          <w:p>
            <w:pPr>
              <w:ind w:left="250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40"/>
        </w:trPr>
        <w:tc>
          <w:tcPr>
            <w:tcW w:w="60" w:type="dxa"/>
            <w:vAlign w:val="bottom"/>
            <w:tcBorders>
              <w:top w:val="single" w:sz="8" w:color="0000EE"/>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rFonts w:ascii="Arial" w:cs="Arial" w:eastAsia="Arial" w:hAnsi="Arial"/>
                <w:sz w:val="11"/>
                <w:szCs w:val="11"/>
                <w:color w:val="0000EE"/>
                <w:w w:val="91"/>
              </w:rPr>
            </w:pPr>
            <w:hyperlink w:anchor="page55">
              <w:r>
                <w:rPr>
                  <w:rFonts w:ascii="Arial" w:cs="Arial" w:eastAsia="Arial" w:hAnsi="Arial"/>
                  <w:sz w:val="11"/>
                  <w:szCs w:val="11"/>
                  <w:color w:val="0000EE"/>
                  <w:w w:val="91"/>
                </w:rPr>
                <w:t>7.</w:t>
              </w:r>
              <w:r>
                <w:rPr>
                  <w:rFonts w:ascii="Arial" w:cs="Arial" w:eastAsia="Arial" w:hAnsi="Arial"/>
                  <w:sz w:val="11"/>
                  <w:szCs w:val="11"/>
                  <w:u w:val="single" w:color="auto"/>
                  <w:color w:val="0000EE"/>
                  <w:w w:val="91"/>
                </w:rPr>
                <w:t>1</w:t>
              </w:r>
            </w:hyperlink>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80" w:type="dxa"/>
            <w:vAlign w:val="bottom"/>
            <w:gridSpan w:val="19"/>
          </w:tcPr>
          <w:p>
            <w:pPr>
              <w:spacing w:after="0"/>
              <w:rPr>
                <w:rFonts w:ascii="Arial" w:cs="Arial" w:eastAsia="Arial" w:hAnsi="Arial"/>
                <w:sz w:val="11"/>
                <w:szCs w:val="11"/>
                <w:color w:val="0000EE"/>
              </w:rPr>
            </w:pPr>
            <w:hyperlink w:anchor="page55">
              <w:r>
                <w:rPr>
                  <w:rFonts w:ascii="Arial" w:cs="Arial" w:eastAsia="Arial" w:hAnsi="Arial"/>
                  <w:sz w:val="11"/>
                  <w:szCs w:val="11"/>
                  <w:color w:val="0000EE"/>
                </w:rPr>
                <w:t>Amendment</w:t>
              </w:r>
            </w:hyperlink>
          </w:p>
        </w:tc>
        <w:tc>
          <w:tcPr>
            <w:tcW w:w="3240" w:type="dxa"/>
            <w:vAlign w:val="bottom"/>
          </w:tcPr>
          <w:p>
            <w:pPr>
              <w:ind w:left="250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0000EE"/>
            </w:tcBorders>
          </w:tcPr>
          <w:p>
            <w:pPr>
              <w:spacing w:after="0"/>
              <w:rPr>
                <w:rFonts w:ascii="Arial" w:cs="Arial" w:eastAsia="Arial" w:hAnsi="Arial"/>
                <w:sz w:val="11"/>
                <w:szCs w:val="11"/>
                <w:color w:val="0000EE"/>
                <w:w w:val="91"/>
              </w:rPr>
            </w:pPr>
            <w:hyperlink w:anchor="page55">
              <w:r>
                <w:rPr>
                  <w:rFonts w:ascii="Arial" w:cs="Arial" w:eastAsia="Arial" w:hAnsi="Arial"/>
                  <w:sz w:val="11"/>
                  <w:szCs w:val="11"/>
                  <w:color w:val="0000EE"/>
                  <w:w w:val="91"/>
                </w:rPr>
                <w:t>7.</w:t>
              </w:r>
              <w:r>
                <w:rPr>
                  <w:rFonts w:ascii="Arial" w:cs="Arial" w:eastAsia="Arial" w:hAnsi="Arial"/>
                  <w:sz w:val="11"/>
                  <w:szCs w:val="11"/>
                  <w:u w:val="single" w:color="auto"/>
                  <w:color w:val="0000EE"/>
                  <w:w w:val="91"/>
                </w:rPr>
                <w:t>2</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0000EE"/>
            </w:tcBorders>
            <w:gridSpan w:val="9"/>
          </w:tcPr>
          <w:p>
            <w:pPr>
              <w:spacing w:after="0"/>
              <w:rPr>
                <w:rFonts w:ascii="Arial" w:cs="Arial" w:eastAsia="Arial" w:hAnsi="Arial"/>
                <w:sz w:val="11"/>
                <w:szCs w:val="11"/>
                <w:color w:val="0000EE"/>
              </w:rPr>
            </w:pPr>
            <w:hyperlink w:anchor="page55">
              <w:r>
                <w:rPr>
                  <w:rFonts w:ascii="Arial" w:cs="Arial" w:eastAsia="Arial" w:hAnsi="Arial"/>
                  <w:sz w:val="11"/>
                  <w:szCs w:val="11"/>
                  <w:color w:val="0000EE"/>
                </w:rPr>
                <w:t>Construction</w:t>
              </w:r>
            </w:hyperlink>
          </w:p>
        </w:tc>
        <w:tc>
          <w:tcPr>
            <w:tcW w:w="3940" w:type="dxa"/>
            <w:vAlign w:val="bottom"/>
            <w:gridSpan w:val="10"/>
          </w:tcPr>
          <w:p>
            <w:pPr>
              <w:spacing w:after="0"/>
              <w:rPr>
                <w:sz w:val="17"/>
                <w:szCs w:val="17"/>
                <w:color w:val="auto"/>
              </w:rPr>
            </w:pPr>
          </w:p>
        </w:tc>
        <w:tc>
          <w:tcPr>
            <w:tcW w:w="3240" w:type="dxa"/>
            <w:vAlign w:val="bottom"/>
          </w:tcPr>
          <w:p>
            <w:pPr>
              <w:ind w:left="250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0000EE"/>
            </w:tcBorders>
          </w:tcPr>
          <w:p>
            <w:pPr>
              <w:spacing w:after="0"/>
              <w:rPr>
                <w:rFonts w:ascii="Arial" w:cs="Arial" w:eastAsia="Arial" w:hAnsi="Arial"/>
                <w:sz w:val="11"/>
                <w:szCs w:val="11"/>
                <w:color w:val="0000EE"/>
                <w:w w:val="91"/>
              </w:rPr>
            </w:pPr>
            <w:hyperlink w:anchor="page55">
              <w:r>
                <w:rPr>
                  <w:rFonts w:ascii="Arial" w:cs="Arial" w:eastAsia="Arial" w:hAnsi="Arial"/>
                  <w:sz w:val="11"/>
                  <w:szCs w:val="11"/>
                  <w:color w:val="0000EE"/>
                  <w:w w:val="91"/>
                </w:rPr>
                <w:t>7.</w:t>
              </w:r>
              <w:r>
                <w:rPr>
                  <w:rFonts w:ascii="Arial" w:cs="Arial" w:eastAsia="Arial" w:hAnsi="Arial"/>
                  <w:sz w:val="11"/>
                  <w:szCs w:val="11"/>
                  <w:u w:val="single" w:color="auto"/>
                  <w:color w:val="0000EE"/>
                  <w:w w:val="91"/>
                </w:rPr>
                <w:t>3</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bottom w:val="single" w:sz="8" w:color="0000EE"/>
            </w:tcBorders>
            <w:gridSpan w:val="10"/>
          </w:tcPr>
          <w:p>
            <w:pPr>
              <w:spacing w:after="0"/>
              <w:rPr>
                <w:rFonts w:ascii="Arial" w:cs="Arial" w:eastAsia="Arial" w:hAnsi="Arial"/>
                <w:sz w:val="11"/>
                <w:szCs w:val="11"/>
                <w:color w:val="0000EE"/>
              </w:rPr>
            </w:pPr>
            <w:hyperlink w:anchor="page55">
              <w:r>
                <w:rPr>
                  <w:rFonts w:ascii="Arial" w:cs="Arial" w:eastAsia="Arial" w:hAnsi="Arial"/>
                  <w:sz w:val="11"/>
                  <w:szCs w:val="11"/>
                  <w:color w:val="0000EE"/>
                </w:rPr>
                <w:t>Counterparts</w:t>
              </w:r>
            </w:hyperlink>
          </w:p>
        </w:tc>
        <w:tc>
          <w:tcPr>
            <w:tcW w:w="3920" w:type="dxa"/>
            <w:vAlign w:val="bottom"/>
            <w:gridSpan w:val="9"/>
          </w:tcPr>
          <w:p>
            <w:pPr>
              <w:spacing w:after="0"/>
              <w:rPr>
                <w:sz w:val="17"/>
                <w:szCs w:val="17"/>
                <w:color w:val="auto"/>
              </w:rPr>
            </w:pPr>
          </w:p>
        </w:tc>
        <w:tc>
          <w:tcPr>
            <w:tcW w:w="3240" w:type="dxa"/>
            <w:vAlign w:val="bottom"/>
          </w:tcPr>
          <w:p>
            <w:pPr>
              <w:ind w:left="250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0000EE"/>
            </w:tcBorders>
          </w:tcPr>
          <w:p>
            <w:pPr>
              <w:spacing w:after="0"/>
              <w:rPr>
                <w:rFonts w:ascii="Arial" w:cs="Arial" w:eastAsia="Arial" w:hAnsi="Arial"/>
                <w:sz w:val="11"/>
                <w:szCs w:val="11"/>
                <w:color w:val="0000EE"/>
                <w:w w:val="91"/>
              </w:rPr>
            </w:pPr>
            <w:hyperlink w:anchor="page55">
              <w:r>
                <w:rPr>
                  <w:rFonts w:ascii="Arial" w:cs="Arial" w:eastAsia="Arial" w:hAnsi="Arial"/>
                  <w:sz w:val="11"/>
                  <w:szCs w:val="11"/>
                  <w:color w:val="0000EE"/>
                  <w:w w:val="91"/>
                </w:rPr>
                <w:t>7.</w:t>
              </w:r>
              <w:r>
                <w:rPr>
                  <w:rFonts w:ascii="Arial" w:cs="Arial" w:eastAsia="Arial" w:hAnsi="Arial"/>
                  <w:sz w:val="11"/>
                  <w:szCs w:val="11"/>
                  <w:u w:val="single" w:color="auto"/>
                  <w:color w:val="0000EE"/>
                  <w:w w:val="91"/>
                </w:rPr>
                <w:t>4</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gridSpan w:val="3"/>
          </w:tcPr>
          <w:p>
            <w:pPr>
              <w:spacing w:after="0"/>
              <w:rPr>
                <w:rFonts w:ascii="Arial" w:cs="Arial" w:eastAsia="Arial" w:hAnsi="Arial"/>
                <w:sz w:val="11"/>
                <w:szCs w:val="11"/>
                <w:color w:val="0000EE"/>
                <w:w w:val="98"/>
              </w:rPr>
            </w:pPr>
            <w:hyperlink w:anchor="page55">
              <w:r>
                <w:rPr>
                  <w:rFonts w:ascii="Arial" w:cs="Arial" w:eastAsia="Arial" w:hAnsi="Arial"/>
                  <w:sz w:val="11"/>
                  <w:szCs w:val="11"/>
                  <w:color w:val="0000EE"/>
                  <w:w w:val="98"/>
                </w:rPr>
                <w:t>Deed</w:t>
              </w:r>
            </w:hyperlink>
          </w:p>
        </w:tc>
        <w:tc>
          <w:tcPr>
            <w:tcW w:w="4300" w:type="dxa"/>
            <w:vAlign w:val="bottom"/>
            <w:gridSpan w:val="16"/>
          </w:tcPr>
          <w:p>
            <w:pPr>
              <w:spacing w:after="0"/>
              <w:rPr>
                <w:sz w:val="17"/>
                <w:szCs w:val="17"/>
                <w:color w:val="auto"/>
              </w:rPr>
            </w:pPr>
          </w:p>
        </w:tc>
        <w:tc>
          <w:tcPr>
            <w:tcW w:w="3240" w:type="dxa"/>
            <w:vAlign w:val="bottom"/>
          </w:tcPr>
          <w:p>
            <w:pPr>
              <w:ind w:left="250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0000EE"/>
            </w:tcBorders>
          </w:tcPr>
          <w:p>
            <w:pPr>
              <w:spacing w:after="0"/>
              <w:rPr>
                <w:rFonts w:ascii="Arial" w:cs="Arial" w:eastAsia="Arial" w:hAnsi="Arial"/>
                <w:sz w:val="11"/>
                <w:szCs w:val="11"/>
                <w:color w:val="0000EE"/>
                <w:w w:val="91"/>
              </w:rPr>
            </w:pPr>
            <w:hyperlink w:anchor="page55">
              <w:r>
                <w:rPr>
                  <w:rFonts w:ascii="Arial" w:cs="Arial" w:eastAsia="Arial" w:hAnsi="Arial"/>
                  <w:sz w:val="11"/>
                  <w:szCs w:val="11"/>
                  <w:color w:val="0000EE"/>
                  <w:w w:val="91"/>
                </w:rPr>
                <w:t>7.</w:t>
              </w:r>
              <w:r>
                <w:rPr>
                  <w:rFonts w:ascii="Arial" w:cs="Arial" w:eastAsia="Arial" w:hAnsi="Arial"/>
                  <w:sz w:val="11"/>
                  <w:szCs w:val="11"/>
                  <w:u w:val="single" w:color="auto"/>
                  <w:color w:val="0000EE"/>
                  <w:w w:val="91"/>
                </w:rPr>
                <w:t>5</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EE"/>
            </w:tcBorders>
            <w:gridSpan w:val="2"/>
          </w:tcPr>
          <w:p>
            <w:pPr>
              <w:spacing w:after="0"/>
              <w:rPr>
                <w:rFonts w:ascii="Arial" w:cs="Arial" w:eastAsia="Arial" w:hAnsi="Arial"/>
                <w:sz w:val="11"/>
                <w:szCs w:val="11"/>
                <w:color w:val="0000EE"/>
                <w:w w:val="97"/>
              </w:rPr>
            </w:pPr>
            <w:hyperlink w:anchor="page55">
              <w:r>
                <w:rPr>
                  <w:rFonts w:ascii="Arial" w:cs="Arial" w:eastAsia="Arial" w:hAnsi="Arial"/>
                  <w:sz w:val="11"/>
                  <w:szCs w:val="11"/>
                  <w:color w:val="0000EE"/>
                  <w:w w:val="97"/>
                </w:rPr>
                <w:t>Duty</w:t>
              </w:r>
            </w:hyperlink>
          </w:p>
        </w:tc>
        <w:tc>
          <w:tcPr>
            <w:tcW w:w="4340" w:type="dxa"/>
            <w:vAlign w:val="bottom"/>
            <w:gridSpan w:val="17"/>
          </w:tcPr>
          <w:p>
            <w:pPr>
              <w:spacing w:after="0"/>
              <w:rPr>
                <w:sz w:val="17"/>
                <w:szCs w:val="17"/>
                <w:color w:val="auto"/>
              </w:rPr>
            </w:pPr>
          </w:p>
        </w:tc>
        <w:tc>
          <w:tcPr>
            <w:tcW w:w="3240" w:type="dxa"/>
            <w:vAlign w:val="bottom"/>
          </w:tcPr>
          <w:p>
            <w:pPr>
              <w:ind w:left="250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0000EE"/>
            </w:tcBorders>
          </w:tcPr>
          <w:p>
            <w:pPr>
              <w:spacing w:after="0"/>
              <w:rPr>
                <w:rFonts w:ascii="Arial" w:cs="Arial" w:eastAsia="Arial" w:hAnsi="Arial"/>
                <w:sz w:val="11"/>
                <w:szCs w:val="11"/>
                <w:color w:val="0000EE"/>
                <w:w w:val="91"/>
              </w:rPr>
            </w:pPr>
            <w:hyperlink w:anchor="page55">
              <w:r>
                <w:rPr>
                  <w:rFonts w:ascii="Arial" w:cs="Arial" w:eastAsia="Arial" w:hAnsi="Arial"/>
                  <w:sz w:val="11"/>
                  <w:szCs w:val="11"/>
                  <w:color w:val="0000EE"/>
                  <w:w w:val="91"/>
                </w:rPr>
                <w:t>7.</w:t>
              </w:r>
              <w:r>
                <w:rPr>
                  <w:rFonts w:ascii="Arial" w:cs="Arial" w:eastAsia="Arial" w:hAnsi="Arial"/>
                  <w:sz w:val="11"/>
                  <w:szCs w:val="11"/>
                  <w:u w:val="single" w:color="auto"/>
                  <w:color w:val="0000EE"/>
                  <w:w w:val="91"/>
                </w:rPr>
                <w:t>6</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0000EE"/>
            </w:tcBorders>
            <w:gridSpan w:val="13"/>
          </w:tcPr>
          <w:p>
            <w:pPr>
              <w:spacing w:after="0"/>
              <w:rPr>
                <w:rFonts w:ascii="Arial" w:cs="Arial" w:eastAsia="Arial" w:hAnsi="Arial"/>
                <w:sz w:val="11"/>
                <w:szCs w:val="11"/>
                <w:color w:val="0000EE"/>
              </w:rPr>
            </w:pPr>
            <w:hyperlink w:anchor="page55">
              <w:r>
                <w:rPr>
                  <w:rFonts w:ascii="Arial" w:cs="Arial" w:eastAsia="Arial" w:hAnsi="Arial"/>
                  <w:sz w:val="11"/>
                  <w:szCs w:val="11"/>
                  <w:color w:val="0000EE"/>
                </w:rPr>
                <w:t>Entire understanding</w:t>
              </w:r>
            </w:hyperlink>
          </w:p>
        </w:tc>
        <w:tc>
          <w:tcPr>
            <w:tcW w:w="3540" w:type="dxa"/>
            <w:vAlign w:val="bottom"/>
            <w:gridSpan w:val="6"/>
          </w:tcPr>
          <w:p>
            <w:pPr>
              <w:spacing w:after="0"/>
              <w:rPr>
                <w:sz w:val="17"/>
                <w:szCs w:val="17"/>
                <w:color w:val="auto"/>
              </w:rPr>
            </w:pPr>
          </w:p>
        </w:tc>
        <w:tc>
          <w:tcPr>
            <w:tcW w:w="3240" w:type="dxa"/>
            <w:vAlign w:val="bottom"/>
          </w:tcPr>
          <w:p>
            <w:pPr>
              <w:ind w:left="250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rFonts w:ascii="Arial" w:cs="Arial" w:eastAsia="Arial" w:hAnsi="Arial"/>
                <w:sz w:val="11"/>
                <w:szCs w:val="11"/>
                <w:color w:val="0000EE"/>
                <w:w w:val="91"/>
              </w:rPr>
            </w:pPr>
            <w:hyperlink w:anchor="page55">
              <w:r>
                <w:rPr>
                  <w:rFonts w:ascii="Arial" w:cs="Arial" w:eastAsia="Arial" w:hAnsi="Arial"/>
                  <w:sz w:val="11"/>
                  <w:szCs w:val="11"/>
                  <w:color w:val="0000EE"/>
                  <w:w w:val="91"/>
                </w:rPr>
                <w:t>7.</w:t>
              </w:r>
              <w:r>
                <w:rPr>
                  <w:rFonts w:ascii="Arial" w:cs="Arial" w:eastAsia="Arial" w:hAnsi="Arial"/>
                  <w:sz w:val="11"/>
                  <w:szCs w:val="11"/>
                  <w:u w:val="single" w:color="auto"/>
                  <w:color w:val="0000EE"/>
                  <w:w w:val="91"/>
                </w:rPr>
                <w:t>7</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80" w:type="dxa"/>
            <w:vAlign w:val="bottom"/>
            <w:gridSpan w:val="19"/>
          </w:tcPr>
          <w:p>
            <w:pPr>
              <w:spacing w:after="0"/>
              <w:rPr>
                <w:rFonts w:ascii="Arial" w:cs="Arial" w:eastAsia="Arial" w:hAnsi="Arial"/>
                <w:sz w:val="11"/>
                <w:szCs w:val="11"/>
                <w:color w:val="0000EE"/>
              </w:rPr>
            </w:pPr>
            <w:hyperlink w:anchor="page55">
              <w:r>
                <w:rPr>
                  <w:rFonts w:ascii="Arial" w:cs="Arial" w:eastAsia="Arial" w:hAnsi="Arial"/>
                  <w:sz w:val="11"/>
                  <w:szCs w:val="11"/>
                  <w:color w:val="0000EE"/>
                </w:rPr>
                <w:t>Further steps</w:t>
              </w:r>
            </w:hyperlink>
          </w:p>
        </w:tc>
        <w:tc>
          <w:tcPr>
            <w:tcW w:w="3240" w:type="dxa"/>
            <w:vAlign w:val="bottom"/>
          </w:tcPr>
          <w:p>
            <w:pPr>
              <w:ind w:left="250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0000EE"/>
            </w:tcBorders>
          </w:tcPr>
          <w:p>
            <w:pPr>
              <w:spacing w:after="0"/>
              <w:rPr>
                <w:rFonts w:ascii="Arial" w:cs="Arial" w:eastAsia="Arial" w:hAnsi="Arial"/>
                <w:sz w:val="11"/>
                <w:szCs w:val="11"/>
                <w:color w:val="0000EE"/>
                <w:w w:val="91"/>
              </w:rPr>
            </w:pPr>
            <w:hyperlink w:anchor="page55">
              <w:r>
                <w:rPr>
                  <w:rFonts w:ascii="Arial" w:cs="Arial" w:eastAsia="Arial" w:hAnsi="Arial"/>
                  <w:sz w:val="11"/>
                  <w:szCs w:val="11"/>
                  <w:color w:val="0000EE"/>
                  <w:w w:val="91"/>
                </w:rPr>
                <w:t>7.</w:t>
              </w:r>
              <w:r>
                <w:rPr>
                  <w:rFonts w:ascii="Arial" w:cs="Arial" w:eastAsia="Arial" w:hAnsi="Arial"/>
                  <w:sz w:val="11"/>
                  <w:szCs w:val="11"/>
                  <w:u w:val="single" w:color="auto"/>
                  <w:color w:val="0000EE"/>
                  <w:w w:val="91"/>
                </w:rPr>
                <w:t>8</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Borders>
              <w:bottom w:val="single" w:sz="8" w:color="0000EE"/>
            </w:tcBorders>
            <w:gridSpan w:val="15"/>
          </w:tcPr>
          <w:p>
            <w:pPr>
              <w:spacing w:after="0"/>
              <w:rPr>
                <w:rFonts w:ascii="Arial" w:cs="Arial" w:eastAsia="Arial" w:hAnsi="Arial"/>
                <w:sz w:val="11"/>
                <w:szCs w:val="11"/>
                <w:color w:val="0000EE"/>
              </w:rPr>
            </w:pPr>
            <w:hyperlink w:anchor="page55">
              <w:r>
                <w:rPr>
                  <w:rFonts w:ascii="Arial" w:cs="Arial" w:eastAsia="Arial" w:hAnsi="Arial"/>
                  <w:sz w:val="11"/>
                  <w:szCs w:val="11"/>
                  <w:color w:val="0000EE"/>
                </w:rPr>
                <w:t>Governing law and jurisdiction</w:t>
              </w:r>
            </w:hyperlink>
          </w:p>
        </w:tc>
        <w:tc>
          <w:tcPr>
            <w:tcW w:w="3080" w:type="dxa"/>
            <w:vAlign w:val="bottom"/>
            <w:gridSpan w:val="4"/>
          </w:tcPr>
          <w:p>
            <w:pPr>
              <w:spacing w:after="0"/>
              <w:rPr>
                <w:sz w:val="17"/>
                <w:szCs w:val="17"/>
                <w:color w:val="auto"/>
              </w:rPr>
            </w:pPr>
          </w:p>
        </w:tc>
        <w:tc>
          <w:tcPr>
            <w:tcW w:w="3240" w:type="dxa"/>
            <w:vAlign w:val="bottom"/>
          </w:tcPr>
          <w:p>
            <w:pPr>
              <w:ind w:left="250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0000EE"/>
            </w:tcBorders>
          </w:tcPr>
          <w:p>
            <w:pPr>
              <w:spacing w:after="0"/>
              <w:rPr>
                <w:rFonts w:ascii="Arial" w:cs="Arial" w:eastAsia="Arial" w:hAnsi="Arial"/>
                <w:sz w:val="11"/>
                <w:szCs w:val="11"/>
                <w:color w:val="0000EE"/>
                <w:w w:val="91"/>
              </w:rPr>
            </w:pPr>
            <w:hyperlink w:anchor="page56">
              <w:r>
                <w:rPr>
                  <w:rFonts w:ascii="Arial" w:cs="Arial" w:eastAsia="Arial" w:hAnsi="Arial"/>
                  <w:sz w:val="11"/>
                  <w:szCs w:val="11"/>
                  <w:color w:val="0000EE"/>
                  <w:w w:val="91"/>
                </w:rPr>
                <w:t>7.</w:t>
              </w:r>
              <w:r>
                <w:rPr>
                  <w:rFonts w:ascii="Arial" w:cs="Arial" w:eastAsia="Arial" w:hAnsi="Arial"/>
                  <w:sz w:val="11"/>
                  <w:szCs w:val="11"/>
                  <w:u w:val="single" w:color="auto"/>
                  <w:color w:val="0000EE"/>
                  <w:w w:val="91"/>
                </w:rPr>
                <w:t>9</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0000EE"/>
            </w:tcBorders>
            <w:gridSpan w:val="8"/>
          </w:tcPr>
          <w:p>
            <w:pPr>
              <w:spacing w:after="0"/>
              <w:rPr>
                <w:rFonts w:ascii="Arial" w:cs="Arial" w:eastAsia="Arial" w:hAnsi="Arial"/>
                <w:sz w:val="11"/>
                <w:szCs w:val="11"/>
                <w:color w:val="0000EE"/>
              </w:rPr>
            </w:pPr>
            <w:hyperlink w:anchor="page56">
              <w:r>
                <w:rPr>
                  <w:rFonts w:ascii="Arial" w:cs="Arial" w:eastAsia="Arial" w:hAnsi="Arial"/>
                  <w:sz w:val="11"/>
                  <w:szCs w:val="11"/>
                  <w:color w:val="0000EE"/>
                </w:rPr>
                <w:t>Legal costs</w:t>
              </w:r>
            </w:hyperlink>
          </w:p>
        </w:tc>
        <w:tc>
          <w:tcPr>
            <w:tcW w:w="3980" w:type="dxa"/>
            <w:vAlign w:val="bottom"/>
            <w:gridSpan w:val="11"/>
          </w:tcPr>
          <w:p>
            <w:pPr>
              <w:spacing w:after="0"/>
              <w:rPr>
                <w:sz w:val="17"/>
                <w:szCs w:val="17"/>
                <w:color w:val="auto"/>
              </w:rPr>
            </w:pPr>
          </w:p>
        </w:tc>
        <w:tc>
          <w:tcPr>
            <w:tcW w:w="3240" w:type="dxa"/>
            <w:vAlign w:val="bottom"/>
          </w:tcPr>
          <w:p>
            <w:pPr>
              <w:ind w:left="250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98"/>
        </w:trPr>
        <w:tc>
          <w:tcPr>
            <w:tcW w:w="500" w:type="dxa"/>
            <w:vAlign w:val="bottom"/>
            <w:gridSpan w:val="3"/>
          </w:tcPr>
          <w:p>
            <w:pPr>
              <w:spacing w:after="0"/>
              <w:rPr>
                <w:rFonts w:ascii="Arial" w:cs="Arial" w:eastAsia="Arial" w:hAnsi="Arial"/>
                <w:sz w:val="11"/>
                <w:szCs w:val="11"/>
                <w:color w:val="0000EE"/>
              </w:rPr>
            </w:pPr>
            <w:hyperlink w:anchor="page57">
              <w:r>
                <w:rPr>
                  <w:rFonts w:ascii="Arial" w:cs="Arial" w:eastAsia="Arial" w:hAnsi="Arial"/>
                  <w:sz w:val="11"/>
                  <w:szCs w:val="11"/>
                  <w:color w:val="0000EE"/>
                </w:rPr>
                <w:t>Schedule</w:t>
              </w:r>
              <w:r>
                <w:rPr>
                  <w:rFonts w:ascii="Arial" w:cs="Arial" w:eastAsia="Arial" w:hAnsi="Arial"/>
                  <w:sz w:val="9"/>
                  <w:szCs w:val="9"/>
                  <w:color w:val="000000"/>
                </w:rPr>
                <w:t>​</w:t>
              </w:r>
            </w:hyperlink>
          </w:p>
        </w:tc>
        <w:tc>
          <w:tcPr>
            <w:tcW w:w="5420" w:type="dxa"/>
            <w:vAlign w:val="bottom"/>
            <w:gridSpan w:val="24"/>
          </w:tcPr>
          <w:p>
            <w:pPr>
              <w:spacing w:after="0"/>
              <w:rPr>
                <w:rFonts w:ascii="Arial" w:cs="Arial" w:eastAsia="Arial" w:hAnsi="Arial"/>
                <w:sz w:val="11"/>
                <w:szCs w:val="11"/>
                <w:color w:val="0000EE"/>
              </w:rPr>
            </w:pPr>
            <w:hyperlink w:anchor="page57">
              <w:r>
                <w:rPr>
                  <w:rFonts w:ascii="Arial" w:cs="Arial" w:eastAsia="Arial" w:hAnsi="Arial"/>
                  <w:sz w:val="11"/>
                  <w:szCs w:val="11"/>
                  <w:color w:val="0000EE"/>
                </w:rPr>
                <w:t>– Corporate Guarantors</w:t>
              </w:r>
            </w:hyperlink>
          </w:p>
        </w:tc>
        <w:tc>
          <w:tcPr>
            <w:tcW w:w="3240" w:type="dxa"/>
            <w:vAlign w:val="bottom"/>
          </w:tcPr>
          <w:p>
            <w:pPr>
              <w:ind w:left="250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40"/>
        </w:trPr>
        <w:tc>
          <w:tcPr>
            <w:tcW w:w="60" w:type="dxa"/>
            <w:vAlign w:val="bottom"/>
            <w:tcBorders>
              <w:top w:val="single" w:sz="8" w:color="0000EE"/>
              <w:bottom w:val="single" w:sz="8" w:color="auto"/>
            </w:tcBorders>
          </w:tcPr>
          <w:p>
            <w:pPr>
              <w:spacing w:after="0"/>
              <w:rPr>
                <w:sz w:val="3"/>
                <w:szCs w:val="3"/>
                <w:color w:val="auto"/>
              </w:rPr>
            </w:pPr>
          </w:p>
        </w:tc>
        <w:tc>
          <w:tcPr>
            <w:tcW w:w="42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00" w:type="dxa"/>
            <w:vAlign w:val="bottom"/>
            <w:tcBorders>
              <w:bottom w:val="single" w:sz="8" w:color="0000EE"/>
            </w:tcBorders>
            <w:gridSpan w:val="3"/>
          </w:tcPr>
          <w:p>
            <w:pPr>
              <w:spacing w:after="0"/>
              <w:rPr>
                <w:rFonts w:ascii="Arial" w:cs="Arial" w:eastAsia="Arial" w:hAnsi="Arial"/>
                <w:sz w:val="11"/>
                <w:szCs w:val="11"/>
                <w:color w:val="0000EE"/>
                <w:w w:val="99"/>
              </w:rPr>
            </w:pPr>
            <w:hyperlink w:anchor="page61">
              <w:r>
                <w:rPr>
                  <w:rFonts w:ascii="Arial" w:cs="Arial" w:eastAsia="Arial" w:hAnsi="Arial"/>
                  <w:sz w:val="11"/>
                  <w:szCs w:val="11"/>
                  <w:color w:val="0000EE"/>
                  <w:w w:val="99"/>
                </w:rPr>
                <w:t>Execution</w:t>
              </w:r>
              <w:r>
                <w:rPr>
                  <w:rFonts w:ascii="Arial" w:cs="Arial" w:eastAsia="Arial" w:hAnsi="Arial"/>
                  <w:sz w:val="9"/>
                  <w:szCs w:val="9"/>
                  <w:color w:val="000000"/>
                  <w:w w:val="99"/>
                </w:rPr>
                <w:t>​</w:t>
              </w:r>
            </w:hyperlink>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240" w:type="dxa"/>
            <w:vAlign w:val="bottom"/>
          </w:tcPr>
          <w:p>
            <w:pPr>
              <w:ind w:left="2500"/>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40"/>
        </w:trPr>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00" w:type="dxa"/>
            <w:vAlign w:val="bottom"/>
            <w:gridSpan w:val="3"/>
          </w:tcPr>
          <w:p>
            <w:pPr>
              <w:spacing w:after="0"/>
              <w:rPr>
                <w:rFonts w:ascii="Arial" w:cs="Arial" w:eastAsia="Arial" w:hAnsi="Arial"/>
                <w:sz w:val="11"/>
                <w:szCs w:val="11"/>
                <w:color w:val="0000EE"/>
              </w:rPr>
            </w:pPr>
            <w:hyperlink w:anchor="page64">
              <w:r>
                <w:rPr>
                  <w:rFonts w:ascii="Arial" w:cs="Arial" w:eastAsia="Arial" w:hAnsi="Arial"/>
                  <w:sz w:val="11"/>
                  <w:szCs w:val="11"/>
                  <w:color w:val="0000EE"/>
                </w:rPr>
                <w:t>Annexure</w:t>
              </w:r>
              <w:r>
                <w:rPr>
                  <w:rFonts w:ascii="Arial" w:cs="Arial" w:eastAsia="Arial" w:hAnsi="Arial"/>
                  <w:sz w:val="9"/>
                  <w:szCs w:val="9"/>
                  <w:color w:val="000000"/>
                </w:rPr>
                <w:t>​</w:t>
              </w:r>
            </w:hyperlink>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240" w:type="dxa"/>
            <w:vAlign w:val="bottom"/>
          </w:tcPr>
          <w:p>
            <w:pPr>
              <w:ind w:left="250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40"/>
        </w:trPr>
        <w:tc>
          <w:tcPr>
            <w:tcW w:w="60" w:type="dxa"/>
            <w:vAlign w:val="bottom"/>
            <w:tcBorders>
              <w:top w:val="single" w:sz="8" w:color="0000EE"/>
              <w:bottom w:val="single" w:sz="8" w:color="auto"/>
            </w:tcBorders>
          </w:tcPr>
          <w:p>
            <w:pPr>
              <w:spacing w:after="0"/>
              <w:rPr>
                <w:sz w:val="3"/>
                <w:szCs w:val="3"/>
                <w:color w:val="auto"/>
              </w:rPr>
            </w:pPr>
          </w:p>
        </w:tc>
        <w:tc>
          <w:tcPr>
            <w:tcW w:w="420" w:type="dxa"/>
            <w:vAlign w:val="bottom"/>
            <w:tcBorders>
              <w:top w:val="single" w:sz="8" w:color="0000EE"/>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257175</wp:posOffset>
            </wp:positionV>
            <wp:extent cx="5819775" cy="5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19775" cy="5080"/>
                    </a:xfrm>
                    <a:prstGeom prst="rect">
                      <a:avLst/>
                    </a:prstGeom>
                    <a:noFill/>
                  </pic:spPr>
                </pic:pic>
              </a:graphicData>
            </a:graphic>
          </wp:anchor>
        </w:drawing>
      </w:r>
    </w:p>
    <w:p>
      <w:pPr>
        <w:spacing w:after="0" w:line="387" w:lineRule="exact"/>
        <w:rPr>
          <w:sz w:val="20"/>
          <w:szCs w:val="20"/>
          <w:color w:val="auto"/>
        </w:rPr>
      </w:pPr>
    </w:p>
    <w:p>
      <w:pPr>
        <w:ind w:left="40"/>
        <w:spacing w:after="0"/>
        <w:rPr>
          <w:sz w:val="20"/>
          <w:szCs w:val="20"/>
          <w:color w:val="auto"/>
        </w:rPr>
      </w:pPr>
      <w:r>
        <w:rPr>
          <w:rFonts w:ascii="Arial" w:cs="Arial" w:eastAsia="Arial" w:hAnsi="Arial"/>
          <w:sz w:val="8"/>
          <w:szCs w:val="8"/>
          <w:color w:val="auto"/>
        </w:rPr>
        <w:t>3449-8791-018v3</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8"/>
          <w:szCs w:val="8"/>
          <w:color w:val="auto"/>
        </w:rPr>
        <w:t>Amendment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585470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54700" cy="40005"/>
                    </a:xfrm>
                    <a:prstGeom prst="rect">
                      <a:avLst/>
                    </a:prstGeom>
                    <a:noFill/>
                  </pic:spPr>
                </pic:pic>
              </a:graphicData>
            </a:graphic>
          </wp:anchor>
        </w:drawing>
      </w:r>
    </w:p>
    <w:p>
      <w:pPr>
        <w:sectPr>
          <w:pgSz w:w="11900" w:h="16840" w:orient="portrait"/>
          <w:cols w:equalWidth="0" w:num="1">
            <w:col w:w="9200"/>
          </w:cols>
          <w:pgMar w:left="1440" w:top="565" w:right="1260" w:bottom="1440" w:gutter="0" w:footer="0" w:header="0"/>
        </w:sectPr>
      </w:pPr>
    </w:p>
    <w:bookmarkStart w:id="51" w:name="page52"/>
    <w:bookmarkEnd w:id="51"/>
    <w:p>
      <w:pPr>
        <w:ind w:left="40"/>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354"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Date</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Parties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1"/>
          <w:szCs w:val="11"/>
          <w:b w:val="1"/>
          <w:bCs w:val="1"/>
          <w:color w:val="auto"/>
        </w:rPr>
        <w:t xml:space="preserve">National Australia Bank Limited </w:t>
      </w:r>
      <w:r>
        <w:rPr>
          <w:rFonts w:ascii="Arial" w:cs="Arial" w:eastAsia="Arial" w:hAnsi="Arial"/>
          <w:sz w:val="11"/>
          <w:szCs w:val="11"/>
          <w:color w:val="auto"/>
        </w:rPr>
        <w:t>ABN 12 004 044 937 of Level 17, 395 Bourke Street, Melbourne, Victoria 3000 (</w:t>
      </w:r>
      <w:r>
        <w:rPr>
          <w:rFonts w:ascii="Arial" w:cs="Arial" w:eastAsia="Arial" w:hAnsi="Arial"/>
          <w:sz w:val="11"/>
          <w:szCs w:val="11"/>
          <w:b w:val="1"/>
          <w:bCs w:val="1"/>
          <w:color w:val="auto"/>
        </w:rPr>
        <w:t>Bank</w:t>
      </w:r>
      <w:r>
        <w:rPr>
          <w:rFonts w:ascii="Arial" w:cs="Arial" w:eastAsia="Arial" w:hAnsi="Arial"/>
          <w:sz w:val="11"/>
          <w:szCs w:val="11"/>
          <w:color w:val="auto"/>
        </w:rPr>
        <w:t>)</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1"/>
          <w:szCs w:val="11"/>
          <w:b w:val="1"/>
          <w:bCs w:val="1"/>
          <w:color w:val="auto"/>
        </w:rPr>
        <w:t xml:space="preserve">Reading Entertainment Australia Pty Ltd </w:t>
      </w:r>
      <w:r>
        <w:rPr>
          <w:rFonts w:ascii="Arial" w:cs="Arial" w:eastAsia="Arial" w:hAnsi="Arial"/>
          <w:sz w:val="11"/>
          <w:szCs w:val="11"/>
          <w:color w:val="auto"/>
        </w:rPr>
        <w:t>ACN 070 893 908 of 98 York Street, South Melbourne, Victoria 3205 (</w:t>
      </w:r>
      <w:r>
        <w:rPr>
          <w:rFonts w:ascii="Arial" w:cs="Arial" w:eastAsia="Arial" w:hAnsi="Arial"/>
          <w:sz w:val="11"/>
          <w:szCs w:val="11"/>
          <w:b w:val="1"/>
          <w:bCs w:val="1"/>
          <w:color w:val="auto"/>
        </w:rPr>
        <w:t>Borrower</w:t>
      </w:r>
      <w:r>
        <w:rPr>
          <w:rFonts w:ascii="Arial" w:cs="Arial" w:eastAsia="Arial" w:hAnsi="Arial"/>
          <w:sz w:val="11"/>
          <w:szCs w:val="11"/>
          <w:color w:val="auto"/>
        </w:rPr>
        <w:t>)</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1"/>
          <w:szCs w:val="11"/>
          <w:b w:val="1"/>
          <w:bCs w:val="1"/>
          <w:color w:val="auto"/>
        </w:rPr>
        <w:t xml:space="preserve">Each entity listed in the schedule </w:t>
      </w:r>
      <w:r>
        <w:rPr>
          <w:rFonts w:ascii="Arial" w:cs="Arial" w:eastAsia="Arial" w:hAnsi="Arial"/>
          <w:sz w:val="11"/>
          <w:szCs w:val="11"/>
          <w:color w:val="auto"/>
        </w:rPr>
        <w:t>(</w:t>
      </w:r>
      <w:r>
        <w:rPr>
          <w:rFonts w:ascii="Arial" w:cs="Arial" w:eastAsia="Arial" w:hAnsi="Arial"/>
          <w:sz w:val="11"/>
          <w:szCs w:val="11"/>
          <w:b w:val="1"/>
          <w:bCs w:val="1"/>
          <w:color w:val="auto"/>
        </w:rPr>
        <w:t>Corporate Guarantor</w:t>
      </w:r>
      <w:r>
        <w:rPr>
          <w:rFonts w:ascii="Arial" w:cs="Arial" w:eastAsia="Arial" w:hAnsi="Arial"/>
          <w:sz w:val="11"/>
          <w:szCs w:val="11"/>
          <w:color w:val="auto"/>
        </w:rPr>
        <w:t>)</w:t>
      </w:r>
    </w:p>
    <w:p>
      <w:pPr>
        <w:spacing w:after="0" w:line="200" w:lineRule="exact"/>
        <w:rPr>
          <w:sz w:val="20"/>
          <w:szCs w:val="20"/>
          <w:color w:val="auto"/>
        </w:rPr>
      </w:pPr>
    </w:p>
    <w:p>
      <w:pPr>
        <w:spacing w:after="0" w:line="32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Agreed terms</w:t>
      </w:r>
    </w:p>
    <w:p>
      <w:pPr>
        <w:spacing w:after="0" w:line="280" w:lineRule="exact"/>
        <w:rPr>
          <w:sz w:val="20"/>
          <w:szCs w:val="20"/>
          <w:color w:val="auto"/>
        </w:rPr>
      </w:pPr>
    </w:p>
    <w:p>
      <w:pPr>
        <w:ind w:left="720" w:hanging="405"/>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Definitions</w:t>
      </w:r>
    </w:p>
    <w:p>
      <w:pPr>
        <w:spacing w:after="0" w:line="31" w:lineRule="exact"/>
        <w:rPr>
          <w:sz w:val="20"/>
          <w:szCs w:val="20"/>
          <w:color w:val="auto"/>
        </w:rPr>
      </w:pPr>
    </w:p>
    <w:p>
      <w:pPr>
        <w:ind w:left="760" w:right="680"/>
        <w:spacing w:after="0" w:line="256" w:lineRule="auto"/>
        <w:rPr>
          <w:sz w:val="20"/>
          <w:szCs w:val="20"/>
          <w:color w:val="auto"/>
        </w:rPr>
      </w:pPr>
      <w:r>
        <w:rPr>
          <w:rFonts w:ascii="Arial" w:cs="Arial" w:eastAsia="Arial" w:hAnsi="Arial"/>
          <w:sz w:val="11"/>
          <w:szCs w:val="11"/>
          <w:color w:val="auto"/>
        </w:rPr>
        <w:t>In this deed words and expressions which are defined or given a specific meaning in the Amended Facility Agreement but which are not defined or given a specific meaning in this deed have the same meaning as in the Amended Facility Agreement. Otherwise, terms have the following meanings:</w:t>
      </w:r>
    </w:p>
    <w:p>
      <w:pPr>
        <w:sectPr>
          <w:pgSz w:w="11900" w:h="16840" w:orient="portrait"/>
          <w:cols w:equalWidth="0" w:num="1">
            <w:col w:w="9040"/>
          </w:cols>
          <w:pgMar w:left="1440" w:top="565" w:right="1420" w:bottom="1440" w:gutter="0" w:footer="0" w:header="0"/>
        </w:sectPr>
      </w:pPr>
    </w:p>
    <w:p>
      <w:pPr>
        <w:spacing w:after="0" w:line="33" w:lineRule="exact"/>
        <w:rPr>
          <w:sz w:val="20"/>
          <w:szCs w:val="20"/>
          <w:color w:val="auto"/>
        </w:rPr>
      </w:pPr>
    </w:p>
    <w:p>
      <w:pPr>
        <w:ind w:left="740"/>
        <w:spacing w:after="0"/>
        <w:rPr>
          <w:sz w:val="20"/>
          <w:szCs w:val="20"/>
          <w:color w:val="auto"/>
        </w:rPr>
      </w:pPr>
      <w:r>
        <w:rPr>
          <w:rFonts w:ascii="Arial" w:cs="Arial" w:eastAsia="Arial" w:hAnsi="Arial"/>
          <w:sz w:val="9"/>
          <w:szCs w:val="9"/>
          <w:b w:val="1"/>
          <w:bCs w:val="1"/>
          <w:color w:val="auto"/>
        </w:rPr>
        <w:t>Amended Facility Agreement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9"/>
          <w:szCs w:val="9"/>
          <w:color w:val="auto"/>
        </w:rPr>
        <w:t>The Facility Agreement as amended in accordance</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with this deed.</w:t>
      </w:r>
    </w:p>
    <w:p>
      <w:pPr>
        <w:spacing w:after="0" w:line="200" w:lineRule="exact"/>
        <w:rPr>
          <w:sz w:val="20"/>
          <w:szCs w:val="20"/>
          <w:color w:val="auto"/>
        </w:rPr>
      </w:pPr>
    </w:p>
    <w:p>
      <w:pPr>
        <w:sectPr>
          <w:pgSz w:w="11900" w:h="16840" w:orient="portrait"/>
          <w:cols w:equalWidth="0" w:num="2">
            <w:col w:w="2200" w:space="400"/>
            <w:col w:w="6440"/>
          </w:cols>
          <w:pgMar w:left="1440" w:top="565" w:right="1420" w:bottom="1440" w:gutter="0" w:footer="0" w:header="0"/>
          <w:type w:val="continuous"/>
        </w:sectPr>
      </w:pPr>
    </w:p>
    <w:p>
      <w:pPr>
        <w:spacing w:after="0" w:line="30" w:lineRule="exact"/>
        <w:rPr>
          <w:sz w:val="20"/>
          <w:szCs w:val="20"/>
          <w:color w:val="auto"/>
        </w:rPr>
      </w:pPr>
    </w:p>
    <w:p>
      <w:pPr>
        <w:ind w:left="740"/>
        <w:spacing w:after="0"/>
        <w:rPr>
          <w:sz w:val="20"/>
          <w:szCs w:val="20"/>
          <w:color w:val="auto"/>
        </w:rPr>
      </w:pPr>
      <w:r>
        <w:rPr>
          <w:rFonts w:ascii="Arial" w:cs="Arial" w:eastAsia="Arial" w:hAnsi="Arial"/>
          <w:sz w:val="9"/>
          <w:szCs w:val="9"/>
          <w:b w:val="1"/>
          <w:bCs w:val="1"/>
          <w:color w:val="auto"/>
        </w:rPr>
        <w:t>Effective Date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The date on which each of the conditions</w:t>
      </w:r>
    </w:p>
    <w:p>
      <w:pPr>
        <w:spacing w:after="0" w:line="213" w:lineRule="auto"/>
        <w:rPr>
          <w:sz w:val="20"/>
          <w:szCs w:val="20"/>
          <w:color w:val="auto"/>
        </w:rPr>
      </w:pPr>
      <w:r>
        <w:rPr>
          <w:rFonts w:ascii="Arial" w:cs="Arial" w:eastAsia="Arial" w:hAnsi="Arial"/>
          <w:sz w:val="11"/>
          <w:szCs w:val="11"/>
          <w:color w:val="auto"/>
        </w:rPr>
        <w:t xml:space="preserve">precedent set out in </w:t>
      </w:r>
      <w:r>
        <w:rPr>
          <w:rFonts w:ascii="Arial" w:cs="Arial" w:eastAsia="Arial" w:hAnsi="Arial"/>
          <w:sz w:val="11"/>
          <w:szCs w:val="11"/>
          <w:b w:val="1"/>
          <w:bCs w:val="1"/>
          <w:color w:val="auto"/>
        </w:rPr>
        <w:t>clause 3</w:t>
      </w:r>
      <w:r>
        <w:rPr>
          <w:rFonts w:ascii="Arial" w:cs="Arial" w:eastAsia="Arial" w:hAnsi="Arial"/>
          <w:sz w:val="11"/>
          <w:szCs w:val="11"/>
          <w:color w:val="auto"/>
        </w:rPr>
        <w:t xml:space="preserve"> have</w:t>
      </w:r>
    </w:p>
    <w:p>
      <w:pPr>
        <w:spacing w:after="0"/>
        <w:rPr>
          <w:sz w:val="20"/>
          <w:szCs w:val="20"/>
          <w:color w:val="auto"/>
        </w:rPr>
      </w:pPr>
      <w:r>
        <w:rPr>
          <w:rFonts w:ascii="Arial" w:cs="Arial" w:eastAsia="Arial" w:hAnsi="Arial"/>
          <w:sz w:val="9"/>
          <w:szCs w:val="9"/>
          <w:color w:val="auto"/>
        </w:rPr>
        <w:t xml:space="preserve">been satisfied (subject to </w:t>
      </w:r>
      <w:r>
        <w:rPr>
          <w:rFonts w:ascii="Arial" w:cs="Arial" w:eastAsia="Arial" w:hAnsi="Arial"/>
          <w:sz w:val="9"/>
          <w:szCs w:val="9"/>
          <w:b w:val="1"/>
          <w:bCs w:val="1"/>
          <w:color w:val="auto"/>
        </w:rPr>
        <w:t>clause 3.2(d)</w:t>
      </w:r>
      <w:r>
        <w:rPr>
          <w:rFonts w:ascii="Arial" w:cs="Arial" w:eastAsia="Arial" w:hAnsi="Arial"/>
          <w:sz w:val="9"/>
          <w:szCs w:val="9"/>
          <w:color w:val="auto"/>
        </w:rPr>
        <w:t>).</w:t>
      </w:r>
    </w:p>
    <w:p>
      <w:pPr>
        <w:spacing w:after="0" w:line="130" w:lineRule="exact"/>
        <w:rPr>
          <w:sz w:val="20"/>
          <w:szCs w:val="20"/>
          <w:color w:val="auto"/>
        </w:rPr>
      </w:pPr>
    </w:p>
    <w:p>
      <w:pPr>
        <w:sectPr>
          <w:pgSz w:w="11900" w:h="16840" w:orient="portrait"/>
          <w:cols w:equalWidth="0" w:num="2">
            <w:col w:w="1880" w:space="720"/>
            <w:col w:w="6440"/>
          </w:cols>
          <w:pgMar w:left="1440" w:top="565" w:right="1420" w:bottom="1440" w:gutter="0" w:footer="0" w:header="0"/>
          <w:type w:val="continuous"/>
        </w:sectPr>
      </w:pPr>
    </w:p>
    <w:p>
      <w:pPr>
        <w:spacing w:after="0" w:line="10" w:lineRule="exact"/>
        <w:rPr>
          <w:sz w:val="20"/>
          <w:szCs w:val="20"/>
          <w:color w:val="auto"/>
        </w:rPr>
      </w:pPr>
    </w:p>
    <w:p>
      <w:pPr>
        <w:ind w:left="740"/>
        <w:spacing w:after="0"/>
        <w:rPr>
          <w:sz w:val="20"/>
          <w:szCs w:val="20"/>
          <w:color w:val="auto"/>
        </w:rPr>
      </w:pPr>
      <w:r>
        <w:rPr>
          <w:rFonts w:ascii="Arial" w:cs="Arial" w:eastAsia="Arial" w:hAnsi="Arial"/>
          <w:sz w:val="9"/>
          <w:szCs w:val="9"/>
          <w:b w:val="1"/>
          <w:bCs w:val="1"/>
          <w:color w:val="auto"/>
        </w:rPr>
        <w:t>Facility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Facility Agreement between the Bank, the</w:t>
      </w:r>
    </w:p>
    <w:p>
      <w:pPr>
        <w:spacing w:after="0"/>
        <w:rPr>
          <w:sz w:val="20"/>
          <w:szCs w:val="20"/>
          <w:color w:val="auto"/>
        </w:rPr>
      </w:pPr>
      <w:r>
        <w:rPr>
          <w:rFonts w:ascii="Arial" w:cs="Arial" w:eastAsia="Arial" w:hAnsi="Arial"/>
          <w:sz w:val="9"/>
          <w:szCs w:val="9"/>
          <w:color w:val="auto"/>
        </w:rPr>
        <w:t>Borrower, the Corporate Guarantors, dated 24 June</w:t>
      </w:r>
    </w:p>
    <w:p>
      <w:pPr>
        <w:spacing w:after="0"/>
        <w:rPr>
          <w:sz w:val="20"/>
          <w:szCs w:val="20"/>
          <w:color w:val="auto"/>
        </w:rPr>
      </w:pPr>
      <w:r>
        <w:rPr>
          <w:rFonts w:ascii="Arial" w:cs="Arial" w:eastAsia="Arial" w:hAnsi="Arial"/>
          <w:sz w:val="11"/>
          <w:szCs w:val="11"/>
          <w:color w:val="auto"/>
        </w:rPr>
        <w:t>2011, as amended from time to time.</w:t>
      </w:r>
    </w:p>
    <w:p>
      <w:pPr>
        <w:spacing w:after="0" w:line="200" w:lineRule="exact"/>
        <w:rPr>
          <w:sz w:val="20"/>
          <w:szCs w:val="20"/>
          <w:color w:val="auto"/>
        </w:rPr>
      </w:pPr>
    </w:p>
    <w:p>
      <w:pPr>
        <w:sectPr>
          <w:pgSz w:w="11900" w:h="16840" w:orient="portrait"/>
          <w:cols w:equalWidth="0" w:num="2">
            <w:col w:w="1880" w:space="720"/>
            <w:col w:w="6440"/>
          </w:cols>
          <w:pgMar w:left="1440" w:top="565" w:right="1420" w:bottom="1440" w:gutter="0" w:footer="0" w:header="0"/>
          <w:type w:val="continuous"/>
        </w:sectPr>
      </w:pPr>
    </w:p>
    <w:p>
      <w:pPr>
        <w:spacing w:after="0" w:line="97" w:lineRule="exact"/>
        <w:rPr>
          <w:sz w:val="20"/>
          <w:szCs w:val="20"/>
          <w:color w:val="auto"/>
        </w:rPr>
      </w:pPr>
    </w:p>
    <w:p>
      <w:pPr>
        <w:ind w:left="720" w:hanging="405"/>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Consideration</w:t>
      </w:r>
    </w:p>
    <w:p>
      <w:pPr>
        <w:spacing w:after="0" w:line="31" w:lineRule="exact"/>
        <w:rPr>
          <w:sz w:val="20"/>
          <w:szCs w:val="20"/>
          <w:color w:val="auto"/>
        </w:rPr>
      </w:pPr>
    </w:p>
    <w:p>
      <w:pPr>
        <w:ind w:left="760"/>
        <w:spacing w:after="0" w:line="256" w:lineRule="auto"/>
        <w:rPr>
          <w:sz w:val="20"/>
          <w:szCs w:val="20"/>
          <w:color w:val="auto"/>
        </w:rPr>
      </w:pPr>
      <w:r>
        <w:rPr>
          <w:rFonts w:ascii="Arial" w:cs="Arial" w:eastAsia="Arial" w:hAnsi="Arial"/>
          <w:sz w:val="11"/>
          <w:szCs w:val="11"/>
          <w:color w:val="auto"/>
        </w:rPr>
        <w:t>The Borrower and each Corporate Guarantor have entered into this deed in consideration of the Bank agreeing to amend the Facility Agreement in accordance with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140970</wp:posOffset>
            </wp:positionV>
            <wp:extent cx="5819775" cy="5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19775" cy="5080"/>
                    </a:xfrm>
                    <a:prstGeom prst="rect">
                      <a:avLst/>
                    </a:prstGeom>
                    <a:noFill/>
                  </pic:spPr>
                </pic:pic>
              </a:graphicData>
            </a:graphic>
          </wp:anchor>
        </w:drawing>
      </w:r>
    </w:p>
    <w:p>
      <w:pPr>
        <w:spacing w:after="0" w:line="204" w:lineRule="exact"/>
        <w:rPr>
          <w:sz w:val="20"/>
          <w:szCs w:val="20"/>
          <w:color w:val="auto"/>
        </w:rPr>
      </w:pPr>
    </w:p>
    <w:p>
      <w:pPr>
        <w:ind w:left="40"/>
        <w:spacing w:after="0"/>
        <w:rPr>
          <w:sz w:val="20"/>
          <w:szCs w:val="20"/>
          <w:color w:val="auto"/>
        </w:rPr>
      </w:pPr>
      <w:r>
        <w:rPr>
          <w:rFonts w:ascii="Arial" w:cs="Arial" w:eastAsia="Arial" w:hAnsi="Arial"/>
          <w:sz w:val="8"/>
          <w:szCs w:val="8"/>
          <w:color w:val="auto"/>
        </w:rPr>
        <w:t>3449-8791-018v3</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8"/>
          <w:szCs w:val="8"/>
          <w:color w:val="auto"/>
        </w:rPr>
        <w:t>Amendment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585470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54700" cy="40005"/>
                    </a:xfrm>
                    <a:prstGeom prst="rect">
                      <a:avLst/>
                    </a:prstGeom>
                    <a:noFill/>
                  </pic:spPr>
                </pic:pic>
              </a:graphicData>
            </a:graphic>
          </wp:anchor>
        </w:drawing>
      </w:r>
    </w:p>
    <w:p>
      <w:pPr>
        <w:sectPr>
          <w:pgSz w:w="11900" w:h="16840" w:orient="portrait"/>
          <w:cols w:equalWidth="0" w:num="1">
            <w:col w:w="9040"/>
          </w:cols>
          <w:pgMar w:left="1440" w:top="565" w:right="1420" w:bottom="1440" w:gutter="0" w:footer="0" w:header="0"/>
          <w:type w:val="continuous"/>
        </w:sectPr>
      </w:pPr>
    </w:p>
    <w:bookmarkStart w:id="52" w:name="page53"/>
    <w:bookmarkEnd w:id="52"/>
    <w:p>
      <w:pPr>
        <w:ind w:left="40"/>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362" w:lineRule="exact"/>
        <w:rPr>
          <w:sz w:val="20"/>
          <w:szCs w:val="20"/>
          <w:color w:val="auto"/>
        </w:rPr>
      </w:pPr>
    </w:p>
    <w:p>
      <w:pPr>
        <w:ind w:left="720" w:hanging="405"/>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Conditions precedent</w:t>
      </w:r>
    </w:p>
    <w:p>
      <w:pPr>
        <w:spacing w:after="0" w:line="86" w:lineRule="exact"/>
        <w:rPr>
          <w:sz w:val="20"/>
          <w:szCs w:val="20"/>
          <w:color w:val="auto"/>
        </w:rPr>
      </w:pPr>
    </w:p>
    <w:p>
      <w:pPr>
        <w:ind w:left="320"/>
        <w:spacing w:after="0"/>
        <w:tabs>
          <w:tab w:leader="none" w:pos="72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1"/>
          <w:szCs w:val="11"/>
          <w:b w:val="1"/>
          <w:bCs w:val="1"/>
          <w:color w:val="auto"/>
        </w:rPr>
        <w:t>Conditions precedent to Effective Date</w:t>
      </w:r>
    </w:p>
    <w:p>
      <w:pPr>
        <w:spacing w:after="0" w:line="47" w:lineRule="exact"/>
        <w:rPr>
          <w:sz w:val="20"/>
          <w:szCs w:val="20"/>
          <w:color w:val="auto"/>
        </w:rPr>
      </w:pPr>
    </w:p>
    <w:p>
      <w:pPr>
        <w:ind w:left="740"/>
        <w:spacing w:after="0"/>
        <w:rPr>
          <w:sz w:val="20"/>
          <w:szCs w:val="20"/>
          <w:color w:val="auto"/>
        </w:rPr>
      </w:pPr>
      <w:r>
        <w:rPr>
          <w:rFonts w:ascii="Arial" w:cs="Arial" w:eastAsia="Arial" w:hAnsi="Arial"/>
          <w:sz w:val="11"/>
          <w:szCs w:val="11"/>
          <w:color w:val="auto"/>
        </w:rPr>
        <w:t>The amendments to the Facility Agreement effected by this deed, and the occurrence of the Effective Date, are subject to the following conditions precedent that:</w:t>
      </w:r>
    </w:p>
    <w:p>
      <w:pPr>
        <w:spacing w:after="0" w:line="46" w:lineRule="exact"/>
        <w:rPr>
          <w:sz w:val="20"/>
          <w:szCs w:val="20"/>
          <w:color w:val="auto"/>
        </w:rPr>
      </w:pPr>
    </w:p>
    <w:p>
      <w:pPr>
        <w:ind w:left="1020" w:right="580" w:hanging="285"/>
        <w:spacing w:after="0" w:line="256" w:lineRule="auto"/>
        <w:tabs>
          <w:tab w:leader="none" w:pos="10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at least two clear Business Days (or such shorter period as the Bank may agree) before the Effective Date, the Bank has received, in form and substance satisfactory to the Bank:</w:t>
      </w:r>
    </w:p>
    <w:p>
      <w:pPr>
        <w:spacing w:after="0" w:line="22" w:lineRule="exact"/>
        <w:rPr>
          <w:rFonts w:ascii="Arial" w:cs="Arial" w:eastAsia="Arial" w:hAnsi="Arial"/>
          <w:sz w:val="11"/>
          <w:szCs w:val="11"/>
          <w:color w:val="auto"/>
        </w:rPr>
      </w:pPr>
    </w:p>
    <w:p>
      <w:pPr>
        <w:ind w:left="1300" w:hanging="272"/>
        <w:spacing w:after="0"/>
        <w:tabs>
          <w:tab w:leader="none" w:pos="1300" w:val="left"/>
        </w:tabs>
        <w:numPr>
          <w:ilvl w:val="2"/>
          <w:numId w:val="17"/>
        </w:numPr>
        <w:rPr>
          <w:rFonts w:ascii="Arial" w:cs="Arial" w:eastAsia="Arial" w:hAnsi="Arial"/>
          <w:sz w:val="11"/>
          <w:szCs w:val="11"/>
          <w:color w:val="auto"/>
        </w:rPr>
      </w:pPr>
      <w:r>
        <w:rPr>
          <w:rFonts w:ascii="Arial" w:cs="Arial" w:eastAsia="Arial" w:hAnsi="Arial"/>
          <w:sz w:val="11"/>
          <w:szCs w:val="11"/>
          <w:color w:val="auto"/>
        </w:rPr>
        <w:t>a fully executed original copy of this deed, duly executed by the Borrower and each Corporate Guarantor;</w:t>
      </w:r>
    </w:p>
    <w:p>
      <w:pPr>
        <w:spacing w:after="0" w:line="53" w:lineRule="exact"/>
        <w:rPr>
          <w:rFonts w:ascii="Arial" w:cs="Arial" w:eastAsia="Arial" w:hAnsi="Arial"/>
          <w:sz w:val="11"/>
          <w:szCs w:val="11"/>
          <w:color w:val="auto"/>
        </w:rPr>
      </w:pPr>
    </w:p>
    <w:p>
      <w:pPr>
        <w:ind w:left="1300" w:hanging="272"/>
        <w:spacing w:after="0"/>
        <w:tabs>
          <w:tab w:leader="none" w:pos="1300" w:val="left"/>
        </w:tabs>
        <w:numPr>
          <w:ilvl w:val="2"/>
          <w:numId w:val="17"/>
        </w:numPr>
        <w:rPr>
          <w:rFonts w:ascii="Arial" w:cs="Arial" w:eastAsia="Arial" w:hAnsi="Arial"/>
          <w:sz w:val="11"/>
          <w:szCs w:val="11"/>
          <w:color w:val="auto"/>
        </w:rPr>
      </w:pPr>
      <w:r>
        <w:rPr>
          <w:rFonts w:ascii="Arial" w:cs="Arial" w:eastAsia="Arial" w:hAnsi="Arial"/>
          <w:sz w:val="11"/>
          <w:szCs w:val="11"/>
          <w:color w:val="auto"/>
        </w:rPr>
        <w:t>a non-refundable amendment fee of $150,000;</w:t>
      </w:r>
    </w:p>
    <w:p>
      <w:pPr>
        <w:spacing w:after="0" w:line="68" w:lineRule="exact"/>
        <w:rPr>
          <w:rFonts w:ascii="Arial" w:cs="Arial" w:eastAsia="Arial" w:hAnsi="Arial"/>
          <w:sz w:val="11"/>
          <w:szCs w:val="11"/>
          <w:color w:val="auto"/>
        </w:rPr>
      </w:pPr>
    </w:p>
    <w:p>
      <w:pPr>
        <w:ind w:left="1300" w:hanging="272"/>
        <w:spacing w:after="0"/>
        <w:tabs>
          <w:tab w:leader="none" w:pos="1300" w:val="left"/>
        </w:tabs>
        <w:numPr>
          <w:ilvl w:val="2"/>
          <w:numId w:val="17"/>
        </w:numPr>
        <w:rPr>
          <w:rFonts w:ascii="Arial" w:cs="Arial" w:eastAsia="Arial" w:hAnsi="Arial"/>
          <w:sz w:val="11"/>
          <w:szCs w:val="11"/>
          <w:color w:val="auto"/>
        </w:rPr>
      </w:pPr>
      <w:r>
        <w:rPr>
          <w:rFonts w:ascii="Arial" w:cs="Arial" w:eastAsia="Arial" w:hAnsi="Arial"/>
          <w:sz w:val="11"/>
          <w:szCs w:val="11"/>
          <w:color w:val="auto"/>
        </w:rPr>
        <w:t>anything which the Bank has reasonably requested that the Borrower or a Corporate Guarantor provide to it in relation to any Transaction Document;</w:t>
      </w:r>
    </w:p>
    <w:p>
      <w:pPr>
        <w:spacing w:after="0" w:line="46" w:lineRule="exact"/>
        <w:rPr>
          <w:rFonts w:ascii="Arial" w:cs="Arial" w:eastAsia="Arial" w:hAnsi="Arial"/>
          <w:sz w:val="11"/>
          <w:szCs w:val="11"/>
          <w:color w:val="auto"/>
        </w:rPr>
      </w:pPr>
    </w:p>
    <w:p>
      <w:pPr>
        <w:ind w:left="1020" w:right="140" w:hanging="270"/>
        <w:spacing w:after="0" w:line="256" w:lineRule="auto"/>
        <w:tabs>
          <w:tab w:leader="none" w:pos="1020" w:val="left"/>
        </w:tabs>
        <w:numPr>
          <w:ilvl w:val="1"/>
          <w:numId w:val="17"/>
        </w:numPr>
        <w:rPr>
          <w:rFonts w:ascii="Arial" w:cs="Arial" w:eastAsia="Arial" w:hAnsi="Arial"/>
          <w:sz w:val="11"/>
          <w:szCs w:val="11"/>
          <w:color w:val="auto"/>
        </w:rPr>
      </w:pPr>
      <w:r>
        <w:rPr>
          <w:rFonts w:ascii="Arial" w:cs="Arial" w:eastAsia="Arial" w:hAnsi="Arial"/>
          <w:sz w:val="11"/>
          <w:szCs w:val="11"/>
          <w:color w:val="auto"/>
        </w:rPr>
        <w:t>the representations and warranties set out in clauses 8.1 and 8.2 of the Amended Facility Agreement are correct and not misleading on the date that the Borrower and each Corporate Guarantor execute this deed;</w:t>
      </w:r>
    </w:p>
    <w:p>
      <w:pPr>
        <w:spacing w:after="0" w:line="38" w:lineRule="exact"/>
        <w:rPr>
          <w:sz w:val="20"/>
          <w:szCs w:val="20"/>
          <w:color w:val="auto"/>
        </w:rPr>
      </w:pPr>
    </w:p>
    <w:p>
      <w:pPr>
        <w:ind w:left="1020" w:hanging="285"/>
        <w:spacing w:after="0"/>
        <w:tabs>
          <w:tab w:leader="none" w:pos="10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no Event of Default or Potential Event of Default subsists; and</w:t>
      </w:r>
    </w:p>
    <w:p>
      <w:pPr>
        <w:spacing w:after="0" w:line="68" w:lineRule="exact"/>
        <w:rPr>
          <w:rFonts w:ascii="Arial" w:cs="Arial" w:eastAsia="Arial" w:hAnsi="Arial"/>
          <w:sz w:val="11"/>
          <w:szCs w:val="11"/>
          <w:color w:val="auto"/>
        </w:rPr>
      </w:pPr>
    </w:p>
    <w:p>
      <w:pPr>
        <w:ind w:left="1020" w:hanging="270"/>
        <w:spacing w:after="0"/>
        <w:tabs>
          <w:tab w:leader="none" w:pos="1020" w:val="left"/>
        </w:tabs>
        <w:numPr>
          <w:ilvl w:val="1"/>
          <w:numId w:val="18"/>
        </w:numPr>
        <w:rPr>
          <w:rFonts w:ascii="Arial" w:cs="Arial" w:eastAsia="Arial" w:hAnsi="Arial"/>
          <w:sz w:val="11"/>
          <w:szCs w:val="11"/>
          <w:color w:val="auto"/>
        </w:rPr>
      </w:pPr>
      <w:r>
        <w:rPr>
          <w:rFonts w:ascii="Arial" w:cs="Arial" w:eastAsia="Arial" w:hAnsi="Arial"/>
          <w:sz w:val="11"/>
          <w:szCs w:val="11"/>
          <w:color w:val="auto"/>
        </w:rPr>
        <w:t>the Effective Date is no later than 15 August 2023, or such later date agreed by the Bank.</w:t>
      </w:r>
    </w:p>
    <w:p>
      <w:pPr>
        <w:spacing w:after="0" w:line="101" w:lineRule="exact"/>
        <w:rPr>
          <w:sz w:val="20"/>
          <w:szCs w:val="20"/>
          <w:color w:val="auto"/>
        </w:rPr>
      </w:pPr>
    </w:p>
    <w:p>
      <w:pPr>
        <w:ind w:left="320"/>
        <w:spacing w:after="0"/>
        <w:tabs>
          <w:tab w:leader="none" w:pos="72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1"/>
          <w:szCs w:val="11"/>
          <w:b w:val="1"/>
          <w:bCs w:val="1"/>
          <w:color w:val="auto"/>
        </w:rPr>
        <w:t>Satisfaction of conditions precedent</w:t>
      </w:r>
    </w:p>
    <w:p>
      <w:pPr>
        <w:spacing w:after="0" w:line="47" w:lineRule="exact"/>
        <w:rPr>
          <w:sz w:val="20"/>
          <w:szCs w:val="20"/>
          <w:color w:val="auto"/>
        </w:rPr>
      </w:pPr>
    </w:p>
    <w:p>
      <w:pPr>
        <w:ind w:left="1020" w:hanging="270"/>
        <w:spacing w:after="0"/>
        <w:tabs>
          <w:tab w:leader="none" w:pos="1020" w:val="left"/>
        </w:tabs>
        <w:numPr>
          <w:ilvl w:val="1"/>
          <w:numId w:val="19"/>
        </w:numPr>
        <w:rPr>
          <w:rFonts w:ascii="Arial" w:cs="Arial" w:eastAsia="Arial" w:hAnsi="Arial"/>
          <w:sz w:val="11"/>
          <w:szCs w:val="11"/>
          <w:color w:val="auto"/>
        </w:rPr>
      </w:pPr>
      <w:r>
        <w:rPr>
          <w:rFonts w:ascii="Arial" w:cs="Arial" w:eastAsia="Arial" w:hAnsi="Arial"/>
          <w:sz w:val="11"/>
          <w:szCs w:val="11"/>
          <w:color w:val="auto"/>
        </w:rPr>
        <w:t>The Borrower and each Corporate Guarantor must use their best endeavours to satisfy the conditions precedent.</w:t>
      </w:r>
    </w:p>
    <w:p>
      <w:pPr>
        <w:spacing w:after="0" w:line="40" w:lineRule="exact"/>
        <w:rPr>
          <w:rFonts w:ascii="Arial" w:cs="Arial" w:eastAsia="Arial" w:hAnsi="Arial"/>
          <w:sz w:val="11"/>
          <w:szCs w:val="11"/>
          <w:color w:val="auto"/>
        </w:rPr>
      </w:pPr>
    </w:p>
    <w:p>
      <w:pPr>
        <w:ind w:left="1020" w:right="140" w:hanging="285"/>
        <w:spacing w:after="0" w:line="268" w:lineRule="auto"/>
        <w:tabs>
          <w:tab w:leader="none" w:pos="10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 xml:space="preserve">Any certificates or copies of documents referred to in </w:t>
      </w:r>
      <w:r>
        <w:rPr>
          <w:rFonts w:ascii="Arial" w:cs="Arial" w:eastAsia="Arial" w:hAnsi="Arial"/>
          <w:sz w:val="11"/>
          <w:szCs w:val="11"/>
          <w:b w:val="1"/>
          <w:bCs w:val="1"/>
          <w:color w:val="auto"/>
        </w:rPr>
        <w:t>clause 3.1</w:t>
      </w:r>
      <w:r>
        <w:rPr>
          <w:rFonts w:ascii="Arial" w:cs="Arial" w:eastAsia="Arial" w:hAnsi="Arial"/>
          <w:sz w:val="11"/>
          <w:szCs w:val="11"/>
          <w:color w:val="auto"/>
        </w:rPr>
        <w:t xml:space="preserve"> must be certified by a company secretary or director of the Borrower or a Corporate Guarantor (as applicable) as being true, complete and current.</w:t>
      </w:r>
    </w:p>
    <w:p>
      <w:pPr>
        <w:spacing w:after="0" w:line="31" w:lineRule="exact"/>
        <w:rPr>
          <w:rFonts w:ascii="Arial" w:cs="Arial" w:eastAsia="Arial" w:hAnsi="Arial"/>
          <w:sz w:val="11"/>
          <w:szCs w:val="11"/>
          <w:color w:val="auto"/>
        </w:rPr>
      </w:pPr>
    </w:p>
    <w:p>
      <w:pPr>
        <w:ind w:left="1020" w:hanging="285"/>
        <w:spacing w:after="0"/>
        <w:tabs>
          <w:tab w:leader="none" w:pos="10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The conditions precedent are for the benefit of the Bank.</w:t>
      </w:r>
    </w:p>
    <w:p>
      <w:pPr>
        <w:spacing w:after="0" w:line="68" w:lineRule="exact"/>
        <w:rPr>
          <w:rFonts w:ascii="Arial" w:cs="Arial" w:eastAsia="Arial" w:hAnsi="Arial"/>
          <w:sz w:val="11"/>
          <w:szCs w:val="11"/>
          <w:color w:val="auto"/>
        </w:rPr>
      </w:pPr>
    </w:p>
    <w:p>
      <w:pPr>
        <w:ind w:left="1020" w:right="200" w:hanging="285"/>
        <w:spacing w:after="0" w:line="256" w:lineRule="auto"/>
        <w:tabs>
          <w:tab w:leader="none" w:pos="10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The Bank may waive, or agree to a delay of, the satisfaction of any of the conditions precedent in writing at any time before or after the time by which they must be satisfied.</w:t>
      </w:r>
    </w:p>
    <w:p>
      <w:pPr>
        <w:spacing w:after="0" w:line="205" w:lineRule="exact"/>
        <w:rPr>
          <w:sz w:val="20"/>
          <w:szCs w:val="20"/>
          <w:color w:val="auto"/>
        </w:rPr>
      </w:pPr>
    </w:p>
    <w:p>
      <w:pPr>
        <w:ind w:left="720" w:hanging="405"/>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Amendment of Facility Agreement</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80" w:type="dxa"/>
            <w:vAlign w:val="bottom"/>
          </w:tcPr>
          <w:p>
            <w:pPr>
              <w:jc w:val="right"/>
              <w:ind w:right="193"/>
              <w:spacing w:after="0"/>
              <w:rPr>
                <w:sz w:val="20"/>
                <w:szCs w:val="20"/>
                <w:color w:val="auto"/>
              </w:rPr>
            </w:pPr>
            <w:r>
              <w:rPr>
                <w:rFonts w:ascii="Arial" w:cs="Arial" w:eastAsia="Arial" w:hAnsi="Arial"/>
                <w:sz w:val="12"/>
                <w:szCs w:val="12"/>
                <w:b w:val="1"/>
                <w:bCs w:val="1"/>
                <w:color w:val="auto"/>
              </w:rPr>
              <w:t>4.1</w:t>
            </w:r>
          </w:p>
        </w:tc>
        <w:tc>
          <w:tcPr>
            <w:tcW w:w="3840" w:type="dxa"/>
            <w:vAlign w:val="bottom"/>
          </w:tcPr>
          <w:p>
            <w:pPr>
              <w:ind w:left="20"/>
              <w:spacing w:after="0"/>
              <w:rPr>
                <w:sz w:val="20"/>
                <w:szCs w:val="20"/>
                <w:color w:val="auto"/>
              </w:rPr>
            </w:pPr>
            <w:r>
              <w:rPr>
                <w:rFonts w:ascii="Arial" w:cs="Arial" w:eastAsia="Arial" w:hAnsi="Arial"/>
                <w:sz w:val="12"/>
                <w:szCs w:val="12"/>
                <w:b w:val="1"/>
                <w:bCs w:val="1"/>
                <w:color w:val="auto"/>
              </w:rPr>
              <w:t>Amendment</w:t>
            </w: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9"/>
        </w:trPr>
        <w:tc>
          <w:tcPr>
            <w:tcW w:w="680" w:type="dxa"/>
            <w:vAlign w:val="bottom"/>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1"/>
                <w:szCs w:val="11"/>
                <w:color w:val="auto"/>
              </w:rPr>
              <w:t>O n a n d from the Effective Date, the Facility Agreement is  amended in</w:t>
            </w:r>
          </w:p>
        </w:tc>
        <w:tc>
          <w:tcPr>
            <w:tcW w:w="4640" w:type="dxa"/>
            <w:vAlign w:val="bottom"/>
            <w:gridSpan w:val="2"/>
          </w:tcPr>
          <w:p>
            <w:pPr>
              <w:ind w:left="60"/>
              <w:spacing w:after="0"/>
              <w:rPr>
                <w:sz w:val="20"/>
                <w:szCs w:val="20"/>
                <w:color w:val="auto"/>
              </w:rPr>
            </w:pPr>
            <w:r>
              <w:rPr>
                <w:rFonts w:ascii="Arial" w:cs="Arial" w:eastAsia="Arial" w:hAnsi="Arial"/>
                <w:sz w:val="11"/>
                <w:szCs w:val="11"/>
                <w:color w:val="auto"/>
              </w:rPr>
              <w:t xml:space="preserve">the form of t h e </w:t>
            </w:r>
            <w:r>
              <w:rPr>
                <w:rFonts w:ascii="Arial" w:cs="Arial" w:eastAsia="Arial" w:hAnsi="Arial"/>
                <w:sz w:val="11"/>
                <w:szCs w:val="11"/>
                <w:b w:val="1"/>
                <w:bCs w:val="1"/>
                <w:color w:val="auto"/>
              </w:rPr>
              <w:t>annexure</w:t>
            </w:r>
            <w:r>
              <w:rPr>
                <w:rFonts w:ascii="Arial" w:cs="Arial" w:eastAsia="Arial" w:hAnsi="Arial"/>
                <w:sz w:val="11"/>
                <w:szCs w:val="11"/>
                <w:color w:val="auto"/>
              </w:rPr>
              <w:t>, by deleting the items struck through, and by adding the</w:t>
            </w:r>
          </w:p>
        </w:tc>
      </w:tr>
      <w:tr>
        <w:trPr>
          <w:trHeight w:val="142"/>
        </w:trPr>
        <w:tc>
          <w:tcPr>
            <w:tcW w:w="680" w:type="dxa"/>
            <w:vAlign w:val="bottom"/>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1"/>
                <w:szCs w:val="11"/>
                <w:color w:val="auto"/>
              </w:rPr>
              <w:t>items underlined.</w:t>
            </w:r>
          </w:p>
        </w:tc>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1"/>
        </w:trPr>
        <w:tc>
          <w:tcPr>
            <w:tcW w:w="6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680" w:type="dxa"/>
            <w:vAlign w:val="bottom"/>
          </w:tcPr>
          <w:p>
            <w:pPr>
              <w:spacing w:after="0"/>
              <w:rPr>
                <w:sz w:val="20"/>
                <w:szCs w:val="20"/>
                <w:color w:val="auto"/>
              </w:rPr>
            </w:pPr>
            <w:r>
              <w:rPr>
                <w:rFonts w:ascii="Arial" w:cs="Arial" w:eastAsia="Arial" w:hAnsi="Arial"/>
                <w:sz w:val="8"/>
                <w:szCs w:val="8"/>
                <w:color w:val="auto"/>
                <w:w w:val="98"/>
              </w:rPr>
              <w:t>3449-8791-0181v3</w:t>
            </w:r>
          </w:p>
        </w:tc>
        <w:tc>
          <w:tcPr>
            <w:tcW w:w="3840" w:type="dxa"/>
            <w:vAlign w:val="bottom"/>
          </w:tcPr>
          <w:p>
            <w:pPr>
              <w:spacing w:after="0"/>
              <w:rPr>
                <w:sz w:val="19"/>
                <w:szCs w:val="19"/>
                <w:color w:val="auto"/>
              </w:rPr>
            </w:pPr>
          </w:p>
        </w:tc>
        <w:tc>
          <w:tcPr>
            <w:tcW w:w="4640" w:type="dxa"/>
            <w:vAlign w:val="bottom"/>
            <w:gridSpan w:val="2"/>
          </w:tcPr>
          <w:p>
            <w:pPr>
              <w:ind w:left="4300"/>
              <w:spacing w:after="0"/>
              <w:rPr>
                <w:sz w:val="20"/>
                <w:szCs w:val="20"/>
                <w:color w:val="auto"/>
              </w:rPr>
            </w:pPr>
            <w:r>
              <w:rPr>
                <w:rFonts w:ascii="Arial" w:cs="Arial" w:eastAsia="Arial" w:hAnsi="Arial"/>
                <w:sz w:val="11"/>
                <w:szCs w:val="11"/>
                <w:color w:val="auto"/>
                <w:w w:val="94"/>
              </w:rPr>
              <w:t>page 2</w:t>
            </w:r>
          </w:p>
        </w:tc>
      </w:tr>
      <w:tr>
        <w:trPr>
          <w:trHeight w:val="105"/>
        </w:trPr>
        <w:tc>
          <w:tcPr>
            <w:tcW w:w="680" w:type="dxa"/>
            <w:vAlign w:val="bottom"/>
          </w:tcPr>
          <w:p>
            <w:pPr>
              <w:spacing w:after="0"/>
              <w:rPr>
                <w:sz w:val="20"/>
                <w:szCs w:val="20"/>
                <w:color w:val="auto"/>
              </w:rPr>
            </w:pPr>
            <w:r>
              <w:rPr>
                <w:rFonts w:ascii="Arial" w:cs="Arial" w:eastAsia="Arial" w:hAnsi="Arial"/>
                <w:sz w:val="8"/>
                <w:szCs w:val="8"/>
                <w:color w:val="auto"/>
              </w:rPr>
              <w:t>Amendment Deed</w:t>
            </w:r>
          </w:p>
        </w:tc>
        <w:tc>
          <w:tcPr>
            <w:tcW w:w="384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3"/>
        </w:trPr>
        <w:tc>
          <w:tcPr>
            <w:tcW w:w="680" w:type="dxa"/>
            <w:vAlign w:val="bottom"/>
            <w:tcBorders>
              <w:bottom w:val="single" w:sz="8" w:color="EEEEEE"/>
            </w:tcBorders>
          </w:tcPr>
          <w:p>
            <w:pPr>
              <w:spacing w:after="0"/>
              <w:rPr>
                <w:sz w:val="17"/>
                <w:szCs w:val="17"/>
                <w:color w:val="auto"/>
              </w:rPr>
            </w:pPr>
          </w:p>
        </w:tc>
        <w:tc>
          <w:tcPr>
            <w:tcW w:w="3840" w:type="dxa"/>
            <w:vAlign w:val="bottom"/>
            <w:tcBorders>
              <w:bottom w:val="single" w:sz="8" w:color="EEEEEE"/>
            </w:tcBorders>
          </w:tcPr>
          <w:p>
            <w:pPr>
              <w:spacing w:after="0"/>
              <w:rPr>
                <w:sz w:val="17"/>
                <w:szCs w:val="17"/>
                <w:color w:val="auto"/>
              </w:rPr>
            </w:pPr>
          </w:p>
        </w:tc>
        <w:tc>
          <w:tcPr>
            <w:tcW w:w="46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wp:posOffset>
            </wp:positionV>
            <wp:extent cx="585025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50255" cy="40005"/>
                    </a:xfrm>
                    <a:prstGeom prst="rect">
                      <a:avLst/>
                    </a:prstGeom>
                    <a:noFill/>
                  </pic:spPr>
                </pic:pic>
              </a:graphicData>
            </a:graphic>
          </wp:anchor>
        </w:drawing>
      </w:r>
    </w:p>
    <w:p>
      <w:pPr>
        <w:sectPr>
          <w:pgSz w:w="11900" w:h="16840" w:orient="portrait"/>
          <w:cols w:equalWidth="0" w:num="1">
            <w:col w:w="9200"/>
          </w:cols>
          <w:pgMar w:left="1440" w:top="565" w:right="1260" w:bottom="1440" w:gutter="0" w:footer="0" w:header="0"/>
        </w:sectPr>
      </w:pPr>
    </w:p>
    <w:bookmarkStart w:id="53" w:name="page54"/>
    <w:bookmarkEnd w:id="53"/>
    <w:p>
      <w:pPr>
        <w:ind w:left="40"/>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354" w:lineRule="exact"/>
        <w:rPr>
          <w:sz w:val="20"/>
          <w:szCs w:val="20"/>
          <w:color w:val="auto"/>
        </w:rPr>
      </w:pPr>
    </w:p>
    <w:p>
      <w:pPr>
        <w:ind w:left="320"/>
        <w:spacing w:after="0"/>
        <w:tabs>
          <w:tab w:leader="none" w:pos="720"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1"/>
          <w:szCs w:val="11"/>
          <w:b w:val="1"/>
          <w:bCs w:val="1"/>
          <w:color w:val="auto"/>
        </w:rPr>
        <w:t>Parties bound</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The parties will be bound by the Amended Facility Agreement on and from the Effective Date.</w:t>
      </w:r>
    </w:p>
    <w:p>
      <w:pPr>
        <w:spacing w:after="0" w:line="288" w:lineRule="exact"/>
        <w:rPr>
          <w:sz w:val="20"/>
          <w:szCs w:val="20"/>
          <w:color w:val="auto"/>
        </w:rPr>
      </w:pPr>
    </w:p>
    <w:p>
      <w:pPr>
        <w:ind w:left="720" w:hanging="405"/>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Representations and warranties</w:t>
      </w:r>
    </w:p>
    <w:p>
      <w:pPr>
        <w:spacing w:after="0" w:line="63" w:lineRule="exact"/>
        <w:rPr>
          <w:sz w:val="20"/>
          <w:szCs w:val="20"/>
          <w:color w:val="auto"/>
        </w:rPr>
      </w:pPr>
    </w:p>
    <w:p>
      <w:pPr>
        <w:ind w:left="320"/>
        <w:spacing w:after="0"/>
        <w:tabs>
          <w:tab w:leader="none" w:pos="720"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1"/>
          <w:szCs w:val="11"/>
          <w:b w:val="1"/>
          <w:bCs w:val="1"/>
          <w:color w:val="auto"/>
        </w:rPr>
        <w:t>General</w:t>
      </w:r>
    </w:p>
    <w:p>
      <w:pPr>
        <w:spacing w:after="0" w:line="47" w:lineRule="exact"/>
        <w:rPr>
          <w:sz w:val="20"/>
          <w:szCs w:val="20"/>
          <w:color w:val="auto"/>
        </w:rPr>
      </w:pPr>
    </w:p>
    <w:p>
      <w:pPr>
        <w:ind w:left="740"/>
        <w:spacing w:after="0"/>
        <w:rPr>
          <w:sz w:val="20"/>
          <w:szCs w:val="20"/>
          <w:color w:val="auto"/>
        </w:rPr>
      </w:pPr>
      <w:r>
        <w:rPr>
          <w:rFonts w:ascii="Arial" w:cs="Arial" w:eastAsia="Arial" w:hAnsi="Arial"/>
          <w:sz w:val="11"/>
          <w:szCs w:val="11"/>
          <w:color w:val="auto"/>
        </w:rPr>
        <w:t>The Borrower and the Corporate Guarantors each represent and warrant that at the time of its execution of this deed:</w:t>
      </w:r>
    </w:p>
    <w:p>
      <w:pPr>
        <w:spacing w:after="0" w:line="46" w:lineRule="exact"/>
        <w:rPr>
          <w:sz w:val="20"/>
          <w:szCs w:val="20"/>
          <w:color w:val="auto"/>
        </w:rPr>
      </w:pPr>
    </w:p>
    <w:p>
      <w:pPr>
        <w:ind w:left="1020" w:hanging="270"/>
        <w:spacing w:after="0"/>
        <w:tabs>
          <w:tab w:leader="none" w:pos="10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it has capacity unconditionally to execute, deliver and comply with its obligations under this deed;</w:t>
      </w:r>
    </w:p>
    <w:p>
      <w:pPr>
        <w:spacing w:after="0" w:line="46" w:lineRule="exact"/>
        <w:rPr>
          <w:rFonts w:ascii="Arial" w:cs="Arial" w:eastAsia="Arial" w:hAnsi="Arial"/>
          <w:sz w:val="11"/>
          <w:szCs w:val="11"/>
          <w:color w:val="auto"/>
        </w:rPr>
      </w:pPr>
    </w:p>
    <w:p>
      <w:pPr>
        <w:ind w:left="1020" w:hanging="270"/>
        <w:spacing w:after="0"/>
        <w:tabs>
          <w:tab w:leader="none" w:pos="10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it has taken all necessary action to authorise the unconditional execution and delivery of, and compliance with, its obligations under this deed;</w:t>
      </w:r>
    </w:p>
    <w:p>
      <w:pPr>
        <w:spacing w:after="0" w:line="46" w:lineRule="exact"/>
        <w:rPr>
          <w:rFonts w:ascii="Arial" w:cs="Arial" w:eastAsia="Arial" w:hAnsi="Arial"/>
          <w:sz w:val="11"/>
          <w:szCs w:val="11"/>
          <w:color w:val="auto"/>
        </w:rPr>
      </w:pPr>
    </w:p>
    <w:p>
      <w:pPr>
        <w:ind w:left="1020" w:hanging="270"/>
        <w:spacing w:after="0"/>
        <w:tabs>
          <w:tab w:leader="none" w:pos="10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this deed constitutes the valid and legally binding obligations of it and is enforceable against it in accordance with its terms;</w:t>
      </w:r>
    </w:p>
    <w:p>
      <w:pPr>
        <w:spacing w:after="0" w:line="46" w:lineRule="exact"/>
        <w:rPr>
          <w:rFonts w:ascii="Arial" w:cs="Arial" w:eastAsia="Arial" w:hAnsi="Arial"/>
          <w:sz w:val="11"/>
          <w:szCs w:val="11"/>
          <w:color w:val="auto"/>
        </w:rPr>
      </w:pPr>
    </w:p>
    <w:p>
      <w:pPr>
        <w:ind w:left="1020" w:hanging="270"/>
        <w:spacing w:after="0"/>
        <w:tabs>
          <w:tab w:leader="none" w:pos="10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it has duly executed each of the Transaction Documents to which it is expressed to be a party;</w:t>
      </w:r>
    </w:p>
    <w:p>
      <w:pPr>
        <w:spacing w:after="0" w:line="46" w:lineRule="exact"/>
        <w:rPr>
          <w:rFonts w:ascii="Arial" w:cs="Arial" w:eastAsia="Arial" w:hAnsi="Arial"/>
          <w:sz w:val="11"/>
          <w:szCs w:val="11"/>
          <w:color w:val="auto"/>
        </w:rPr>
      </w:pPr>
    </w:p>
    <w:p>
      <w:pPr>
        <w:ind w:left="1020" w:hanging="270"/>
        <w:spacing w:after="0"/>
        <w:tabs>
          <w:tab w:leader="none" w:pos="10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Transaction Documents are valid and enforceable in accordance with their respective terms; and</w:t>
      </w:r>
    </w:p>
    <w:p>
      <w:pPr>
        <w:spacing w:after="0" w:line="46" w:lineRule="exact"/>
        <w:rPr>
          <w:rFonts w:ascii="Arial" w:cs="Arial" w:eastAsia="Arial" w:hAnsi="Arial"/>
          <w:sz w:val="11"/>
          <w:szCs w:val="11"/>
          <w:color w:val="auto"/>
        </w:rPr>
      </w:pPr>
    </w:p>
    <w:p>
      <w:pPr>
        <w:ind w:left="1020" w:right="400" w:hanging="270"/>
        <w:spacing w:after="0" w:line="256" w:lineRule="auto"/>
        <w:tabs>
          <w:tab w:leader="none" w:pos="10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its unconditional execution and delivery of, and compliance with its obligations under, this deed do not contravene its constituent documents or any obligation of it under any law or to any other person.</w:t>
      </w:r>
    </w:p>
    <w:p>
      <w:pPr>
        <w:spacing w:after="0" w:line="55" w:lineRule="exact"/>
        <w:rPr>
          <w:sz w:val="20"/>
          <w:szCs w:val="20"/>
          <w:color w:val="auto"/>
        </w:rPr>
      </w:pPr>
    </w:p>
    <w:p>
      <w:pPr>
        <w:ind w:left="320"/>
        <w:spacing w:after="0"/>
        <w:tabs>
          <w:tab w:leader="none" w:pos="720"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1"/>
          <w:szCs w:val="11"/>
          <w:b w:val="1"/>
          <w:bCs w:val="1"/>
          <w:color w:val="auto"/>
        </w:rPr>
        <w:t>Survival of representations and warranties</w:t>
      </w:r>
    </w:p>
    <w:p>
      <w:pPr>
        <w:spacing w:after="0" w:line="4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 xml:space="preserve">The representations and warranties in </w:t>
      </w:r>
      <w:r>
        <w:rPr>
          <w:rFonts w:ascii="Arial" w:cs="Arial" w:eastAsia="Arial" w:hAnsi="Arial"/>
          <w:sz w:val="11"/>
          <w:szCs w:val="11"/>
          <w:b w:val="1"/>
          <w:bCs w:val="1"/>
          <w:color w:val="auto"/>
        </w:rPr>
        <w:t>clause 5.1</w:t>
      </w:r>
      <w:r>
        <w:rPr>
          <w:rFonts w:ascii="Arial" w:cs="Arial" w:eastAsia="Arial" w:hAnsi="Arial"/>
          <w:sz w:val="11"/>
          <w:szCs w:val="11"/>
          <w:color w:val="auto"/>
        </w:rPr>
        <w:t xml:space="preserve"> survive the execution of this deed and the amendment of the Facility Agreement.</w:t>
      </w:r>
    </w:p>
    <w:p>
      <w:pPr>
        <w:spacing w:after="0" w:line="234" w:lineRule="exact"/>
        <w:rPr>
          <w:sz w:val="20"/>
          <w:szCs w:val="20"/>
          <w:color w:val="auto"/>
        </w:rPr>
      </w:pPr>
    </w:p>
    <w:p>
      <w:pPr>
        <w:ind w:left="720" w:hanging="405"/>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Acknowledgments</w:t>
      </w:r>
    </w:p>
    <w:p>
      <w:pPr>
        <w:spacing w:after="0" w:line="39" w:lineRule="exact"/>
        <w:rPr>
          <w:sz w:val="20"/>
          <w:szCs w:val="20"/>
          <w:color w:val="auto"/>
        </w:rPr>
      </w:pPr>
    </w:p>
    <w:p>
      <w:pPr>
        <w:ind w:left="740"/>
        <w:spacing w:after="0"/>
        <w:rPr>
          <w:sz w:val="20"/>
          <w:szCs w:val="20"/>
          <w:color w:val="auto"/>
        </w:rPr>
      </w:pPr>
      <w:r>
        <w:rPr>
          <w:rFonts w:ascii="Arial" w:cs="Arial" w:eastAsia="Arial" w:hAnsi="Arial"/>
          <w:sz w:val="11"/>
          <w:szCs w:val="11"/>
          <w:color w:val="auto"/>
        </w:rPr>
        <w:t>The Borrower and each Corporate Guarantor:</w:t>
      </w:r>
    </w:p>
    <w:p>
      <w:pPr>
        <w:spacing w:after="0" w:line="76" w:lineRule="exact"/>
        <w:rPr>
          <w:sz w:val="20"/>
          <w:szCs w:val="20"/>
          <w:color w:val="auto"/>
        </w:rPr>
      </w:pPr>
    </w:p>
    <w:p>
      <w:pPr>
        <w:ind w:left="1020" w:hanging="270"/>
        <w:spacing w:after="0"/>
        <w:tabs>
          <w:tab w:leader="none" w:pos="10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agree to the amendment of the Facility Agreement effected by this deed;</w:t>
      </w:r>
    </w:p>
    <w:p>
      <w:pPr>
        <w:spacing w:after="0" w:line="68" w:lineRule="exact"/>
        <w:rPr>
          <w:rFonts w:ascii="Arial" w:cs="Arial" w:eastAsia="Arial" w:hAnsi="Arial"/>
          <w:sz w:val="11"/>
          <w:szCs w:val="11"/>
          <w:color w:val="auto"/>
        </w:rPr>
      </w:pPr>
    </w:p>
    <w:p>
      <w:pPr>
        <w:ind w:left="1020" w:hanging="270"/>
        <w:spacing w:after="0"/>
        <w:tabs>
          <w:tab w:leader="none" w:pos="10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agree that this deed is a Transaction Document for the purposes of the Amended Facility Agreement;</w:t>
      </w:r>
    </w:p>
    <w:p>
      <w:pPr>
        <w:spacing w:after="0" w:line="46" w:lineRule="exact"/>
        <w:rPr>
          <w:rFonts w:ascii="Arial" w:cs="Arial" w:eastAsia="Arial" w:hAnsi="Arial"/>
          <w:sz w:val="11"/>
          <w:szCs w:val="11"/>
          <w:color w:val="auto"/>
        </w:rPr>
      </w:pPr>
    </w:p>
    <w:p>
      <w:pPr>
        <w:ind w:left="1020" w:right="260" w:hanging="270"/>
        <w:spacing w:after="0" w:line="235" w:lineRule="auto"/>
        <w:tabs>
          <w:tab w:leader="none" w:pos="10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acknowledge that the Bank has agreed to execute this deed at the request of the Borrower and the Corporate Guarantors and that, except as expressly set forth herein, this is without prejudice to any other current or future right the Bank may have against the Borrower or a Corporate Guarantor, or any</w:t>
      </w:r>
    </w:p>
    <w:p>
      <w:pPr>
        <w:ind w:left="1020"/>
        <w:spacing w:after="0"/>
        <w:rPr>
          <w:rFonts w:ascii="Arial" w:cs="Arial" w:eastAsia="Arial" w:hAnsi="Arial"/>
          <w:sz w:val="11"/>
          <w:szCs w:val="11"/>
          <w:color w:val="auto"/>
        </w:rPr>
      </w:pPr>
      <w:r>
        <w:rPr>
          <w:rFonts w:ascii="Arial" w:cs="Arial" w:eastAsia="Arial" w:hAnsi="Arial"/>
          <w:sz w:val="11"/>
          <w:szCs w:val="11"/>
          <w:color w:val="auto"/>
        </w:rPr>
        <w:t>other Security Provider or under or in connection with any Transaction Document; and</w:t>
      </w:r>
    </w:p>
    <w:p>
      <w:pPr>
        <w:spacing w:after="0" w:line="38" w:lineRule="exact"/>
        <w:rPr>
          <w:rFonts w:ascii="Arial" w:cs="Arial" w:eastAsia="Arial" w:hAnsi="Arial"/>
          <w:sz w:val="11"/>
          <w:szCs w:val="11"/>
          <w:color w:val="auto"/>
        </w:rPr>
      </w:pPr>
    </w:p>
    <w:p>
      <w:pPr>
        <w:ind w:left="1020" w:hanging="270"/>
        <w:spacing w:after="0"/>
        <w:tabs>
          <w:tab w:leader="none" w:pos="10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agree that each Collateral Security to which it is a party extends to and secures its obligations to the Bank under the Amended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156210</wp:posOffset>
            </wp:positionV>
            <wp:extent cx="5815330" cy="50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15330" cy="5080"/>
                    </a:xfrm>
                    <a:prstGeom prst="rect">
                      <a:avLst/>
                    </a:prstGeom>
                    <a:noFill/>
                  </pic:spPr>
                </pic:pic>
              </a:graphicData>
            </a:graphic>
          </wp:anchor>
        </w:drawing>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4740" w:type="dxa"/>
            <w:vAlign w:val="bottom"/>
          </w:tcPr>
          <w:p>
            <w:pPr>
              <w:spacing w:after="0"/>
              <w:rPr>
                <w:sz w:val="20"/>
                <w:szCs w:val="20"/>
                <w:color w:val="auto"/>
              </w:rPr>
            </w:pPr>
            <w:r>
              <w:rPr>
                <w:rFonts w:ascii="Arial" w:cs="Arial" w:eastAsia="Arial" w:hAnsi="Arial"/>
                <w:sz w:val="8"/>
                <w:szCs w:val="8"/>
                <w:color w:val="auto"/>
              </w:rPr>
              <w:t>3449-8791-0181v3</w:t>
            </w:r>
          </w:p>
        </w:tc>
        <w:tc>
          <w:tcPr>
            <w:tcW w:w="4420" w:type="dxa"/>
            <w:vAlign w:val="bottom"/>
          </w:tcPr>
          <w:p>
            <w:pPr>
              <w:ind w:left="4080"/>
              <w:spacing w:after="0"/>
              <w:rPr>
                <w:sz w:val="20"/>
                <w:szCs w:val="20"/>
                <w:color w:val="auto"/>
              </w:rPr>
            </w:pPr>
            <w:r>
              <w:rPr>
                <w:rFonts w:ascii="Arial" w:cs="Arial" w:eastAsia="Arial" w:hAnsi="Arial"/>
                <w:sz w:val="11"/>
                <w:szCs w:val="11"/>
                <w:color w:val="auto"/>
                <w:w w:val="94"/>
              </w:rPr>
              <w:t>page 3</w:t>
            </w:r>
          </w:p>
        </w:tc>
      </w:tr>
      <w:tr>
        <w:trPr>
          <w:trHeight w:val="105"/>
        </w:trPr>
        <w:tc>
          <w:tcPr>
            <w:tcW w:w="4740" w:type="dxa"/>
            <w:vAlign w:val="bottom"/>
          </w:tcPr>
          <w:p>
            <w:pPr>
              <w:spacing w:after="0"/>
              <w:rPr>
                <w:sz w:val="20"/>
                <w:szCs w:val="20"/>
                <w:color w:val="auto"/>
              </w:rPr>
            </w:pPr>
            <w:r>
              <w:rPr>
                <w:rFonts w:ascii="Arial" w:cs="Arial" w:eastAsia="Arial" w:hAnsi="Arial"/>
                <w:sz w:val="8"/>
                <w:szCs w:val="8"/>
                <w:color w:val="auto"/>
              </w:rPr>
              <w:t>Amendment Deed</w:t>
            </w:r>
          </w:p>
        </w:tc>
        <w:tc>
          <w:tcPr>
            <w:tcW w:w="4420" w:type="dxa"/>
            <w:vAlign w:val="bottom"/>
          </w:tcPr>
          <w:p>
            <w:pPr>
              <w:spacing w:after="0"/>
              <w:rPr>
                <w:sz w:val="9"/>
                <w:szCs w:val="9"/>
                <w:color w:val="auto"/>
              </w:rPr>
            </w:pPr>
          </w:p>
        </w:tc>
      </w:tr>
      <w:tr>
        <w:trPr>
          <w:trHeight w:val="203"/>
        </w:trPr>
        <w:tc>
          <w:tcPr>
            <w:tcW w:w="4740" w:type="dxa"/>
            <w:vAlign w:val="bottom"/>
            <w:tcBorders>
              <w:bottom w:val="single" w:sz="8" w:color="EEEEEE"/>
            </w:tcBorders>
          </w:tcPr>
          <w:p>
            <w:pPr>
              <w:spacing w:after="0"/>
              <w:rPr>
                <w:sz w:val="17"/>
                <w:szCs w:val="17"/>
                <w:color w:val="auto"/>
              </w:rPr>
            </w:pPr>
          </w:p>
        </w:tc>
        <w:tc>
          <w:tcPr>
            <w:tcW w:w="442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wp:posOffset>
            </wp:positionV>
            <wp:extent cx="5850255"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50255" cy="40005"/>
                    </a:xfrm>
                    <a:prstGeom prst="rect">
                      <a:avLst/>
                    </a:prstGeom>
                    <a:noFill/>
                  </pic:spPr>
                </pic:pic>
              </a:graphicData>
            </a:graphic>
          </wp:anchor>
        </w:drawing>
      </w:r>
    </w:p>
    <w:p>
      <w:pPr>
        <w:sectPr>
          <w:pgSz w:w="11900" w:h="16840" w:orient="portrait"/>
          <w:cols w:equalWidth="0" w:num="1">
            <w:col w:w="9200"/>
          </w:cols>
          <w:pgMar w:left="1440" w:top="565" w:right="1260" w:bottom="1440" w:gutter="0" w:footer="0" w:header="0"/>
        </w:sectPr>
      </w:pPr>
    </w:p>
    <w:bookmarkStart w:id="54" w:name="page55"/>
    <w:bookmarkEnd w:id="54"/>
    <w:p>
      <w:pPr>
        <w:ind w:left="120"/>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362" w:lineRule="exact"/>
        <w:rPr>
          <w:sz w:val="20"/>
          <w:szCs w:val="20"/>
          <w:color w:val="auto"/>
        </w:rPr>
      </w:pPr>
    </w:p>
    <w:p>
      <w:pPr>
        <w:ind w:left="800" w:hanging="405"/>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General</w:t>
      </w:r>
    </w:p>
    <w:p>
      <w:pPr>
        <w:spacing w:after="0" w:line="63"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2"/>
          <w:szCs w:val="12"/>
          <w:b w:val="1"/>
          <w:bCs w:val="1"/>
          <w:color w:val="auto"/>
        </w:rPr>
        <w:t>7.1</w:t>
      </w:r>
      <w:r>
        <w:rPr>
          <w:sz w:val="20"/>
          <w:szCs w:val="20"/>
          <w:color w:val="auto"/>
        </w:rPr>
        <w:tab/>
      </w:r>
      <w:r>
        <w:rPr>
          <w:rFonts w:ascii="Arial" w:cs="Arial" w:eastAsia="Arial" w:hAnsi="Arial"/>
          <w:sz w:val="11"/>
          <w:szCs w:val="11"/>
          <w:b w:val="1"/>
          <w:bCs w:val="1"/>
          <w:color w:val="auto"/>
        </w:rPr>
        <w:t>Amendment</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1"/>
          <w:szCs w:val="11"/>
          <w:color w:val="auto"/>
        </w:rPr>
        <w:t>This deed may only be varied or replaced by a deed executed by all of the parties to this deed.</w:t>
      </w:r>
    </w:p>
    <w:p>
      <w:pPr>
        <w:spacing w:after="0" w:line="78"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2"/>
          <w:szCs w:val="12"/>
          <w:b w:val="1"/>
          <w:bCs w:val="1"/>
          <w:color w:val="auto"/>
        </w:rPr>
        <w:t>7.2</w:t>
      </w:r>
      <w:r>
        <w:rPr>
          <w:sz w:val="20"/>
          <w:szCs w:val="20"/>
          <w:color w:val="auto"/>
        </w:rPr>
        <w:tab/>
      </w:r>
      <w:r>
        <w:rPr>
          <w:rFonts w:ascii="Arial" w:cs="Arial" w:eastAsia="Arial" w:hAnsi="Arial"/>
          <w:sz w:val="11"/>
          <w:szCs w:val="11"/>
          <w:b w:val="1"/>
          <w:bCs w:val="1"/>
          <w:color w:val="auto"/>
        </w:rPr>
        <w:t>Construction</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Clause 1.2 of the Facility Agreement applies to this deed as if set out in full in this deed with such changes as are necessary.</w:t>
      </w:r>
    </w:p>
    <w:p>
      <w:pPr>
        <w:spacing w:after="0" w:line="78"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2"/>
          <w:szCs w:val="12"/>
          <w:b w:val="1"/>
          <w:bCs w:val="1"/>
          <w:color w:val="auto"/>
        </w:rPr>
        <w:t>7.3</w:t>
      </w:r>
      <w:r>
        <w:rPr>
          <w:sz w:val="20"/>
          <w:szCs w:val="20"/>
          <w:color w:val="auto"/>
        </w:rPr>
        <w:tab/>
      </w:r>
      <w:r>
        <w:rPr>
          <w:rFonts w:ascii="Arial" w:cs="Arial" w:eastAsia="Arial" w:hAnsi="Arial"/>
          <w:sz w:val="11"/>
          <w:szCs w:val="11"/>
          <w:b w:val="1"/>
          <w:bCs w:val="1"/>
          <w:color w:val="auto"/>
        </w:rPr>
        <w:t>Counterparts</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1"/>
          <w:szCs w:val="11"/>
          <w:color w:val="auto"/>
        </w:rPr>
        <w:t>This deed may consist of a number of counterparts and, if so, the counterparts taken together constitute one deed.</w:t>
      </w:r>
    </w:p>
    <w:p>
      <w:pPr>
        <w:spacing w:after="0" w:line="78"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2"/>
          <w:szCs w:val="12"/>
          <w:b w:val="1"/>
          <w:bCs w:val="1"/>
          <w:color w:val="auto"/>
        </w:rPr>
        <w:t>7.4</w:t>
      </w:r>
      <w:r>
        <w:rPr>
          <w:sz w:val="20"/>
          <w:szCs w:val="20"/>
          <w:color w:val="auto"/>
        </w:rPr>
        <w:tab/>
      </w:r>
      <w:r>
        <w:rPr>
          <w:rFonts w:ascii="Arial" w:cs="Arial" w:eastAsia="Arial" w:hAnsi="Arial"/>
          <w:sz w:val="11"/>
          <w:szCs w:val="11"/>
          <w:b w:val="1"/>
          <w:bCs w:val="1"/>
          <w:color w:val="auto"/>
        </w:rPr>
        <w:t>Deed</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This document is a deed. Factors which might suggest otherwise are to be disregarded.</w:t>
      </w:r>
    </w:p>
    <w:p>
      <w:pPr>
        <w:spacing w:after="0" w:line="78"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2"/>
          <w:szCs w:val="12"/>
          <w:b w:val="1"/>
          <w:bCs w:val="1"/>
          <w:color w:val="auto"/>
        </w:rPr>
        <w:t>7.5</w:t>
      </w:r>
      <w:r>
        <w:rPr>
          <w:sz w:val="20"/>
          <w:szCs w:val="20"/>
          <w:color w:val="auto"/>
        </w:rPr>
        <w:tab/>
      </w:r>
      <w:r>
        <w:rPr>
          <w:rFonts w:ascii="Arial" w:cs="Arial" w:eastAsia="Arial" w:hAnsi="Arial"/>
          <w:sz w:val="11"/>
          <w:szCs w:val="11"/>
          <w:b w:val="1"/>
          <w:bCs w:val="1"/>
          <w:color w:val="auto"/>
        </w:rPr>
        <w:t>Duty</w:t>
      </w:r>
    </w:p>
    <w:p>
      <w:pPr>
        <w:spacing w:after="0" w:line="47" w:lineRule="exact"/>
        <w:rPr>
          <w:sz w:val="20"/>
          <w:szCs w:val="20"/>
          <w:color w:val="auto"/>
        </w:rPr>
      </w:pPr>
    </w:p>
    <w:p>
      <w:pPr>
        <w:ind w:left="820" w:right="680"/>
        <w:spacing w:after="0" w:line="256" w:lineRule="auto"/>
        <w:rPr>
          <w:sz w:val="20"/>
          <w:szCs w:val="20"/>
          <w:color w:val="auto"/>
        </w:rPr>
      </w:pPr>
      <w:r>
        <w:rPr>
          <w:rFonts w:ascii="Arial" w:cs="Arial" w:eastAsia="Arial" w:hAnsi="Arial"/>
          <w:sz w:val="11"/>
          <w:szCs w:val="11"/>
          <w:color w:val="auto"/>
        </w:rPr>
        <w:t>The Borrower, as between the parties, is liable for and must pay all duty (including any fine, interest or penalty except where it arises from default by the other party) on or relating to this deed, any document executed under it or any dutiable transaction evidenced or effected by it.</w:t>
      </w:r>
    </w:p>
    <w:p>
      <w:pPr>
        <w:spacing w:after="0" w:line="55"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2"/>
          <w:szCs w:val="12"/>
          <w:b w:val="1"/>
          <w:bCs w:val="1"/>
          <w:color w:val="auto"/>
        </w:rPr>
        <w:t>7.6</w:t>
      </w:r>
      <w:r>
        <w:rPr>
          <w:sz w:val="20"/>
          <w:szCs w:val="20"/>
          <w:color w:val="auto"/>
        </w:rPr>
        <w:tab/>
      </w:r>
      <w:r>
        <w:rPr>
          <w:rFonts w:ascii="Arial" w:cs="Arial" w:eastAsia="Arial" w:hAnsi="Arial"/>
          <w:sz w:val="11"/>
          <w:szCs w:val="11"/>
          <w:b w:val="1"/>
          <w:bCs w:val="1"/>
          <w:color w:val="auto"/>
        </w:rPr>
        <w:t>Entire understanding</w:t>
      </w:r>
    </w:p>
    <w:p>
      <w:pPr>
        <w:spacing w:after="0" w:line="47" w:lineRule="exact"/>
        <w:rPr>
          <w:sz w:val="20"/>
          <w:szCs w:val="20"/>
          <w:color w:val="auto"/>
        </w:rPr>
      </w:pPr>
    </w:p>
    <w:p>
      <w:pPr>
        <w:ind w:left="1100" w:hanging="270"/>
        <w:spacing w:after="0"/>
        <w:tabs>
          <w:tab w:leader="none" w:pos="11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This deed contains the entire understanding between the parties as to the subject matter of this deed.</w:t>
      </w:r>
    </w:p>
    <w:p>
      <w:pPr>
        <w:spacing w:after="0" w:line="46" w:lineRule="exact"/>
        <w:rPr>
          <w:rFonts w:ascii="Arial" w:cs="Arial" w:eastAsia="Arial" w:hAnsi="Arial"/>
          <w:sz w:val="11"/>
          <w:szCs w:val="11"/>
          <w:color w:val="auto"/>
        </w:rPr>
      </w:pPr>
    </w:p>
    <w:p>
      <w:pPr>
        <w:ind w:left="1100" w:right="400" w:hanging="270"/>
        <w:spacing w:after="0" w:line="256" w:lineRule="auto"/>
        <w:tabs>
          <w:tab w:leader="none" w:pos="11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All previous negotiations, understandings, representations, warranties, memoranda or commitments concerning the subject matter of this deed are merged in and superseded by this deed and are of no effect. No party is liable to any other party in respect of those matters.</w:t>
      </w:r>
    </w:p>
    <w:p>
      <w:pPr>
        <w:spacing w:after="0" w:line="37" w:lineRule="exact"/>
        <w:rPr>
          <w:rFonts w:ascii="Arial" w:cs="Arial" w:eastAsia="Arial" w:hAnsi="Arial"/>
          <w:sz w:val="11"/>
          <w:szCs w:val="11"/>
          <w:color w:val="auto"/>
        </w:rPr>
      </w:pPr>
    </w:p>
    <w:p>
      <w:pPr>
        <w:ind w:left="1100" w:hanging="270"/>
        <w:spacing w:after="0"/>
        <w:tabs>
          <w:tab w:leader="none" w:pos="11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No oral explanation or information provided by any party to another:</w:t>
      </w:r>
    </w:p>
    <w:p>
      <w:pPr>
        <w:spacing w:after="0" w:line="76" w:lineRule="exact"/>
        <w:rPr>
          <w:rFonts w:ascii="Arial" w:cs="Arial" w:eastAsia="Arial" w:hAnsi="Arial"/>
          <w:sz w:val="11"/>
          <w:szCs w:val="11"/>
          <w:color w:val="auto"/>
        </w:rPr>
      </w:pPr>
    </w:p>
    <w:p>
      <w:pPr>
        <w:ind w:left="1380" w:hanging="272"/>
        <w:spacing w:after="0"/>
        <w:tabs>
          <w:tab w:leader="none" w:pos="1380" w:val="left"/>
        </w:tabs>
        <w:numPr>
          <w:ilvl w:val="1"/>
          <w:numId w:val="27"/>
        </w:numPr>
        <w:rPr>
          <w:rFonts w:ascii="Arial" w:cs="Arial" w:eastAsia="Arial" w:hAnsi="Arial"/>
          <w:sz w:val="11"/>
          <w:szCs w:val="11"/>
          <w:color w:val="auto"/>
        </w:rPr>
      </w:pPr>
      <w:r>
        <w:rPr>
          <w:rFonts w:ascii="Arial" w:cs="Arial" w:eastAsia="Arial" w:hAnsi="Arial"/>
          <w:sz w:val="11"/>
          <w:szCs w:val="11"/>
          <w:color w:val="auto"/>
        </w:rPr>
        <w:t>affects the meaning or interpretation of this deed; or</w:t>
      </w:r>
    </w:p>
    <w:p>
      <w:pPr>
        <w:spacing w:after="0" w:line="68" w:lineRule="exact"/>
        <w:rPr>
          <w:rFonts w:ascii="Arial" w:cs="Arial" w:eastAsia="Arial" w:hAnsi="Arial"/>
          <w:sz w:val="11"/>
          <w:szCs w:val="11"/>
          <w:color w:val="auto"/>
        </w:rPr>
      </w:pPr>
    </w:p>
    <w:p>
      <w:pPr>
        <w:ind w:left="1380" w:hanging="272"/>
        <w:spacing w:after="0"/>
        <w:tabs>
          <w:tab w:leader="none" w:pos="1380" w:val="left"/>
        </w:tabs>
        <w:numPr>
          <w:ilvl w:val="1"/>
          <w:numId w:val="27"/>
        </w:numPr>
        <w:rPr>
          <w:rFonts w:ascii="Arial" w:cs="Arial" w:eastAsia="Arial" w:hAnsi="Arial"/>
          <w:sz w:val="11"/>
          <w:szCs w:val="11"/>
          <w:color w:val="auto"/>
        </w:rPr>
      </w:pPr>
      <w:r>
        <w:rPr>
          <w:rFonts w:ascii="Arial" w:cs="Arial" w:eastAsia="Arial" w:hAnsi="Arial"/>
          <w:sz w:val="11"/>
          <w:szCs w:val="11"/>
          <w:color w:val="auto"/>
        </w:rPr>
        <w:t>constitutes any collateral agreement, warranty or understanding between any of the parties.</w:t>
      </w:r>
    </w:p>
    <w:p>
      <w:pPr>
        <w:spacing w:after="0" w:line="78"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2"/>
          <w:szCs w:val="12"/>
          <w:b w:val="1"/>
          <w:bCs w:val="1"/>
          <w:color w:val="auto"/>
        </w:rPr>
        <w:t>7.7</w:t>
      </w:r>
      <w:r>
        <w:rPr>
          <w:sz w:val="20"/>
          <w:szCs w:val="20"/>
          <w:color w:val="auto"/>
        </w:rPr>
        <w:tab/>
      </w:r>
      <w:r>
        <w:rPr>
          <w:rFonts w:ascii="Arial" w:cs="Arial" w:eastAsia="Arial" w:hAnsi="Arial"/>
          <w:sz w:val="11"/>
          <w:szCs w:val="11"/>
          <w:b w:val="1"/>
          <w:bCs w:val="1"/>
          <w:color w:val="auto"/>
        </w:rPr>
        <w:t>Further steps</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1"/>
          <w:szCs w:val="11"/>
          <w:color w:val="auto"/>
        </w:rPr>
        <w:t>Each party must promptly do whatever any other party reasonably requires of it to give effect to this deed and to perform its obligations under it.</w:t>
      </w:r>
    </w:p>
    <w:p>
      <w:pPr>
        <w:spacing w:after="0" w:line="78"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2"/>
          <w:szCs w:val="12"/>
          <w:b w:val="1"/>
          <w:bCs w:val="1"/>
          <w:color w:val="auto"/>
        </w:rPr>
        <w:t>7.8</w:t>
      </w:r>
      <w:r>
        <w:rPr>
          <w:sz w:val="20"/>
          <w:szCs w:val="20"/>
          <w:color w:val="auto"/>
        </w:rPr>
        <w:tab/>
      </w:r>
      <w:r>
        <w:rPr>
          <w:rFonts w:ascii="Arial" w:cs="Arial" w:eastAsia="Arial" w:hAnsi="Arial"/>
          <w:sz w:val="11"/>
          <w:szCs w:val="11"/>
          <w:b w:val="1"/>
          <w:bCs w:val="1"/>
          <w:color w:val="auto"/>
        </w:rPr>
        <w:t>Governing law and jurisdiction</w:t>
      </w:r>
    </w:p>
    <w:p>
      <w:pPr>
        <w:spacing w:after="0" w:line="47" w:lineRule="exact"/>
        <w:rPr>
          <w:sz w:val="20"/>
          <w:szCs w:val="20"/>
          <w:color w:val="auto"/>
        </w:rPr>
      </w:pPr>
    </w:p>
    <w:p>
      <w:pPr>
        <w:ind w:left="1100" w:hanging="270"/>
        <w:spacing w:after="0"/>
        <w:tabs>
          <w:tab w:leader="none" w:pos="1100"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This deed is governed by and is to be construed in accordance with the laws applicable in the Relevant Jurisdiction.</w:t>
      </w:r>
    </w:p>
    <w:p>
      <w:pPr>
        <w:spacing w:after="0" w:line="46" w:lineRule="exact"/>
        <w:rPr>
          <w:rFonts w:ascii="Arial" w:cs="Arial" w:eastAsia="Arial" w:hAnsi="Arial"/>
          <w:sz w:val="11"/>
          <w:szCs w:val="11"/>
          <w:color w:val="auto"/>
        </w:rPr>
      </w:pPr>
    </w:p>
    <w:p>
      <w:pPr>
        <w:ind w:left="1100" w:right="200" w:hanging="270"/>
        <w:spacing w:after="0" w:line="256" w:lineRule="auto"/>
        <w:tabs>
          <w:tab w:leader="none" w:pos="1100" w:val="left"/>
        </w:tabs>
        <w:numPr>
          <w:ilvl w:val="0"/>
          <w:numId w:val="28"/>
        </w:numPr>
        <w:rPr>
          <w:rFonts w:ascii="Arial" w:cs="Arial" w:eastAsia="Arial" w:hAnsi="Arial"/>
          <w:sz w:val="11"/>
          <w:szCs w:val="11"/>
          <w:color w:val="auto"/>
        </w:rPr>
      </w:pPr>
      <w:r>
        <w:rPr>
          <w:rFonts w:ascii="Arial" w:cs="Arial" w:eastAsia="Arial" w:hAnsi="Arial"/>
          <w:sz w:val="11"/>
          <w:szCs w:val="11"/>
          <w:color w:val="auto"/>
        </w:rPr>
        <w:t>Each party irrevocably and unconditionally submits to the non-exclusive jurisdiction of the courts exercising jurisdiction in the Relevant Jurisdiction and any courts which have jurisdiction to hear appeals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140970</wp:posOffset>
            </wp:positionV>
            <wp:extent cx="5891530" cy="5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91530" cy="508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0" w:type="dxa"/>
            <w:vAlign w:val="bottom"/>
          </w:tcPr>
          <w:p>
            <w:pPr>
              <w:spacing w:after="0"/>
              <w:rPr>
                <w:sz w:val="20"/>
                <w:szCs w:val="20"/>
                <w:color w:val="auto"/>
              </w:rPr>
            </w:pPr>
            <w:r>
              <w:rPr>
                <w:rFonts w:ascii="Arial" w:cs="Arial" w:eastAsia="Arial" w:hAnsi="Arial"/>
                <w:sz w:val="8"/>
                <w:szCs w:val="8"/>
                <w:color w:val="auto"/>
              </w:rPr>
              <w:t>3449-8791-0181v3</w:t>
            </w:r>
          </w:p>
        </w:tc>
        <w:tc>
          <w:tcPr>
            <w:tcW w:w="4480" w:type="dxa"/>
            <w:vAlign w:val="bottom"/>
          </w:tcPr>
          <w:p>
            <w:pPr>
              <w:ind w:left="4140"/>
              <w:spacing w:after="0"/>
              <w:rPr>
                <w:sz w:val="20"/>
                <w:szCs w:val="20"/>
                <w:color w:val="auto"/>
              </w:rPr>
            </w:pPr>
            <w:r>
              <w:rPr>
                <w:rFonts w:ascii="Arial" w:cs="Arial" w:eastAsia="Arial" w:hAnsi="Arial"/>
                <w:sz w:val="11"/>
                <w:szCs w:val="11"/>
                <w:color w:val="auto"/>
                <w:w w:val="94"/>
              </w:rPr>
              <w:t>page 4</w:t>
            </w:r>
          </w:p>
        </w:tc>
      </w:tr>
      <w:tr>
        <w:trPr>
          <w:trHeight w:val="105"/>
        </w:trPr>
        <w:tc>
          <w:tcPr>
            <w:tcW w:w="4800" w:type="dxa"/>
            <w:vAlign w:val="bottom"/>
          </w:tcPr>
          <w:p>
            <w:pPr>
              <w:spacing w:after="0"/>
              <w:rPr>
                <w:sz w:val="20"/>
                <w:szCs w:val="20"/>
                <w:color w:val="auto"/>
              </w:rPr>
            </w:pPr>
            <w:r>
              <w:rPr>
                <w:rFonts w:ascii="Arial" w:cs="Arial" w:eastAsia="Arial" w:hAnsi="Arial"/>
                <w:sz w:val="8"/>
                <w:szCs w:val="8"/>
                <w:color w:val="auto"/>
              </w:rPr>
              <w:t>Amendment Deed</w:t>
            </w:r>
          </w:p>
        </w:tc>
        <w:tc>
          <w:tcPr>
            <w:tcW w:w="4480" w:type="dxa"/>
            <w:vAlign w:val="bottom"/>
          </w:tcPr>
          <w:p>
            <w:pPr>
              <w:spacing w:after="0"/>
              <w:rPr>
                <w:sz w:val="9"/>
                <w:szCs w:val="9"/>
                <w:color w:val="auto"/>
              </w:rPr>
            </w:pPr>
          </w:p>
        </w:tc>
      </w:tr>
      <w:tr>
        <w:trPr>
          <w:trHeight w:val="203"/>
        </w:trPr>
        <w:tc>
          <w:tcPr>
            <w:tcW w:w="4800" w:type="dxa"/>
            <w:vAlign w:val="bottom"/>
            <w:tcBorders>
              <w:bottom w:val="single" w:sz="8" w:color="EEEEEE"/>
            </w:tcBorders>
          </w:tcPr>
          <w:p>
            <w:pPr>
              <w:spacing w:after="0"/>
              <w:rPr>
                <w:sz w:val="17"/>
                <w:szCs w:val="17"/>
                <w:color w:val="auto"/>
              </w:rPr>
            </w:pPr>
          </w:p>
        </w:tc>
        <w:tc>
          <w:tcPr>
            <w:tcW w:w="448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55" w:name="page56"/>
    <w:bookmarkEnd w:id="55"/>
    <w:p>
      <w:pPr>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367" w:lineRule="exact"/>
        <w:rPr>
          <w:sz w:val="20"/>
          <w:szCs w:val="20"/>
          <w:color w:val="auto"/>
        </w:rPr>
      </w:pPr>
    </w:p>
    <w:p>
      <w:pPr>
        <w:ind w:left="980"/>
        <w:spacing w:after="0"/>
        <w:rPr>
          <w:sz w:val="20"/>
          <w:szCs w:val="20"/>
          <w:color w:val="auto"/>
        </w:rPr>
      </w:pPr>
      <w:r>
        <w:rPr>
          <w:rFonts w:ascii="Arial" w:cs="Arial" w:eastAsia="Arial" w:hAnsi="Arial"/>
          <w:sz w:val="11"/>
          <w:szCs w:val="11"/>
          <w:color w:val="auto"/>
        </w:rPr>
        <w:t>any of those courts and waives any right to object to any proceedings being brought in those courts.</w:t>
      </w:r>
    </w:p>
    <w:p>
      <w:pPr>
        <w:spacing w:after="0" w:line="78" w:lineRule="exact"/>
        <w:rPr>
          <w:sz w:val="20"/>
          <w:szCs w:val="20"/>
          <w:color w:val="auto"/>
        </w:rPr>
      </w:pPr>
    </w:p>
    <w:p>
      <w:pPr>
        <w:ind w:left="280"/>
        <w:spacing w:after="0"/>
        <w:tabs>
          <w:tab w:leader="none" w:pos="680" w:val="left"/>
        </w:tabs>
        <w:rPr>
          <w:sz w:val="20"/>
          <w:szCs w:val="20"/>
          <w:color w:val="auto"/>
        </w:rPr>
      </w:pPr>
      <w:r>
        <w:rPr>
          <w:rFonts w:ascii="Arial" w:cs="Arial" w:eastAsia="Arial" w:hAnsi="Arial"/>
          <w:sz w:val="12"/>
          <w:szCs w:val="12"/>
          <w:b w:val="1"/>
          <w:bCs w:val="1"/>
          <w:color w:val="auto"/>
        </w:rPr>
        <w:t>7.9</w:t>
      </w:r>
      <w:r>
        <w:rPr>
          <w:sz w:val="20"/>
          <w:szCs w:val="20"/>
          <w:color w:val="auto"/>
        </w:rPr>
        <w:tab/>
      </w:r>
      <w:r>
        <w:rPr>
          <w:rFonts w:ascii="Arial" w:cs="Arial" w:eastAsia="Arial" w:hAnsi="Arial"/>
          <w:sz w:val="11"/>
          <w:szCs w:val="11"/>
          <w:b w:val="1"/>
          <w:bCs w:val="1"/>
          <w:color w:val="auto"/>
        </w:rPr>
        <w:t>Legal costs</w:t>
      </w:r>
    </w:p>
    <w:p>
      <w:pPr>
        <w:spacing w:after="0" w:line="47" w:lineRule="exact"/>
        <w:rPr>
          <w:sz w:val="20"/>
          <w:szCs w:val="20"/>
          <w:color w:val="auto"/>
        </w:rPr>
      </w:pPr>
    </w:p>
    <w:p>
      <w:pPr>
        <w:ind w:left="980" w:right="340" w:hanging="270"/>
        <w:spacing w:after="0" w:line="256" w:lineRule="auto"/>
        <w:tabs>
          <w:tab w:leader="none" w:pos="980" w:val="left"/>
        </w:tabs>
        <w:numPr>
          <w:ilvl w:val="0"/>
          <w:numId w:val="29"/>
        </w:numPr>
        <w:rPr>
          <w:rFonts w:ascii="Arial" w:cs="Arial" w:eastAsia="Arial" w:hAnsi="Arial"/>
          <w:sz w:val="11"/>
          <w:szCs w:val="11"/>
          <w:color w:val="auto"/>
        </w:rPr>
      </w:pPr>
      <w:r>
        <w:rPr>
          <w:rFonts w:ascii="Arial" w:cs="Arial" w:eastAsia="Arial" w:hAnsi="Arial"/>
          <w:sz w:val="11"/>
          <w:szCs w:val="11"/>
          <w:color w:val="auto"/>
        </w:rPr>
        <w:t>The Borrower must pay, and if paid by the Bank reimburse the Bank, the cost of stamping and registering this deed and the reasonable legal and other costs and expenses of the Bank in relation to:</w:t>
      </w:r>
    </w:p>
    <w:p>
      <w:pPr>
        <w:spacing w:after="0" w:line="37" w:lineRule="exact"/>
        <w:rPr>
          <w:rFonts w:ascii="Arial" w:cs="Arial" w:eastAsia="Arial" w:hAnsi="Arial"/>
          <w:sz w:val="11"/>
          <w:szCs w:val="11"/>
          <w:color w:val="auto"/>
        </w:rPr>
      </w:pPr>
    </w:p>
    <w:p>
      <w:pPr>
        <w:ind w:left="1260" w:hanging="272"/>
        <w:spacing w:after="0"/>
        <w:tabs>
          <w:tab w:leader="none" w:pos="1260" w:val="left"/>
        </w:tabs>
        <w:numPr>
          <w:ilvl w:val="1"/>
          <w:numId w:val="29"/>
        </w:numPr>
        <w:rPr>
          <w:rFonts w:ascii="Arial" w:cs="Arial" w:eastAsia="Arial" w:hAnsi="Arial"/>
          <w:sz w:val="11"/>
          <w:szCs w:val="11"/>
          <w:color w:val="auto"/>
        </w:rPr>
      </w:pPr>
      <w:r>
        <w:rPr>
          <w:rFonts w:ascii="Arial" w:cs="Arial" w:eastAsia="Arial" w:hAnsi="Arial"/>
          <w:sz w:val="11"/>
          <w:szCs w:val="11"/>
          <w:color w:val="auto"/>
        </w:rPr>
        <w:t>the negotiation, preparation and execution of this deed; and</w:t>
      </w:r>
    </w:p>
    <w:p>
      <w:pPr>
        <w:spacing w:after="0" w:line="76" w:lineRule="exact"/>
        <w:rPr>
          <w:rFonts w:ascii="Arial" w:cs="Arial" w:eastAsia="Arial" w:hAnsi="Arial"/>
          <w:sz w:val="11"/>
          <w:szCs w:val="11"/>
          <w:color w:val="auto"/>
        </w:rPr>
      </w:pPr>
    </w:p>
    <w:p>
      <w:pPr>
        <w:ind w:left="1260" w:hanging="272"/>
        <w:spacing w:after="0"/>
        <w:tabs>
          <w:tab w:leader="none" w:pos="1260" w:val="left"/>
        </w:tabs>
        <w:numPr>
          <w:ilvl w:val="1"/>
          <w:numId w:val="29"/>
        </w:numPr>
        <w:rPr>
          <w:rFonts w:ascii="Arial" w:cs="Arial" w:eastAsia="Arial" w:hAnsi="Arial"/>
          <w:sz w:val="11"/>
          <w:szCs w:val="11"/>
          <w:color w:val="auto"/>
        </w:rPr>
      </w:pPr>
      <w:r>
        <w:rPr>
          <w:rFonts w:ascii="Arial" w:cs="Arial" w:eastAsia="Arial" w:hAnsi="Arial"/>
          <w:sz w:val="11"/>
          <w:szCs w:val="11"/>
          <w:color w:val="auto"/>
        </w:rPr>
        <w:t>the performance of the Bank’s obligations under this deed.</w:t>
      </w:r>
    </w:p>
    <w:p>
      <w:pPr>
        <w:spacing w:after="0" w:line="46" w:lineRule="exact"/>
        <w:rPr>
          <w:rFonts w:ascii="Arial" w:cs="Arial" w:eastAsia="Arial" w:hAnsi="Arial"/>
          <w:sz w:val="11"/>
          <w:szCs w:val="11"/>
          <w:color w:val="auto"/>
        </w:rPr>
      </w:pPr>
    </w:p>
    <w:p>
      <w:pPr>
        <w:ind w:left="980" w:hanging="270"/>
        <w:spacing w:after="0"/>
        <w:tabs>
          <w:tab w:leader="none" w:pos="980" w:val="left"/>
        </w:tabs>
        <w:numPr>
          <w:ilvl w:val="0"/>
          <w:numId w:val="29"/>
        </w:numPr>
        <w:rPr>
          <w:rFonts w:ascii="Arial" w:cs="Arial" w:eastAsia="Arial" w:hAnsi="Arial"/>
          <w:sz w:val="11"/>
          <w:szCs w:val="11"/>
          <w:color w:val="auto"/>
        </w:rPr>
      </w:pPr>
      <w:r>
        <w:rPr>
          <w:rFonts w:ascii="Arial" w:cs="Arial" w:eastAsia="Arial" w:hAnsi="Arial"/>
          <w:sz w:val="11"/>
          <w:szCs w:val="11"/>
          <w:color w:val="auto"/>
        </w:rPr>
        <w:t>Except as expressly stated otherwise in this deed, each party must pay its own legal and other costs and expenses of performing its obligations under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5891530" cy="5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91530" cy="508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0" w:type="dxa"/>
            <w:vAlign w:val="bottom"/>
          </w:tcPr>
          <w:p>
            <w:pPr>
              <w:spacing w:after="0"/>
              <w:rPr>
                <w:sz w:val="20"/>
                <w:szCs w:val="20"/>
                <w:color w:val="auto"/>
              </w:rPr>
            </w:pPr>
            <w:r>
              <w:rPr>
                <w:rFonts w:ascii="Arial" w:cs="Arial" w:eastAsia="Arial" w:hAnsi="Arial"/>
                <w:sz w:val="8"/>
                <w:szCs w:val="8"/>
                <w:color w:val="auto"/>
              </w:rPr>
              <w:t>3449-8791-0181v3</w:t>
            </w:r>
          </w:p>
        </w:tc>
        <w:tc>
          <w:tcPr>
            <w:tcW w:w="4480" w:type="dxa"/>
            <w:vAlign w:val="bottom"/>
          </w:tcPr>
          <w:p>
            <w:pPr>
              <w:ind w:left="4140"/>
              <w:spacing w:after="0"/>
              <w:rPr>
                <w:sz w:val="20"/>
                <w:szCs w:val="20"/>
                <w:color w:val="auto"/>
              </w:rPr>
            </w:pPr>
            <w:r>
              <w:rPr>
                <w:rFonts w:ascii="Arial" w:cs="Arial" w:eastAsia="Arial" w:hAnsi="Arial"/>
                <w:sz w:val="11"/>
                <w:szCs w:val="11"/>
                <w:color w:val="auto"/>
                <w:w w:val="94"/>
              </w:rPr>
              <w:t>page 5</w:t>
            </w:r>
          </w:p>
        </w:tc>
      </w:tr>
      <w:tr>
        <w:trPr>
          <w:trHeight w:val="105"/>
        </w:trPr>
        <w:tc>
          <w:tcPr>
            <w:tcW w:w="4800" w:type="dxa"/>
            <w:vAlign w:val="bottom"/>
          </w:tcPr>
          <w:p>
            <w:pPr>
              <w:spacing w:after="0"/>
              <w:rPr>
                <w:sz w:val="20"/>
                <w:szCs w:val="20"/>
                <w:color w:val="auto"/>
              </w:rPr>
            </w:pPr>
            <w:r>
              <w:rPr>
                <w:rFonts w:ascii="Arial" w:cs="Arial" w:eastAsia="Arial" w:hAnsi="Arial"/>
                <w:sz w:val="8"/>
                <w:szCs w:val="8"/>
                <w:color w:val="auto"/>
              </w:rPr>
              <w:t>Amendment Deed</w:t>
            </w:r>
          </w:p>
        </w:tc>
        <w:tc>
          <w:tcPr>
            <w:tcW w:w="4480" w:type="dxa"/>
            <w:vAlign w:val="bottom"/>
          </w:tcPr>
          <w:p>
            <w:pPr>
              <w:spacing w:after="0"/>
              <w:rPr>
                <w:sz w:val="9"/>
                <w:szCs w:val="9"/>
                <w:color w:val="auto"/>
              </w:rPr>
            </w:pPr>
          </w:p>
        </w:tc>
      </w:tr>
      <w:tr>
        <w:trPr>
          <w:trHeight w:val="203"/>
        </w:trPr>
        <w:tc>
          <w:tcPr>
            <w:tcW w:w="4800" w:type="dxa"/>
            <w:vAlign w:val="bottom"/>
            <w:tcBorders>
              <w:bottom w:val="single" w:sz="8" w:color="EEEEEE"/>
            </w:tcBorders>
          </w:tcPr>
          <w:p>
            <w:pPr>
              <w:spacing w:after="0"/>
              <w:rPr>
                <w:sz w:val="17"/>
                <w:szCs w:val="17"/>
                <w:color w:val="auto"/>
              </w:rPr>
            </w:pPr>
          </w:p>
        </w:tc>
        <w:tc>
          <w:tcPr>
            <w:tcW w:w="448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56" w:name="page57"/>
    <w:bookmarkEnd w:id="56"/>
    <w:p>
      <w:pPr>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36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222250</wp:posOffset>
            </wp:positionV>
            <wp:extent cx="3200400" cy="176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0400" cy="176530"/>
                    </a:xfrm>
                    <a:prstGeom prst="rect">
                      <a:avLst/>
                    </a:prstGeom>
                    <a:noFill/>
                  </pic:spPr>
                </pic:pic>
              </a:graphicData>
            </a:graphic>
          </wp:anchor>
        </w:drawing>
      </w:r>
    </w:p>
    <w:p>
      <w:pPr>
        <w:spacing w:after="0" w:line="370"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Guarantors</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60"/>
        </w:trPr>
        <w:tc>
          <w:tcPr>
            <w:tcW w:w="120" w:type="dxa"/>
            <w:vAlign w:val="bottom"/>
          </w:tcPr>
          <w:p>
            <w:pPr>
              <w:spacing w:after="0"/>
              <w:rPr>
                <w:sz w:val="22"/>
                <w:szCs w:val="22"/>
                <w:color w:val="auto"/>
              </w:rPr>
            </w:pPr>
          </w:p>
        </w:tc>
        <w:tc>
          <w:tcPr>
            <w:tcW w:w="2160" w:type="dxa"/>
            <w:vAlign w:val="bottom"/>
            <w:tcBorders>
              <w:bottom w:val="single" w:sz="8" w:color="9B9B9B"/>
            </w:tcBorders>
            <w:shd w:val="clear" w:color="auto" w:fill="9B9B9B"/>
          </w:tcPr>
          <w:p>
            <w:pPr>
              <w:ind w:left="40"/>
              <w:spacing w:after="0"/>
              <w:rPr>
                <w:sz w:val="20"/>
                <w:szCs w:val="20"/>
                <w:color w:val="auto"/>
              </w:rPr>
            </w:pPr>
            <w:r>
              <w:rPr>
                <w:rFonts w:ascii="Arial" w:cs="Arial" w:eastAsia="Arial" w:hAnsi="Arial"/>
                <w:sz w:val="11"/>
                <w:szCs w:val="11"/>
                <w:b w:val="1"/>
                <w:bCs w:val="1"/>
                <w:color w:val="FFFFFF"/>
              </w:rPr>
              <w:t>Name</w:t>
            </w:r>
          </w:p>
        </w:tc>
        <w:tc>
          <w:tcPr>
            <w:tcW w:w="1080" w:type="dxa"/>
            <w:vAlign w:val="bottom"/>
            <w:tcBorders>
              <w:bottom w:val="single" w:sz="8" w:color="9B9B9B"/>
            </w:tcBorders>
            <w:shd w:val="clear" w:color="auto" w:fill="9B9B9B"/>
          </w:tcPr>
          <w:p>
            <w:pPr>
              <w:ind w:left="120"/>
              <w:spacing w:after="0"/>
              <w:rPr>
                <w:sz w:val="20"/>
                <w:szCs w:val="20"/>
                <w:color w:val="auto"/>
              </w:rPr>
            </w:pPr>
            <w:r>
              <w:rPr>
                <w:rFonts w:ascii="Arial" w:cs="Arial" w:eastAsia="Arial" w:hAnsi="Arial"/>
                <w:sz w:val="11"/>
                <w:szCs w:val="11"/>
                <w:b w:val="1"/>
                <w:bCs w:val="1"/>
                <w:color w:val="FFFFFF"/>
              </w:rPr>
              <w:t>Capacity</w:t>
            </w:r>
          </w:p>
        </w:tc>
        <w:tc>
          <w:tcPr>
            <w:tcW w:w="1800" w:type="dxa"/>
            <w:vAlign w:val="bottom"/>
            <w:tcBorders>
              <w:bottom w:val="single" w:sz="8" w:color="9B9B9B"/>
            </w:tcBorders>
            <w:shd w:val="clear" w:color="auto" w:fill="9B9B9B"/>
          </w:tcPr>
          <w:p>
            <w:pPr>
              <w:ind w:left="220"/>
              <w:spacing w:after="0"/>
              <w:rPr>
                <w:sz w:val="20"/>
                <w:szCs w:val="20"/>
                <w:color w:val="auto"/>
              </w:rPr>
            </w:pPr>
            <w:r>
              <w:rPr>
                <w:rFonts w:ascii="Arial" w:cs="Arial" w:eastAsia="Arial" w:hAnsi="Arial"/>
                <w:sz w:val="11"/>
                <w:szCs w:val="11"/>
                <w:b w:val="1"/>
                <w:bCs w:val="1"/>
                <w:color w:val="FFFFFF"/>
              </w:rPr>
              <w:t>Address</w:t>
            </w:r>
          </w:p>
        </w:tc>
        <w:tc>
          <w:tcPr>
            <w:tcW w:w="4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2160" w:type="dxa"/>
            <w:vAlign w:val="bottom"/>
            <w:tcBorders>
              <w:top w:val="single" w:sz="8" w:color="7E7E7E"/>
            </w:tcBorders>
          </w:tcPr>
          <w:p>
            <w:pPr>
              <w:ind w:left="40"/>
              <w:spacing w:after="0"/>
              <w:rPr>
                <w:sz w:val="20"/>
                <w:szCs w:val="20"/>
                <w:color w:val="auto"/>
              </w:rPr>
            </w:pPr>
            <w:r>
              <w:rPr>
                <w:rFonts w:ascii="Arial" w:cs="Arial" w:eastAsia="Arial" w:hAnsi="Arial"/>
                <w:sz w:val="9"/>
                <w:szCs w:val="9"/>
                <w:color w:val="auto"/>
              </w:rPr>
              <w:t>Reading Entertainment Australia Pty Ltd ACN</w:t>
            </w:r>
          </w:p>
        </w:tc>
        <w:tc>
          <w:tcPr>
            <w:tcW w:w="1080" w:type="dxa"/>
            <w:vAlign w:val="bottom"/>
            <w:tcBorders>
              <w:top w:val="single" w:sz="8" w:color="7E7E7E"/>
            </w:tcBorders>
            <w:vMerge w:val="restart"/>
          </w:tcPr>
          <w:p>
            <w:pPr>
              <w:ind w:left="120"/>
              <w:spacing w:after="0"/>
              <w:rPr>
                <w:sz w:val="20"/>
                <w:szCs w:val="20"/>
                <w:color w:val="auto"/>
              </w:rPr>
            </w:pPr>
            <w:r>
              <w:rPr>
                <w:rFonts w:ascii="Arial" w:cs="Arial" w:eastAsia="Arial" w:hAnsi="Arial"/>
                <w:sz w:val="9"/>
                <w:szCs w:val="9"/>
                <w:color w:val="auto"/>
              </w:rPr>
              <w:t>In its own capacity.</w:t>
            </w:r>
          </w:p>
        </w:tc>
        <w:tc>
          <w:tcPr>
            <w:tcW w:w="1800" w:type="dxa"/>
            <w:vAlign w:val="bottom"/>
            <w:tcBorders>
              <w:top w:val="single" w:sz="8" w:color="7E7E7E"/>
            </w:tcBorders>
            <w:vMerge w:val="restart"/>
          </w:tcPr>
          <w:p>
            <w:pPr>
              <w:ind w:left="220"/>
              <w:spacing w:after="0"/>
              <w:rPr>
                <w:sz w:val="20"/>
                <w:szCs w:val="20"/>
                <w:color w:val="auto"/>
              </w:rPr>
            </w:pPr>
            <w:r>
              <w:rPr>
                <w:rFonts w:ascii="Arial" w:cs="Arial" w:eastAsia="Arial" w:hAnsi="Arial"/>
                <w:sz w:val="9"/>
                <w:szCs w:val="9"/>
                <w:color w:val="auto"/>
              </w:rPr>
              <w:t>Address: 98</w:t>
            </w:r>
          </w:p>
        </w:tc>
        <w:tc>
          <w:tcPr>
            <w:tcW w:w="404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280" w:type="dxa"/>
            <w:vAlign w:val="bottom"/>
            <w:gridSpan w:val="2"/>
            <w:vMerge w:val="restart"/>
          </w:tcPr>
          <w:p>
            <w:pPr>
              <w:ind w:left="160"/>
              <w:spacing w:after="0"/>
              <w:rPr>
                <w:sz w:val="20"/>
                <w:szCs w:val="20"/>
                <w:color w:val="auto"/>
              </w:rPr>
            </w:pPr>
            <w:r>
              <w:rPr>
                <w:rFonts w:ascii="Arial" w:cs="Arial" w:eastAsia="Arial" w:hAnsi="Arial"/>
                <w:sz w:val="9"/>
                <w:szCs w:val="9"/>
                <w:color w:val="auto"/>
              </w:rPr>
              <w:t>070 893 908</w:t>
            </w:r>
          </w:p>
        </w:tc>
        <w:tc>
          <w:tcPr>
            <w:tcW w:w="1080" w:type="dxa"/>
            <w:vAlign w:val="bottom"/>
            <w:vMerge w:val="continue"/>
          </w:tcPr>
          <w:p>
            <w:pPr>
              <w:spacing w:after="0"/>
              <w:rPr>
                <w:sz w:val="3"/>
                <w:szCs w:val="3"/>
                <w:color w:val="auto"/>
              </w:rPr>
            </w:pPr>
          </w:p>
        </w:tc>
        <w:tc>
          <w:tcPr>
            <w:tcW w:w="1800" w:type="dxa"/>
            <w:vAlign w:val="bottom"/>
            <w:vMerge w:val="continue"/>
          </w:tcPr>
          <w:p>
            <w:pPr>
              <w:spacing w:after="0"/>
              <w:rPr>
                <w:sz w:val="3"/>
                <w:szCs w:val="3"/>
                <w:color w:val="auto"/>
              </w:rPr>
            </w:pPr>
          </w:p>
        </w:tc>
        <w:tc>
          <w:tcPr>
            <w:tcW w:w="4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28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5840" w:type="dxa"/>
            <w:vAlign w:val="bottom"/>
            <w:gridSpan w:val="3"/>
            <w:vMerge w:val="restart"/>
          </w:tcPr>
          <w:p>
            <w:pPr>
              <w:ind w:left="220"/>
              <w:spacing w:after="0"/>
              <w:rPr>
                <w:sz w:val="20"/>
                <w:szCs w:val="20"/>
                <w:color w:val="auto"/>
              </w:rPr>
            </w:pPr>
            <w:r>
              <w:rPr>
                <w:rFonts w:ascii="Arial" w:cs="Arial" w:eastAsia="Arial" w:hAnsi="Arial"/>
                <w:sz w:val="9"/>
                <w:szCs w:val="9"/>
                <w:color w:val="auto"/>
              </w:rPr>
              <w:t>York Street, South Melbourne VIC</w:t>
            </w:r>
          </w:p>
        </w:tc>
        <w:tc>
          <w:tcPr>
            <w:tcW w:w="0" w:type="dxa"/>
            <w:vAlign w:val="bottom"/>
          </w:tcPr>
          <w:p>
            <w:pPr>
              <w:spacing w:after="0"/>
              <w:rPr>
                <w:sz w:val="1"/>
                <w:szCs w:val="1"/>
                <w:color w:val="auto"/>
              </w:rPr>
            </w:pPr>
          </w:p>
        </w:tc>
      </w:tr>
      <w:tr>
        <w:trPr>
          <w:trHeight w:val="44"/>
        </w:trPr>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1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40" w:type="dxa"/>
            <w:vAlign w:val="bottom"/>
            <w:gridSpan w:val="3"/>
          </w:tcPr>
          <w:p>
            <w:pPr>
              <w:ind w:left="220"/>
              <w:spacing w:after="0"/>
              <w:rPr>
                <w:sz w:val="20"/>
                <w:szCs w:val="20"/>
                <w:color w:val="auto"/>
              </w:rPr>
            </w:pPr>
            <w:r>
              <w:rPr>
                <w:rFonts w:ascii="Arial" w:cs="Arial" w:eastAsia="Arial" w:hAnsi="Arial"/>
                <w:sz w:val="9"/>
                <w:szCs w:val="9"/>
                <w:color w:val="auto"/>
              </w:rPr>
              <w:t>3205 Australia</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40" w:type="dxa"/>
            <w:vAlign w:val="bottom"/>
            <w:gridSpan w:val="3"/>
          </w:tcPr>
          <w:p>
            <w:pPr>
              <w:ind w:left="220"/>
              <w:spacing w:after="0"/>
              <w:rPr>
                <w:sz w:val="20"/>
                <w:szCs w:val="20"/>
                <w:color w:val="auto"/>
              </w:rPr>
            </w:pPr>
            <w:r>
              <w:rPr>
                <w:rFonts w:ascii="Arial" w:cs="Arial" w:eastAsia="Arial" w:hAnsi="Arial"/>
                <w:sz w:val="9"/>
                <w:szCs w:val="9"/>
                <w:color w:val="auto"/>
              </w:rPr>
              <w:t>Fax: 03 9685 0999</w:t>
            </w:r>
          </w:p>
        </w:tc>
        <w:tc>
          <w:tcPr>
            <w:tcW w:w="0" w:type="dxa"/>
            <w:vAlign w:val="bottom"/>
          </w:tcPr>
          <w:p>
            <w:pPr>
              <w:spacing w:after="0"/>
              <w:rPr>
                <w:sz w:val="1"/>
                <w:szCs w:val="1"/>
                <w:color w:val="auto"/>
              </w:rPr>
            </w:pPr>
          </w:p>
        </w:tc>
      </w:tr>
      <w:tr>
        <w:trPr>
          <w:trHeight w:val="300"/>
        </w:trPr>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40" w:type="dxa"/>
            <w:vAlign w:val="bottom"/>
            <w:gridSpan w:val="3"/>
          </w:tcPr>
          <w:p>
            <w:pPr>
              <w:ind w:left="220"/>
              <w:spacing w:after="0"/>
              <w:rPr>
                <w:sz w:val="20"/>
                <w:szCs w:val="20"/>
                <w:color w:val="auto"/>
              </w:rPr>
            </w:pPr>
            <w:r>
              <w:rPr>
                <w:rFonts w:ascii="Arial" w:cs="Arial" w:eastAsia="Arial" w:hAnsi="Arial"/>
                <w:sz w:val="9"/>
                <w:szCs w:val="9"/>
                <w:color w:val="auto"/>
              </w:rPr>
              <w:t>Attention: Managing Director AND</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40" w:type="dxa"/>
            <w:vAlign w:val="bottom"/>
            <w:gridSpan w:val="3"/>
          </w:tcPr>
          <w:p>
            <w:pPr>
              <w:ind w:left="220"/>
              <w:spacing w:after="0"/>
              <w:rPr>
                <w:sz w:val="20"/>
                <w:szCs w:val="20"/>
                <w:color w:val="auto"/>
              </w:rPr>
            </w:pPr>
            <w:r>
              <w:rPr>
                <w:rFonts w:ascii="Arial" w:cs="Arial" w:eastAsia="Arial" w:hAnsi="Arial"/>
                <w:sz w:val="9"/>
                <w:szCs w:val="9"/>
                <w:color w:val="auto"/>
              </w:rPr>
              <w:t>TO:</w:t>
            </w: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40" w:type="dxa"/>
            <w:vAlign w:val="bottom"/>
            <w:gridSpan w:val="3"/>
          </w:tcPr>
          <w:p>
            <w:pPr>
              <w:ind w:left="220"/>
              <w:spacing w:after="0"/>
              <w:rPr>
                <w:sz w:val="20"/>
                <w:szCs w:val="20"/>
                <w:color w:val="auto"/>
              </w:rPr>
            </w:pPr>
            <w:r>
              <w:rPr>
                <w:rFonts w:ascii="Arial" w:cs="Arial" w:eastAsia="Arial" w:hAnsi="Arial"/>
                <w:sz w:val="9"/>
                <w:szCs w:val="9"/>
                <w:color w:val="auto"/>
              </w:rPr>
              <w:t>Reading International Inc.</w:t>
            </w: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40" w:type="dxa"/>
            <w:vAlign w:val="bottom"/>
            <w:gridSpan w:val="3"/>
          </w:tcPr>
          <w:p>
            <w:pPr>
              <w:ind w:left="220"/>
              <w:spacing w:after="0"/>
              <w:rPr>
                <w:sz w:val="20"/>
                <w:szCs w:val="20"/>
                <w:color w:val="auto"/>
              </w:rPr>
            </w:pPr>
            <w:r>
              <w:rPr>
                <w:rFonts w:ascii="Arial" w:cs="Arial" w:eastAsia="Arial" w:hAnsi="Arial"/>
                <w:sz w:val="9"/>
                <w:szCs w:val="9"/>
                <w:color w:val="auto"/>
              </w:rPr>
              <w:t>Address: 5995 Sepulveda Blvd, Suite</w:t>
            </w:r>
          </w:p>
        </w:tc>
        <w:tc>
          <w:tcPr>
            <w:tcW w:w="0" w:type="dxa"/>
            <w:vAlign w:val="bottom"/>
          </w:tcPr>
          <w:p>
            <w:pPr>
              <w:spacing w:after="0"/>
              <w:rPr>
                <w:sz w:val="1"/>
                <w:szCs w:val="1"/>
                <w:color w:val="auto"/>
              </w:rPr>
            </w:pPr>
          </w:p>
        </w:tc>
      </w:tr>
      <w:tr>
        <w:trPr>
          <w:trHeight w:val="113"/>
        </w:trPr>
        <w:tc>
          <w:tcPr>
            <w:tcW w:w="1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0" w:type="dxa"/>
            <w:vAlign w:val="bottom"/>
          </w:tcPr>
          <w:p>
            <w:pPr>
              <w:ind w:left="220"/>
              <w:spacing w:after="0"/>
              <w:rPr>
                <w:sz w:val="20"/>
                <w:szCs w:val="20"/>
                <w:color w:val="auto"/>
              </w:rPr>
            </w:pPr>
            <w:r>
              <w:rPr>
                <w:rFonts w:ascii="Arial" w:cs="Arial" w:eastAsia="Arial" w:hAnsi="Arial"/>
                <w:sz w:val="9"/>
                <w:szCs w:val="9"/>
                <w:color w:val="auto"/>
              </w:rPr>
              <w:t>300</w:t>
            </w:r>
          </w:p>
        </w:tc>
        <w:tc>
          <w:tcPr>
            <w:tcW w:w="4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40" w:type="dxa"/>
            <w:vAlign w:val="bottom"/>
            <w:gridSpan w:val="3"/>
          </w:tcPr>
          <w:p>
            <w:pPr>
              <w:ind w:left="220"/>
              <w:spacing w:after="0"/>
              <w:rPr>
                <w:sz w:val="20"/>
                <w:szCs w:val="20"/>
                <w:color w:val="auto"/>
              </w:rPr>
            </w:pPr>
            <w:r>
              <w:rPr>
                <w:rFonts w:ascii="Arial" w:cs="Arial" w:eastAsia="Arial" w:hAnsi="Arial"/>
                <w:sz w:val="9"/>
                <w:szCs w:val="9"/>
                <w:color w:val="auto"/>
              </w:rPr>
              <w:t>Culver</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40" w:type="dxa"/>
            <w:vAlign w:val="bottom"/>
            <w:gridSpan w:val="3"/>
          </w:tcPr>
          <w:p>
            <w:pPr>
              <w:ind w:left="220"/>
              <w:spacing w:after="0"/>
              <w:rPr>
                <w:sz w:val="20"/>
                <w:szCs w:val="20"/>
                <w:color w:val="auto"/>
              </w:rPr>
            </w:pPr>
            <w:r>
              <w:rPr>
                <w:rFonts w:ascii="Arial" w:cs="Arial" w:eastAsia="Arial" w:hAnsi="Arial"/>
                <w:sz w:val="9"/>
                <w:szCs w:val="9"/>
                <w:color w:val="auto"/>
              </w:rPr>
              <w:t>City California 90230 United</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40" w:type="dxa"/>
            <w:vAlign w:val="bottom"/>
            <w:gridSpan w:val="3"/>
          </w:tcPr>
          <w:p>
            <w:pPr>
              <w:ind w:left="220"/>
              <w:spacing w:after="0"/>
              <w:rPr>
                <w:sz w:val="20"/>
                <w:szCs w:val="20"/>
                <w:color w:val="auto"/>
              </w:rPr>
            </w:pPr>
            <w:r>
              <w:rPr>
                <w:rFonts w:ascii="Arial" w:cs="Arial" w:eastAsia="Arial" w:hAnsi="Arial"/>
                <w:sz w:val="9"/>
                <w:szCs w:val="9"/>
                <w:color w:val="auto"/>
              </w:rPr>
              <w:t>States of America Fax:</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0" w:type="dxa"/>
            <w:vAlign w:val="bottom"/>
          </w:tcPr>
          <w:p>
            <w:pPr>
              <w:ind w:left="220"/>
              <w:spacing w:after="0"/>
              <w:rPr>
                <w:sz w:val="20"/>
                <w:szCs w:val="20"/>
                <w:color w:val="auto"/>
              </w:rPr>
            </w:pPr>
            <w:r>
              <w:rPr>
                <w:rFonts w:ascii="Arial" w:cs="Arial" w:eastAsia="Arial" w:hAnsi="Arial"/>
                <w:sz w:val="9"/>
                <w:szCs w:val="9"/>
                <w:color w:val="auto"/>
              </w:rPr>
              <w:t>+1 213 235 2229</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160" w:type="dxa"/>
            <w:vAlign w:val="bottom"/>
            <w:tcBorders>
              <w:bottom w:val="single" w:sz="8" w:color="7E7E7E"/>
            </w:tcBorders>
          </w:tcPr>
          <w:p>
            <w:pPr>
              <w:spacing w:after="0"/>
              <w:rPr>
                <w:sz w:val="14"/>
                <w:szCs w:val="14"/>
                <w:color w:val="auto"/>
              </w:rPr>
            </w:pPr>
          </w:p>
        </w:tc>
        <w:tc>
          <w:tcPr>
            <w:tcW w:w="1080" w:type="dxa"/>
            <w:vAlign w:val="bottom"/>
            <w:tcBorders>
              <w:bottom w:val="single" w:sz="8" w:color="7E7E7E"/>
            </w:tcBorders>
          </w:tcPr>
          <w:p>
            <w:pPr>
              <w:spacing w:after="0"/>
              <w:rPr>
                <w:sz w:val="14"/>
                <w:szCs w:val="14"/>
                <w:color w:val="auto"/>
              </w:rPr>
            </w:pPr>
          </w:p>
        </w:tc>
        <w:tc>
          <w:tcPr>
            <w:tcW w:w="1800" w:type="dxa"/>
            <w:vAlign w:val="bottom"/>
            <w:tcBorders>
              <w:bottom w:val="single" w:sz="8" w:color="7E7E7E"/>
            </w:tcBorders>
          </w:tcPr>
          <w:p>
            <w:pPr>
              <w:ind w:left="220"/>
              <w:spacing w:after="0"/>
              <w:rPr>
                <w:sz w:val="20"/>
                <w:szCs w:val="20"/>
                <w:color w:val="auto"/>
              </w:rPr>
            </w:pPr>
            <w:r>
              <w:rPr>
                <w:rFonts w:ascii="Arial" w:cs="Arial" w:eastAsia="Arial" w:hAnsi="Arial"/>
                <w:sz w:val="9"/>
                <w:szCs w:val="9"/>
                <w:color w:val="auto"/>
              </w:rPr>
              <w:t>Attention: Chief Financial Officer</w:t>
            </w:r>
          </w:p>
        </w:tc>
        <w:tc>
          <w:tcPr>
            <w:tcW w:w="40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2160" w:type="dxa"/>
            <w:vAlign w:val="bottom"/>
          </w:tcPr>
          <w:p>
            <w:pPr>
              <w:ind w:left="40"/>
              <w:spacing w:after="0"/>
              <w:rPr>
                <w:sz w:val="20"/>
                <w:szCs w:val="20"/>
                <w:color w:val="auto"/>
              </w:rPr>
            </w:pPr>
            <w:r>
              <w:rPr>
                <w:rFonts w:ascii="Arial" w:cs="Arial" w:eastAsia="Arial" w:hAnsi="Arial"/>
                <w:sz w:val="9"/>
                <w:szCs w:val="9"/>
                <w:color w:val="auto"/>
              </w:rPr>
              <w:t>Australia Country Cinemas Pty Ltd ACN 076</w:t>
            </w:r>
          </w:p>
        </w:tc>
        <w:tc>
          <w:tcPr>
            <w:tcW w:w="1080" w:type="dxa"/>
            <w:vAlign w:val="bottom"/>
            <w:vMerge w:val="restart"/>
          </w:tcPr>
          <w:p>
            <w:pPr>
              <w:ind w:left="120"/>
              <w:spacing w:after="0"/>
              <w:rPr>
                <w:sz w:val="20"/>
                <w:szCs w:val="20"/>
                <w:color w:val="auto"/>
              </w:rPr>
            </w:pPr>
            <w:r>
              <w:rPr>
                <w:rFonts w:ascii="Arial" w:cs="Arial" w:eastAsia="Arial" w:hAnsi="Arial"/>
                <w:sz w:val="9"/>
                <w:szCs w:val="9"/>
                <w:color w:val="auto"/>
              </w:rPr>
              <w:t>In its own capacity.</w:t>
            </w:r>
          </w:p>
        </w:tc>
        <w:tc>
          <w:tcPr>
            <w:tcW w:w="5840" w:type="dxa"/>
            <w:vAlign w:val="bottom"/>
            <w:gridSpan w:val="3"/>
            <w:vMerge w:val="restart"/>
          </w:tcPr>
          <w:p>
            <w:pPr>
              <w:ind w:left="22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280" w:type="dxa"/>
            <w:vAlign w:val="bottom"/>
            <w:gridSpan w:val="2"/>
            <w:vMerge w:val="restart"/>
          </w:tcPr>
          <w:p>
            <w:pPr>
              <w:ind w:left="160"/>
              <w:spacing w:after="0"/>
              <w:rPr>
                <w:sz w:val="20"/>
                <w:szCs w:val="20"/>
                <w:color w:val="auto"/>
              </w:rPr>
            </w:pPr>
            <w:r>
              <w:rPr>
                <w:rFonts w:ascii="Arial" w:cs="Arial" w:eastAsia="Arial" w:hAnsi="Arial"/>
                <w:sz w:val="9"/>
                <w:szCs w:val="9"/>
                <w:color w:val="auto"/>
              </w:rPr>
              <w:t>276 349</w:t>
            </w:r>
          </w:p>
        </w:tc>
        <w:tc>
          <w:tcPr>
            <w:tcW w:w="1080" w:type="dxa"/>
            <w:vAlign w:val="bottom"/>
            <w:vMerge w:val="continue"/>
          </w:tcPr>
          <w:p>
            <w:pPr>
              <w:spacing w:after="0"/>
              <w:rPr>
                <w:sz w:val="3"/>
                <w:szCs w:val="3"/>
                <w:color w:val="auto"/>
              </w:rPr>
            </w:pPr>
          </w:p>
        </w:tc>
        <w:tc>
          <w:tcPr>
            <w:tcW w:w="5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28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2160" w:type="dxa"/>
            <w:vAlign w:val="bottom"/>
            <w:tcBorders>
              <w:bottom w:val="single" w:sz="8" w:color="7E7E7E"/>
            </w:tcBorders>
          </w:tcPr>
          <w:p>
            <w:pPr>
              <w:spacing w:after="0"/>
              <w:rPr>
                <w:sz w:val="5"/>
                <w:szCs w:val="5"/>
                <w:color w:val="auto"/>
              </w:rPr>
            </w:pPr>
          </w:p>
        </w:tc>
        <w:tc>
          <w:tcPr>
            <w:tcW w:w="1080" w:type="dxa"/>
            <w:vAlign w:val="bottom"/>
            <w:tcBorders>
              <w:bottom w:val="single" w:sz="8" w:color="7E7E7E"/>
            </w:tcBorders>
          </w:tcPr>
          <w:p>
            <w:pPr>
              <w:spacing w:after="0"/>
              <w:rPr>
                <w:sz w:val="5"/>
                <w:szCs w:val="5"/>
                <w:color w:val="auto"/>
              </w:rPr>
            </w:pPr>
          </w:p>
        </w:tc>
        <w:tc>
          <w:tcPr>
            <w:tcW w:w="1800" w:type="dxa"/>
            <w:vAlign w:val="bottom"/>
            <w:tcBorders>
              <w:bottom w:val="single" w:sz="8" w:color="7E7E7E"/>
            </w:tcBorders>
          </w:tcPr>
          <w:p>
            <w:pPr>
              <w:spacing w:after="0"/>
              <w:rPr>
                <w:sz w:val="5"/>
                <w:szCs w:val="5"/>
                <w:color w:val="auto"/>
              </w:rPr>
            </w:pPr>
          </w:p>
        </w:tc>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2160" w:type="dxa"/>
            <w:vAlign w:val="bottom"/>
          </w:tcPr>
          <w:p>
            <w:pPr>
              <w:ind w:left="40"/>
              <w:spacing w:after="0"/>
              <w:rPr>
                <w:sz w:val="20"/>
                <w:szCs w:val="20"/>
                <w:color w:val="auto"/>
              </w:rPr>
            </w:pPr>
            <w:r>
              <w:rPr>
                <w:rFonts w:ascii="Arial" w:cs="Arial" w:eastAsia="Arial" w:hAnsi="Arial"/>
                <w:sz w:val="9"/>
                <w:szCs w:val="9"/>
                <w:color w:val="auto"/>
              </w:rPr>
              <w:t>Reading Cinemas Asset Management Pty Ltd ACN</w:t>
            </w:r>
          </w:p>
        </w:tc>
        <w:tc>
          <w:tcPr>
            <w:tcW w:w="1080" w:type="dxa"/>
            <w:vAlign w:val="bottom"/>
            <w:vMerge w:val="restart"/>
          </w:tcPr>
          <w:p>
            <w:pPr>
              <w:ind w:left="120"/>
              <w:spacing w:after="0"/>
              <w:rPr>
                <w:sz w:val="20"/>
                <w:szCs w:val="20"/>
                <w:color w:val="auto"/>
              </w:rPr>
            </w:pPr>
            <w:r>
              <w:rPr>
                <w:rFonts w:ascii="Arial" w:cs="Arial" w:eastAsia="Arial" w:hAnsi="Arial"/>
                <w:sz w:val="9"/>
                <w:szCs w:val="9"/>
                <w:color w:val="auto"/>
              </w:rPr>
              <w:t>In its own capacity.</w:t>
            </w:r>
          </w:p>
        </w:tc>
        <w:tc>
          <w:tcPr>
            <w:tcW w:w="5840" w:type="dxa"/>
            <w:vAlign w:val="bottom"/>
            <w:gridSpan w:val="3"/>
            <w:vMerge w:val="restart"/>
          </w:tcPr>
          <w:p>
            <w:pPr>
              <w:ind w:left="22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280" w:type="dxa"/>
            <w:vAlign w:val="bottom"/>
            <w:gridSpan w:val="2"/>
            <w:vMerge w:val="restart"/>
          </w:tcPr>
          <w:p>
            <w:pPr>
              <w:ind w:left="160"/>
              <w:spacing w:after="0"/>
              <w:rPr>
                <w:sz w:val="20"/>
                <w:szCs w:val="20"/>
                <w:color w:val="auto"/>
              </w:rPr>
            </w:pPr>
            <w:r>
              <w:rPr>
                <w:rFonts w:ascii="Arial" w:cs="Arial" w:eastAsia="Arial" w:hAnsi="Arial"/>
                <w:sz w:val="9"/>
                <w:szCs w:val="9"/>
                <w:color w:val="auto"/>
              </w:rPr>
              <w:t>122 571</w:t>
            </w:r>
          </w:p>
        </w:tc>
        <w:tc>
          <w:tcPr>
            <w:tcW w:w="1080" w:type="dxa"/>
            <w:vAlign w:val="bottom"/>
            <w:vMerge w:val="continue"/>
          </w:tcPr>
          <w:p>
            <w:pPr>
              <w:spacing w:after="0"/>
              <w:rPr>
                <w:sz w:val="3"/>
                <w:szCs w:val="3"/>
                <w:color w:val="auto"/>
              </w:rPr>
            </w:pPr>
          </w:p>
        </w:tc>
        <w:tc>
          <w:tcPr>
            <w:tcW w:w="5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28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280" w:type="dxa"/>
            <w:vAlign w:val="bottom"/>
            <w:gridSpan w:val="2"/>
          </w:tcPr>
          <w:p>
            <w:pPr>
              <w:ind w:left="160"/>
              <w:spacing w:after="0"/>
              <w:rPr>
                <w:sz w:val="20"/>
                <w:szCs w:val="20"/>
                <w:color w:val="auto"/>
              </w:rPr>
            </w:pPr>
            <w:r>
              <w:rPr>
                <w:rFonts w:ascii="Arial" w:cs="Arial" w:eastAsia="Arial" w:hAnsi="Arial"/>
                <w:sz w:val="9"/>
                <w:szCs w:val="9"/>
                <w:color w:val="auto"/>
              </w:rPr>
              <w:t>420</w:t>
            </w:r>
          </w:p>
        </w:tc>
        <w:tc>
          <w:tcPr>
            <w:tcW w:w="10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2160" w:type="dxa"/>
            <w:vAlign w:val="bottom"/>
            <w:tcBorders>
              <w:bottom w:val="single" w:sz="8" w:color="7E7E7E"/>
            </w:tcBorders>
          </w:tcPr>
          <w:p>
            <w:pPr>
              <w:spacing w:after="0"/>
              <w:rPr>
                <w:sz w:val="7"/>
                <w:szCs w:val="7"/>
                <w:color w:val="auto"/>
              </w:rPr>
            </w:pPr>
          </w:p>
        </w:tc>
        <w:tc>
          <w:tcPr>
            <w:tcW w:w="1080" w:type="dxa"/>
            <w:vAlign w:val="bottom"/>
            <w:tcBorders>
              <w:bottom w:val="single" w:sz="8" w:color="7E7E7E"/>
            </w:tcBorders>
          </w:tcPr>
          <w:p>
            <w:pPr>
              <w:spacing w:after="0"/>
              <w:rPr>
                <w:sz w:val="7"/>
                <w:szCs w:val="7"/>
                <w:color w:val="auto"/>
              </w:rPr>
            </w:pPr>
          </w:p>
        </w:tc>
        <w:tc>
          <w:tcPr>
            <w:tcW w:w="1800" w:type="dxa"/>
            <w:vAlign w:val="bottom"/>
            <w:tcBorders>
              <w:bottom w:val="single" w:sz="8" w:color="7E7E7E"/>
            </w:tcBorders>
          </w:tcPr>
          <w:p>
            <w:pPr>
              <w:spacing w:after="0"/>
              <w:rPr>
                <w:sz w:val="7"/>
                <w:szCs w:val="7"/>
                <w:color w:val="auto"/>
              </w:rPr>
            </w:pPr>
          </w:p>
        </w:tc>
        <w:tc>
          <w:tcPr>
            <w:tcW w:w="4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2160" w:type="dxa"/>
            <w:vAlign w:val="bottom"/>
          </w:tcPr>
          <w:p>
            <w:pPr>
              <w:ind w:left="40"/>
              <w:spacing w:after="0"/>
              <w:rPr>
                <w:sz w:val="20"/>
                <w:szCs w:val="20"/>
                <w:color w:val="auto"/>
              </w:rPr>
            </w:pPr>
            <w:r>
              <w:rPr>
                <w:rFonts w:ascii="Arial" w:cs="Arial" w:eastAsia="Arial" w:hAnsi="Arial"/>
                <w:sz w:val="9"/>
                <w:szCs w:val="9"/>
                <w:color w:val="auto"/>
              </w:rPr>
              <w:t>Burwood Developments Pty Ltd ACN 105 384 905</w:t>
            </w:r>
          </w:p>
        </w:tc>
        <w:tc>
          <w:tcPr>
            <w:tcW w:w="1080" w:type="dxa"/>
            <w:vAlign w:val="bottom"/>
            <w:vMerge w:val="restart"/>
          </w:tcPr>
          <w:p>
            <w:pPr>
              <w:ind w:left="120"/>
              <w:spacing w:after="0"/>
              <w:rPr>
                <w:sz w:val="20"/>
                <w:szCs w:val="20"/>
                <w:color w:val="auto"/>
              </w:rPr>
            </w:pPr>
            <w:r>
              <w:rPr>
                <w:rFonts w:ascii="Arial" w:cs="Arial" w:eastAsia="Arial" w:hAnsi="Arial"/>
                <w:sz w:val="9"/>
                <w:szCs w:val="9"/>
                <w:color w:val="auto"/>
              </w:rPr>
              <w:t>In its own capacity.</w:t>
            </w:r>
          </w:p>
        </w:tc>
        <w:tc>
          <w:tcPr>
            <w:tcW w:w="5840" w:type="dxa"/>
            <w:vAlign w:val="bottom"/>
            <w:gridSpan w:val="3"/>
            <w:vMerge w:val="restart"/>
          </w:tcPr>
          <w:p>
            <w:pPr>
              <w:ind w:left="22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5"/>
        </w:trPr>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5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2160" w:type="dxa"/>
            <w:vAlign w:val="bottom"/>
            <w:tcBorders>
              <w:bottom w:val="single" w:sz="8" w:color="7E7E7E"/>
            </w:tcBorders>
          </w:tcPr>
          <w:p>
            <w:pPr>
              <w:spacing w:after="0"/>
              <w:rPr>
                <w:sz w:val="11"/>
                <w:szCs w:val="11"/>
                <w:color w:val="auto"/>
              </w:rPr>
            </w:pPr>
          </w:p>
        </w:tc>
        <w:tc>
          <w:tcPr>
            <w:tcW w:w="1080" w:type="dxa"/>
            <w:vAlign w:val="bottom"/>
            <w:tcBorders>
              <w:bottom w:val="single" w:sz="8" w:color="7E7E7E"/>
            </w:tcBorders>
          </w:tcPr>
          <w:p>
            <w:pPr>
              <w:spacing w:after="0"/>
              <w:rPr>
                <w:sz w:val="11"/>
                <w:szCs w:val="11"/>
                <w:color w:val="auto"/>
              </w:rPr>
            </w:pPr>
          </w:p>
        </w:tc>
        <w:tc>
          <w:tcPr>
            <w:tcW w:w="1800" w:type="dxa"/>
            <w:vAlign w:val="bottom"/>
            <w:tcBorders>
              <w:bottom w:val="single" w:sz="8" w:color="7E7E7E"/>
            </w:tcBorders>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2160" w:type="dxa"/>
            <w:vAlign w:val="bottom"/>
          </w:tcPr>
          <w:p>
            <w:pPr>
              <w:ind w:left="40"/>
              <w:spacing w:after="0"/>
              <w:rPr>
                <w:sz w:val="20"/>
                <w:szCs w:val="20"/>
                <w:color w:val="auto"/>
              </w:rPr>
            </w:pPr>
            <w:r>
              <w:rPr>
                <w:rFonts w:ascii="Arial" w:cs="Arial" w:eastAsia="Arial" w:hAnsi="Arial"/>
                <w:sz w:val="9"/>
                <w:szCs w:val="9"/>
                <w:color w:val="auto"/>
              </w:rPr>
              <w:t>Epping Cinemas Pty Ltd ACN 073 997 172</w:t>
            </w:r>
          </w:p>
        </w:tc>
        <w:tc>
          <w:tcPr>
            <w:tcW w:w="1080" w:type="dxa"/>
            <w:vAlign w:val="bottom"/>
            <w:vMerge w:val="restart"/>
          </w:tcPr>
          <w:p>
            <w:pPr>
              <w:ind w:left="120"/>
              <w:spacing w:after="0"/>
              <w:rPr>
                <w:sz w:val="20"/>
                <w:szCs w:val="20"/>
                <w:color w:val="auto"/>
              </w:rPr>
            </w:pPr>
            <w:r>
              <w:rPr>
                <w:rFonts w:ascii="Arial" w:cs="Arial" w:eastAsia="Arial" w:hAnsi="Arial"/>
                <w:sz w:val="9"/>
                <w:szCs w:val="9"/>
                <w:color w:val="auto"/>
              </w:rPr>
              <w:t>In its own capacity.</w:t>
            </w:r>
          </w:p>
        </w:tc>
        <w:tc>
          <w:tcPr>
            <w:tcW w:w="5840" w:type="dxa"/>
            <w:vAlign w:val="bottom"/>
            <w:gridSpan w:val="3"/>
            <w:vMerge w:val="restart"/>
          </w:tcPr>
          <w:p>
            <w:pPr>
              <w:ind w:left="22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5"/>
        </w:trPr>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5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2160" w:type="dxa"/>
            <w:vAlign w:val="bottom"/>
            <w:tcBorders>
              <w:bottom w:val="single" w:sz="8" w:color="7E7E7E"/>
            </w:tcBorders>
          </w:tcPr>
          <w:p>
            <w:pPr>
              <w:spacing w:after="0"/>
              <w:rPr>
                <w:sz w:val="11"/>
                <w:szCs w:val="11"/>
                <w:color w:val="auto"/>
              </w:rPr>
            </w:pPr>
          </w:p>
        </w:tc>
        <w:tc>
          <w:tcPr>
            <w:tcW w:w="1080" w:type="dxa"/>
            <w:vAlign w:val="bottom"/>
            <w:tcBorders>
              <w:bottom w:val="single" w:sz="8" w:color="7E7E7E"/>
            </w:tcBorders>
          </w:tcPr>
          <w:p>
            <w:pPr>
              <w:spacing w:after="0"/>
              <w:rPr>
                <w:sz w:val="11"/>
                <w:szCs w:val="11"/>
                <w:color w:val="auto"/>
              </w:rPr>
            </w:pPr>
          </w:p>
        </w:tc>
        <w:tc>
          <w:tcPr>
            <w:tcW w:w="1800" w:type="dxa"/>
            <w:vAlign w:val="bottom"/>
            <w:tcBorders>
              <w:bottom w:val="single" w:sz="8" w:color="7E7E7E"/>
            </w:tcBorders>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2160" w:type="dxa"/>
            <w:vAlign w:val="bottom"/>
          </w:tcPr>
          <w:p>
            <w:pPr>
              <w:ind w:left="40"/>
              <w:spacing w:after="0"/>
              <w:rPr>
                <w:sz w:val="20"/>
                <w:szCs w:val="20"/>
                <w:color w:val="auto"/>
              </w:rPr>
            </w:pPr>
            <w:r>
              <w:rPr>
                <w:rFonts w:ascii="Arial" w:cs="Arial" w:eastAsia="Arial" w:hAnsi="Arial"/>
                <w:sz w:val="9"/>
                <w:szCs w:val="9"/>
                <w:color w:val="auto"/>
              </w:rPr>
              <w:t>Hotel Newmarket Pty Ltd ACN 094 367 969</w:t>
            </w:r>
          </w:p>
        </w:tc>
        <w:tc>
          <w:tcPr>
            <w:tcW w:w="1080" w:type="dxa"/>
            <w:vAlign w:val="bottom"/>
            <w:vMerge w:val="restart"/>
          </w:tcPr>
          <w:p>
            <w:pPr>
              <w:ind w:left="120"/>
              <w:spacing w:after="0"/>
              <w:rPr>
                <w:sz w:val="20"/>
                <w:szCs w:val="20"/>
                <w:color w:val="auto"/>
              </w:rPr>
            </w:pPr>
            <w:r>
              <w:rPr>
                <w:rFonts w:ascii="Arial" w:cs="Arial" w:eastAsia="Arial" w:hAnsi="Arial"/>
                <w:sz w:val="9"/>
                <w:szCs w:val="9"/>
                <w:color w:val="auto"/>
              </w:rPr>
              <w:t>In its own capacity.</w:t>
            </w:r>
          </w:p>
        </w:tc>
        <w:tc>
          <w:tcPr>
            <w:tcW w:w="5840" w:type="dxa"/>
            <w:vAlign w:val="bottom"/>
            <w:gridSpan w:val="3"/>
            <w:vMerge w:val="restart"/>
          </w:tcPr>
          <w:p>
            <w:pPr>
              <w:ind w:left="22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5"/>
        </w:trPr>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5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2160" w:type="dxa"/>
            <w:vAlign w:val="bottom"/>
            <w:tcBorders>
              <w:bottom w:val="single" w:sz="8" w:color="7E7E7E"/>
            </w:tcBorders>
          </w:tcPr>
          <w:p>
            <w:pPr>
              <w:spacing w:after="0"/>
              <w:rPr>
                <w:sz w:val="11"/>
                <w:szCs w:val="11"/>
                <w:color w:val="auto"/>
              </w:rPr>
            </w:pPr>
          </w:p>
        </w:tc>
        <w:tc>
          <w:tcPr>
            <w:tcW w:w="1080" w:type="dxa"/>
            <w:vAlign w:val="bottom"/>
            <w:tcBorders>
              <w:bottom w:val="single" w:sz="8" w:color="7E7E7E"/>
            </w:tcBorders>
          </w:tcPr>
          <w:p>
            <w:pPr>
              <w:spacing w:after="0"/>
              <w:rPr>
                <w:sz w:val="11"/>
                <w:szCs w:val="11"/>
                <w:color w:val="auto"/>
              </w:rPr>
            </w:pPr>
          </w:p>
        </w:tc>
        <w:tc>
          <w:tcPr>
            <w:tcW w:w="1800" w:type="dxa"/>
            <w:vAlign w:val="bottom"/>
            <w:tcBorders>
              <w:bottom w:val="single" w:sz="8" w:color="7E7E7E"/>
            </w:tcBorders>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2160" w:type="dxa"/>
            <w:vAlign w:val="bottom"/>
          </w:tcPr>
          <w:p>
            <w:pPr>
              <w:ind w:left="40"/>
              <w:spacing w:after="0"/>
              <w:rPr>
                <w:sz w:val="20"/>
                <w:szCs w:val="20"/>
                <w:color w:val="auto"/>
              </w:rPr>
            </w:pPr>
            <w:r>
              <w:rPr>
                <w:rFonts w:ascii="Arial" w:cs="Arial" w:eastAsia="Arial" w:hAnsi="Arial"/>
                <w:sz w:val="9"/>
                <w:szCs w:val="9"/>
                <w:color w:val="auto"/>
              </w:rPr>
              <w:t>Newmarket Properties Pty Ltd ACN 105 386 409</w:t>
            </w:r>
          </w:p>
        </w:tc>
        <w:tc>
          <w:tcPr>
            <w:tcW w:w="1080" w:type="dxa"/>
            <w:vAlign w:val="bottom"/>
            <w:vMerge w:val="restart"/>
          </w:tcPr>
          <w:p>
            <w:pPr>
              <w:ind w:left="120"/>
              <w:spacing w:after="0"/>
              <w:rPr>
                <w:sz w:val="20"/>
                <w:szCs w:val="20"/>
                <w:color w:val="auto"/>
              </w:rPr>
            </w:pPr>
            <w:r>
              <w:rPr>
                <w:rFonts w:ascii="Arial" w:cs="Arial" w:eastAsia="Arial" w:hAnsi="Arial"/>
                <w:sz w:val="9"/>
                <w:szCs w:val="9"/>
                <w:color w:val="auto"/>
              </w:rPr>
              <w:t>In its own capacity.</w:t>
            </w:r>
          </w:p>
        </w:tc>
        <w:tc>
          <w:tcPr>
            <w:tcW w:w="5840" w:type="dxa"/>
            <w:vAlign w:val="bottom"/>
            <w:gridSpan w:val="3"/>
            <w:vMerge w:val="restart"/>
          </w:tcPr>
          <w:p>
            <w:pPr>
              <w:ind w:left="22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5"/>
        </w:trPr>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5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2160" w:type="dxa"/>
            <w:vAlign w:val="bottom"/>
            <w:tcBorders>
              <w:bottom w:val="single" w:sz="8" w:color="7E7E7E"/>
            </w:tcBorders>
          </w:tcPr>
          <w:p>
            <w:pPr>
              <w:spacing w:after="0"/>
              <w:rPr>
                <w:sz w:val="11"/>
                <w:szCs w:val="11"/>
                <w:color w:val="auto"/>
              </w:rPr>
            </w:pPr>
          </w:p>
        </w:tc>
        <w:tc>
          <w:tcPr>
            <w:tcW w:w="1080" w:type="dxa"/>
            <w:vAlign w:val="bottom"/>
            <w:tcBorders>
              <w:bottom w:val="single" w:sz="8" w:color="7E7E7E"/>
            </w:tcBorders>
          </w:tcPr>
          <w:p>
            <w:pPr>
              <w:spacing w:after="0"/>
              <w:rPr>
                <w:sz w:val="11"/>
                <w:szCs w:val="11"/>
                <w:color w:val="auto"/>
              </w:rPr>
            </w:pPr>
          </w:p>
        </w:tc>
        <w:tc>
          <w:tcPr>
            <w:tcW w:w="1800" w:type="dxa"/>
            <w:vAlign w:val="bottom"/>
            <w:tcBorders>
              <w:bottom w:val="single" w:sz="8" w:color="7E7E7E"/>
            </w:tcBorders>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280" w:type="dxa"/>
            <w:vAlign w:val="bottom"/>
            <w:tcBorders>
              <w:bottom w:val="single" w:sz="8" w:color="auto"/>
            </w:tcBorders>
            <w:gridSpan w:val="2"/>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280" w:type="dxa"/>
            <w:vAlign w:val="bottom"/>
            <w:gridSpan w:val="2"/>
          </w:tcPr>
          <w:p>
            <w:pPr>
              <w:spacing w:after="0"/>
              <w:rPr>
                <w:sz w:val="20"/>
                <w:szCs w:val="20"/>
                <w:color w:val="auto"/>
              </w:rPr>
            </w:pPr>
            <w:r>
              <w:rPr>
                <w:rFonts w:ascii="Arial" w:cs="Arial" w:eastAsia="Arial" w:hAnsi="Arial"/>
                <w:sz w:val="8"/>
                <w:szCs w:val="8"/>
                <w:color w:val="auto"/>
              </w:rPr>
              <w:t>3449-8791-0181v3</w:t>
            </w:r>
          </w:p>
        </w:tc>
        <w:tc>
          <w:tcPr>
            <w:tcW w:w="10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40" w:type="dxa"/>
            <w:vAlign w:val="bottom"/>
            <w:gridSpan w:val="2"/>
          </w:tcPr>
          <w:p>
            <w:pPr>
              <w:ind w:left="3680"/>
              <w:spacing w:after="0"/>
              <w:rPr>
                <w:sz w:val="20"/>
                <w:szCs w:val="20"/>
                <w:color w:val="auto"/>
              </w:rPr>
            </w:pPr>
            <w:r>
              <w:rPr>
                <w:rFonts w:ascii="Arial" w:cs="Arial" w:eastAsia="Arial" w:hAnsi="Arial"/>
                <w:sz w:val="11"/>
                <w:szCs w:val="11"/>
                <w:color w:val="auto"/>
              </w:rPr>
              <w:t>page 6</w:t>
            </w:r>
          </w:p>
        </w:tc>
        <w:tc>
          <w:tcPr>
            <w:tcW w:w="0" w:type="dxa"/>
            <w:vAlign w:val="bottom"/>
          </w:tcPr>
          <w:p>
            <w:pPr>
              <w:spacing w:after="0"/>
              <w:rPr>
                <w:sz w:val="1"/>
                <w:szCs w:val="1"/>
                <w:color w:val="auto"/>
              </w:rPr>
            </w:pPr>
          </w:p>
        </w:tc>
      </w:tr>
      <w:tr>
        <w:trPr>
          <w:trHeight w:val="105"/>
        </w:trPr>
        <w:tc>
          <w:tcPr>
            <w:tcW w:w="2280" w:type="dxa"/>
            <w:vAlign w:val="bottom"/>
            <w:gridSpan w:val="2"/>
          </w:tcPr>
          <w:p>
            <w:pPr>
              <w:spacing w:after="0"/>
              <w:rPr>
                <w:sz w:val="20"/>
                <w:szCs w:val="20"/>
                <w:color w:val="auto"/>
              </w:rPr>
            </w:pPr>
            <w:r>
              <w:rPr>
                <w:rFonts w:ascii="Arial" w:cs="Arial" w:eastAsia="Arial" w:hAnsi="Arial"/>
                <w:sz w:val="8"/>
                <w:szCs w:val="8"/>
                <w:color w:val="auto"/>
              </w:rPr>
              <w:t>Amendment Deed</w:t>
            </w:r>
          </w:p>
        </w:tc>
        <w:tc>
          <w:tcPr>
            <w:tcW w:w="10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20" w:type="dxa"/>
            <w:vAlign w:val="bottom"/>
            <w:tcBorders>
              <w:bottom w:val="single" w:sz="8" w:color="EEEEEE"/>
            </w:tcBorders>
          </w:tcPr>
          <w:p>
            <w:pPr>
              <w:spacing w:after="0"/>
              <w:rPr>
                <w:sz w:val="17"/>
                <w:szCs w:val="17"/>
                <w:color w:val="auto"/>
              </w:rPr>
            </w:pPr>
          </w:p>
        </w:tc>
        <w:tc>
          <w:tcPr>
            <w:tcW w:w="216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40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-26670</wp:posOffset>
            </wp:positionV>
            <wp:extent cx="587375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73750" cy="40005"/>
                    </a:xfrm>
                    <a:prstGeom prst="rect">
                      <a:avLst/>
                    </a:prstGeom>
                    <a:noFill/>
                  </pic:spPr>
                </pic:pic>
              </a:graphicData>
            </a:graphic>
          </wp:anchor>
        </w:drawing>
      </w:r>
    </w:p>
    <w:p>
      <w:pPr>
        <w:sectPr>
          <w:pgSz w:w="11900" w:h="16840" w:orient="portrait"/>
          <w:cols w:equalWidth="0" w:num="1">
            <w:col w:w="9320"/>
          </w:cols>
          <w:pgMar w:left="1360" w:top="565" w:right="1220" w:bottom="1440" w:gutter="0" w:footer="0" w:header="0"/>
        </w:sectPr>
      </w:pPr>
    </w:p>
    <w:bookmarkStart w:id="57" w:name="page58"/>
    <w:bookmarkEnd w:id="57"/>
    <w:p>
      <w:pPr>
        <w:ind w:left="40"/>
        <w:spacing w:after="0"/>
        <w:rPr>
          <w:sz w:val="20"/>
          <w:szCs w:val="20"/>
          <w:color w:val="auto"/>
        </w:rPr>
      </w:pPr>
      <w:r>
        <w:rPr>
          <w:rFonts w:ascii="Arial" w:cs="Arial" w:eastAsia="Arial" w:hAnsi="Arial"/>
          <w:sz w:val="10"/>
          <w:szCs w:val="10"/>
          <w:color w:val="auto"/>
        </w:rPr>
        <w:t>Corrs Chambers Westgarth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358140</wp:posOffset>
            </wp:positionV>
            <wp:extent cx="2776855" cy="176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76855" cy="17653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FFFFFF"/>
        </w:rPr>
        <w:t>Guarantors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240" w:type="dxa"/>
            <w:vAlign w:val="bottom"/>
          </w:tcPr>
          <w:p>
            <w:pPr>
              <w:spacing w:after="0"/>
              <w:rPr>
                <w:sz w:val="22"/>
                <w:szCs w:val="22"/>
                <w:color w:val="auto"/>
              </w:rPr>
            </w:pPr>
          </w:p>
        </w:tc>
        <w:tc>
          <w:tcPr>
            <w:tcW w:w="1760" w:type="dxa"/>
            <w:vAlign w:val="bottom"/>
            <w:tcBorders>
              <w:bottom w:val="single" w:sz="8" w:color="9B9B9B"/>
            </w:tcBorders>
            <w:shd w:val="clear" w:color="auto" w:fill="9B9B9B"/>
          </w:tcPr>
          <w:p>
            <w:pPr>
              <w:ind w:left="40"/>
              <w:spacing w:after="0"/>
              <w:rPr>
                <w:sz w:val="20"/>
                <w:szCs w:val="20"/>
                <w:color w:val="auto"/>
              </w:rPr>
            </w:pPr>
            <w:r>
              <w:rPr>
                <w:rFonts w:ascii="Arial" w:cs="Arial" w:eastAsia="Arial" w:hAnsi="Arial"/>
                <w:sz w:val="11"/>
                <w:szCs w:val="11"/>
                <w:b w:val="1"/>
                <w:bCs w:val="1"/>
                <w:color w:val="FFFFFF"/>
              </w:rPr>
              <w:t>Name</w:t>
            </w:r>
          </w:p>
        </w:tc>
        <w:tc>
          <w:tcPr>
            <w:tcW w:w="1020" w:type="dxa"/>
            <w:vAlign w:val="bottom"/>
            <w:tcBorders>
              <w:bottom w:val="single" w:sz="8" w:color="9B9B9B"/>
            </w:tcBorders>
            <w:shd w:val="clear" w:color="auto" w:fill="9B9B9B"/>
          </w:tcPr>
          <w:p>
            <w:pPr>
              <w:ind w:left="60"/>
              <w:spacing w:after="0"/>
              <w:rPr>
                <w:sz w:val="20"/>
                <w:szCs w:val="20"/>
                <w:color w:val="auto"/>
              </w:rPr>
            </w:pPr>
            <w:r>
              <w:rPr>
                <w:rFonts w:ascii="Arial" w:cs="Arial" w:eastAsia="Arial" w:hAnsi="Arial"/>
                <w:sz w:val="11"/>
                <w:szCs w:val="11"/>
                <w:b w:val="1"/>
                <w:bCs w:val="1"/>
                <w:color w:val="FFFFFF"/>
              </w:rPr>
              <w:t>Capacity</w:t>
            </w:r>
          </w:p>
        </w:tc>
        <w:tc>
          <w:tcPr>
            <w:tcW w:w="1580" w:type="dxa"/>
            <w:vAlign w:val="bottom"/>
            <w:tcBorders>
              <w:bottom w:val="single" w:sz="8" w:color="9B9B9B"/>
            </w:tcBorders>
            <w:shd w:val="clear" w:color="auto" w:fill="9B9B9B"/>
          </w:tcPr>
          <w:p>
            <w:pPr>
              <w:ind w:left="240"/>
              <w:spacing w:after="0"/>
              <w:rPr>
                <w:sz w:val="20"/>
                <w:szCs w:val="20"/>
                <w:color w:val="auto"/>
              </w:rPr>
            </w:pPr>
            <w:r>
              <w:rPr>
                <w:rFonts w:ascii="Arial" w:cs="Arial" w:eastAsia="Arial" w:hAnsi="Arial"/>
                <w:sz w:val="11"/>
                <w:szCs w:val="11"/>
                <w:b w:val="1"/>
                <w:bCs w:val="1"/>
                <w:color w:val="FFFFFF"/>
              </w:rPr>
              <w:t>Address</w:t>
            </w:r>
          </w:p>
        </w:tc>
        <w:tc>
          <w:tcPr>
            <w:tcW w:w="4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Borders>
              <w:top w:val="single" w:sz="8" w:color="7E7E7E"/>
            </w:tcBorders>
          </w:tcPr>
          <w:p>
            <w:pPr>
              <w:ind w:left="40"/>
              <w:spacing w:after="0"/>
              <w:rPr>
                <w:sz w:val="20"/>
                <w:szCs w:val="20"/>
                <w:color w:val="auto"/>
              </w:rPr>
            </w:pPr>
            <w:r>
              <w:rPr>
                <w:rFonts w:ascii="Arial" w:cs="Arial" w:eastAsia="Arial" w:hAnsi="Arial"/>
                <w:sz w:val="9"/>
                <w:szCs w:val="9"/>
                <w:color w:val="auto"/>
              </w:rPr>
              <w:t>Newmarket Properties No. 2</w:t>
            </w:r>
          </w:p>
        </w:tc>
        <w:tc>
          <w:tcPr>
            <w:tcW w:w="1020" w:type="dxa"/>
            <w:vAlign w:val="bottom"/>
            <w:tcBorders>
              <w:top w:val="single" w:sz="8" w:color="7E7E7E"/>
            </w:tcBorders>
            <w:vMerge w:val="restart"/>
          </w:tcPr>
          <w:p>
            <w:pPr>
              <w:ind w:left="60"/>
              <w:spacing w:after="0"/>
              <w:rPr>
                <w:sz w:val="20"/>
                <w:szCs w:val="20"/>
                <w:color w:val="auto"/>
              </w:rPr>
            </w:pPr>
            <w:r>
              <w:rPr>
                <w:rFonts w:ascii="Arial" w:cs="Arial" w:eastAsia="Arial" w:hAnsi="Arial"/>
                <w:sz w:val="9"/>
                <w:szCs w:val="9"/>
                <w:color w:val="auto"/>
              </w:rPr>
              <w:t>In its own capacity.</w:t>
            </w:r>
          </w:p>
        </w:tc>
        <w:tc>
          <w:tcPr>
            <w:tcW w:w="1580" w:type="dxa"/>
            <w:vAlign w:val="bottom"/>
            <w:tcBorders>
              <w:top w:val="single" w:sz="8" w:color="7E7E7E"/>
            </w:tcBorders>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460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240" w:type="dxa"/>
            <w:vAlign w:val="bottom"/>
          </w:tcPr>
          <w:p>
            <w:pPr>
              <w:spacing w:after="0"/>
              <w:rPr>
                <w:sz w:val="3"/>
                <w:szCs w:val="3"/>
                <w:color w:val="auto"/>
              </w:rPr>
            </w:pPr>
          </w:p>
        </w:tc>
        <w:tc>
          <w:tcPr>
            <w:tcW w:w="1760" w:type="dxa"/>
            <w:vAlign w:val="bottom"/>
            <w:vMerge w:val="restart"/>
          </w:tcPr>
          <w:p>
            <w:pPr>
              <w:ind w:left="60"/>
              <w:spacing w:after="0"/>
              <w:rPr>
                <w:sz w:val="20"/>
                <w:szCs w:val="20"/>
                <w:color w:val="auto"/>
              </w:rPr>
            </w:pPr>
            <w:r>
              <w:rPr>
                <w:rFonts w:ascii="Arial" w:cs="Arial" w:eastAsia="Arial" w:hAnsi="Arial"/>
                <w:sz w:val="9"/>
                <w:szCs w:val="9"/>
                <w:color w:val="auto"/>
              </w:rPr>
              <w:t>Pty Ltd ACN 109 038 806</w:t>
            </w:r>
          </w:p>
        </w:tc>
        <w:tc>
          <w:tcPr>
            <w:tcW w:w="102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4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Newmarket Properties #3 Pty</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40" w:type="dxa"/>
            <w:vAlign w:val="bottom"/>
          </w:tcPr>
          <w:p>
            <w:pPr>
              <w:spacing w:after="0"/>
              <w:rPr>
                <w:sz w:val="3"/>
                <w:szCs w:val="3"/>
                <w:color w:val="auto"/>
              </w:rPr>
            </w:pPr>
          </w:p>
        </w:tc>
        <w:tc>
          <w:tcPr>
            <w:tcW w:w="1760" w:type="dxa"/>
            <w:vAlign w:val="bottom"/>
            <w:vMerge w:val="restart"/>
          </w:tcPr>
          <w:p>
            <w:pPr>
              <w:ind w:left="40"/>
              <w:spacing w:after="0"/>
              <w:rPr>
                <w:sz w:val="20"/>
                <w:szCs w:val="20"/>
                <w:color w:val="auto"/>
              </w:rPr>
            </w:pPr>
            <w:r>
              <w:rPr>
                <w:rFonts w:ascii="Arial" w:cs="Arial" w:eastAsia="Arial" w:hAnsi="Arial"/>
                <w:sz w:val="9"/>
                <w:szCs w:val="9"/>
                <w:color w:val="auto"/>
              </w:rPr>
              <w:t>Ltd ACN 126 697 505</w:t>
            </w: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Reading Armadale Pty Ltd ACN 107 939</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000" w:type="dxa"/>
            <w:vAlign w:val="bottom"/>
            <w:gridSpan w:val="2"/>
            <w:vMerge w:val="restart"/>
          </w:tcPr>
          <w:p>
            <w:pPr>
              <w:ind w:left="280"/>
              <w:spacing w:after="0"/>
              <w:rPr>
                <w:sz w:val="20"/>
                <w:szCs w:val="20"/>
                <w:color w:val="auto"/>
              </w:rPr>
            </w:pPr>
            <w:r>
              <w:rPr>
                <w:rFonts w:ascii="Arial" w:cs="Arial" w:eastAsia="Arial" w:hAnsi="Arial"/>
                <w:sz w:val="9"/>
                <w:szCs w:val="9"/>
                <w:color w:val="auto"/>
              </w:rPr>
              <w:t>211</w:t>
            </w: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0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Reading Belmont Pty Ltd ACN 126 697</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000" w:type="dxa"/>
            <w:vAlign w:val="bottom"/>
            <w:gridSpan w:val="2"/>
            <w:vMerge w:val="restart"/>
          </w:tcPr>
          <w:p>
            <w:pPr>
              <w:ind w:left="280"/>
              <w:spacing w:after="0"/>
              <w:rPr>
                <w:sz w:val="20"/>
                <w:szCs w:val="20"/>
                <w:color w:val="auto"/>
              </w:rPr>
            </w:pPr>
            <w:r>
              <w:rPr>
                <w:rFonts w:ascii="Arial" w:cs="Arial" w:eastAsia="Arial" w:hAnsi="Arial"/>
                <w:sz w:val="9"/>
                <w:szCs w:val="9"/>
                <w:color w:val="auto"/>
              </w:rPr>
              <w:t>498</w:t>
            </w: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0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Reading Bundaberg 2012 Pty</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40" w:type="dxa"/>
            <w:vAlign w:val="bottom"/>
          </w:tcPr>
          <w:p>
            <w:pPr>
              <w:spacing w:after="0"/>
              <w:rPr>
                <w:sz w:val="3"/>
                <w:szCs w:val="3"/>
                <w:color w:val="auto"/>
              </w:rPr>
            </w:pPr>
          </w:p>
        </w:tc>
        <w:tc>
          <w:tcPr>
            <w:tcW w:w="1760" w:type="dxa"/>
            <w:vAlign w:val="bottom"/>
            <w:vMerge w:val="restart"/>
          </w:tcPr>
          <w:p>
            <w:pPr>
              <w:ind w:left="40"/>
              <w:spacing w:after="0"/>
              <w:rPr>
                <w:sz w:val="20"/>
                <w:szCs w:val="20"/>
                <w:color w:val="auto"/>
              </w:rPr>
            </w:pPr>
            <w:r>
              <w:rPr>
                <w:rFonts w:ascii="Arial" w:cs="Arial" w:eastAsia="Arial" w:hAnsi="Arial"/>
                <w:sz w:val="9"/>
                <w:szCs w:val="9"/>
                <w:color w:val="auto"/>
              </w:rPr>
              <w:t>Ltd ACN 122 406 320</w:t>
            </w: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Reading Charlestown Pty Ltd ACN 123</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000" w:type="dxa"/>
            <w:vAlign w:val="bottom"/>
            <w:gridSpan w:val="2"/>
            <w:vMerge w:val="restart"/>
          </w:tcPr>
          <w:p>
            <w:pPr>
              <w:ind w:left="280"/>
              <w:spacing w:after="0"/>
              <w:rPr>
                <w:sz w:val="20"/>
                <w:szCs w:val="20"/>
                <w:color w:val="auto"/>
              </w:rPr>
            </w:pPr>
            <w:r>
              <w:rPr>
                <w:rFonts w:ascii="Arial" w:cs="Arial" w:eastAsia="Arial" w:hAnsi="Arial"/>
                <w:sz w:val="9"/>
                <w:szCs w:val="9"/>
                <w:color w:val="auto"/>
              </w:rPr>
              <w:t>938 483</w:t>
            </w: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0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Reading Cinemas Pty Ltd ACN 073 808</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000" w:type="dxa"/>
            <w:vAlign w:val="bottom"/>
            <w:gridSpan w:val="2"/>
            <w:vMerge w:val="restart"/>
          </w:tcPr>
          <w:p>
            <w:pPr>
              <w:ind w:left="280"/>
              <w:spacing w:after="0"/>
              <w:rPr>
                <w:sz w:val="20"/>
                <w:szCs w:val="20"/>
                <w:color w:val="auto"/>
              </w:rPr>
            </w:pPr>
            <w:r>
              <w:rPr>
                <w:rFonts w:ascii="Arial" w:cs="Arial" w:eastAsia="Arial" w:hAnsi="Arial"/>
                <w:sz w:val="9"/>
                <w:szCs w:val="9"/>
                <w:color w:val="auto"/>
              </w:rPr>
              <w:t>643</w:t>
            </w: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0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Reading Cinemas Management Pty Ltd</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40" w:type="dxa"/>
            <w:vAlign w:val="bottom"/>
          </w:tcPr>
          <w:p>
            <w:pPr>
              <w:spacing w:after="0"/>
              <w:rPr>
                <w:sz w:val="3"/>
                <w:szCs w:val="3"/>
                <w:color w:val="auto"/>
              </w:rPr>
            </w:pPr>
          </w:p>
        </w:tc>
        <w:tc>
          <w:tcPr>
            <w:tcW w:w="1760" w:type="dxa"/>
            <w:vAlign w:val="bottom"/>
            <w:vMerge w:val="restart"/>
          </w:tcPr>
          <w:p>
            <w:pPr>
              <w:ind w:left="40"/>
              <w:spacing w:after="0"/>
              <w:rPr>
                <w:sz w:val="20"/>
                <w:szCs w:val="20"/>
                <w:color w:val="auto"/>
              </w:rPr>
            </w:pPr>
            <w:r>
              <w:rPr>
                <w:rFonts w:ascii="Arial" w:cs="Arial" w:eastAsia="Arial" w:hAnsi="Arial"/>
                <w:sz w:val="9"/>
                <w:szCs w:val="9"/>
                <w:color w:val="auto"/>
              </w:rPr>
              <w:t>ACN 122 406 311</w:t>
            </w: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State Cinema Hobart Pty Ltd ACN 108</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000" w:type="dxa"/>
            <w:vAlign w:val="bottom"/>
            <w:gridSpan w:val="2"/>
            <w:vMerge w:val="restart"/>
          </w:tcPr>
          <w:p>
            <w:pPr>
              <w:ind w:left="280"/>
              <w:spacing w:after="0"/>
              <w:rPr>
                <w:sz w:val="20"/>
                <w:szCs w:val="20"/>
                <w:color w:val="auto"/>
              </w:rPr>
            </w:pPr>
            <w:r>
              <w:rPr>
                <w:rFonts w:ascii="Arial" w:cs="Arial" w:eastAsia="Arial" w:hAnsi="Arial"/>
                <w:sz w:val="9"/>
                <w:szCs w:val="9"/>
                <w:color w:val="auto"/>
              </w:rPr>
              <w:t>861 061</w:t>
            </w: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0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Reading Dandenong Pty Ltd ACN 129</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000" w:type="dxa"/>
            <w:vAlign w:val="bottom"/>
            <w:gridSpan w:val="2"/>
            <w:vMerge w:val="restart"/>
          </w:tcPr>
          <w:p>
            <w:pPr>
              <w:ind w:left="280"/>
              <w:spacing w:after="0"/>
              <w:rPr>
                <w:sz w:val="20"/>
                <w:szCs w:val="20"/>
                <w:color w:val="auto"/>
              </w:rPr>
            </w:pPr>
            <w:r>
              <w:rPr>
                <w:rFonts w:ascii="Arial" w:cs="Arial" w:eastAsia="Arial" w:hAnsi="Arial"/>
                <w:sz w:val="9"/>
                <w:szCs w:val="9"/>
                <w:color w:val="auto"/>
              </w:rPr>
              <w:t>018 739</w:t>
            </w: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0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Reading Elizabeth Pty Ltd ACN 114 582</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000" w:type="dxa"/>
            <w:vAlign w:val="bottom"/>
            <w:gridSpan w:val="2"/>
            <w:vMerge w:val="restart"/>
          </w:tcPr>
          <w:p>
            <w:pPr>
              <w:ind w:left="280"/>
              <w:spacing w:after="0"/>
              <w:rPr>
                <w:sz w:val="20"/>
                <w:szCs w:val="20"/>
                <w:color w:val="auto"/>
              </w:rPr>
            </w:pPr>
            <w:r>
              <w:rPr>
                <w:rFonts w:ascii="Arial" w:cs="Arial" w:eastAsia="Arial" w:hAnsi="Arial"/>
                <w:sz w:val="9"/>
                <w:szCs w:val="9"/>
                <w:color w:val="auto"/>
              </w:rPr>
              <w:t>099</w:t>
            </w: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0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Reading Exhibition Pty Ltd ACN 103 529</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000" w:type="dxa"/>
            <w:vAlign w:val="bottom"/>
            <w:gridSpan w:val="2"/>
            <w:vMerge w:val="restart"/>
          </w:tcPr>
          <w:p>
            <w:pPr>
              <w:ind w:left="280"/>
              <w:spacing w:after="0"/>
              <w:rPr>
                <w:sz w:val="20"/>
                <w:szCs w:val="20"/>
                <w:color w:val="auto"/>
              </w:rPr>
            </w:pPr>
            <w:r>
              <w:rPr>
                <w:rFonts w:ascii="Arial" w:cs="Arial" w:eastAsia="Arial" w:hAnsi="Arial"/>
                <w:sz w:val="9"/>
                <w:szCs w:val="9"/>
                <w:color w:val="auto"/>
              </w:rPr>
              <w:t>782</w:t>
            </w: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0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Reading Licences Pty Ltd ACN 089 544</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000" w:type="dxa"/>
            <w:vAlign w:val="bottom"/>
            <w:gridSpan w:val="2"/>
            <w:vMerge w:val="restart"/>
          </w:tcPr>
          <w:p>
            <w:pPr>
              <w:ind w:left="280"/>
              <w:spacing w:after="0"/>
              <w:rPr>
                <w:sz w:val="20"/>
                <w:szCs w:val="20"/>
                <w:color w:val="auto"/>
              </w:rPr>
            </w:pPr>
            <w:r>
              <w:rPr>
                <w:rFonts w:ascii="Arial" w:cs="Arial" w:eastAsia="Arial" w:hAnsi="Arial"/>
                <w:sz w:val="9"/>
                <w:szCs w:val="9"/>
                <w:color w:val="auto"/>
              </w:rPr>
              <w:t>605</w:t>
            </w: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0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Reading Maitland Pty Ltd ACN 126 697</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000" w:type="dxa"/>
            <w:vAlign w:val="bottom"/>
            <w:gridSpan w:val="2"/>
            <w:vMerge w:val="restart"/>
          </w:tcPr>
          <w:p>
            <w:pPr>
              <w:ind w:left="280"/>
              <w:spacing w:after="0"/>
              <w:rPr>
                <w:sz w:val="20"/>
                <w:szCs w:val="20"/>
                <w:color w:val="auto"/>
              </w:rPr>
            </w:pPr>
            <w:r>
              <w:rPr>
                <w:rFonts w:ascii="Arial" w:cs="Arial" w:eastAsia="Arial" w:hAnsi="Arial"/>
                <w:sz w:val="9"/>
                <w:szCs w:val="9"/>
                <w:color w:val="auto"/>
              </w:rPr>
              <w:t>461</w:t>
            </w: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0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760" w:type="dxa"/>
            <w:vAlign w:val="bottom"/>
            <w:tcBorders>
              <w:bottom w:val="single" w:sz="8" w:color="7E7E7E"/>
            </w:tcBorders>
          </w:tcPr>
          <w:p>
            <w:pPr>
              <w:spacing w:after="0"/>
              <w:rPr>
                <w:sz w:val="5"/>
                <w:szCs w:val="5"/>
                <w:color w:val="auto"/>
              </w:rPr>
            </w:pPr>
          </w:p>
        </w:tc>
        <w:tc>
          <w:tcPr>
            <w:tcW w:w="102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9"/>
                <w:szCs w:val="9"/>
                <w:color w:val="auto"/>
              </w:rPr>
              <w:t>Reading Melton Pty Ltd ACN 109 074 517</w:t>
            </w:r>
          </w:p>
        </w:tc>
        <w:tc>
          <w:tcPr>
            <w:tcW w:w="1020" w:type="dxa"/>
            <w:vAlign w:val="bottom"/>
            <w:vMerge w:val="restart"/>
          </w:tcPr>
          <w:p>
            <w:pPr>
              <w:ind w:left="60"/>
              <w:spacing w:after="0"/>
              <w:rPr>
                <w:sz w:val="20"/>
                <w:szCs w:val="20"/>
                <w:color w:val="auto"/>
              </w:rPr>
            </w:pPr>
            <w:r>
              <w:rPr>
                <w:rFonts w:ascii="Arial" w:cs="Arial" w:eastAsia="Arial" w:hAnsi="Arial"/>
                <w:sz w:val="9"/>
                <w:szCs w:val="9"/>
                <w:color w:val="auto"/>
              </w:rPr>
              <w:t>In its own capacity.</w:t>
            </w:r>
          </w:p>
        </w:tc>
        <w:tc>
          <w:tcPr>
            <w:tcW w:w="6180" w:type="dxa"/>
            <w:vAlign w:val="bottom"/>
            <w:gridSpan w:val="3"/>
            <w:vMerge w:val="restart"/>
          </w:tcPr>
          <w:p>
            <w:pPr>
              <w:ind w:left="2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5"/>
        </w:trPr>
        <w:tc>
          <w:tcPr>
            <w:tcW w:w="2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1760" w:type="dxa"/>
            <w:vAlign w:val="bottom"/>
            <w:tcBorders>
              <w:bottom w:val="single" w:sz="8" w:color="7E7E7E"/>
            </w:tcBorders>
          </w:tcPr>
          <w:p>
            <w:pPr>
              <w:spacing w:after="0"/>
              <w:rPr>
                <w:sz w:val="11"/>
                <w:szCs w:val="11"/>
                <w:color w:val="auto"/>
              </w:rPr>
            </w:pPr>
          </w:p>
        </w:tc>
        <w:tc>
          <w:tcPr>
            <w:tcW w:w="1020" w:type="dxa"/>
            <w:vAlign w:val="bottom"/>
            <w:tcBorders>
              <w:bottom w:val="single" w:sz="8" w:color="7E7E7E"/>
            </w:tcBorders>
          </w:tcPr>
          <w:p>
            <w:pPr>
              <w:spacing w:after="0"/>
              <w:rPr>
                <w:sz w:val="11"/>
                <w:szCs w:val="11"/>
                <w:color w:val="auto"/>
              </w:rPr>
            </w:pPr>
          </w:p>
        </w:tc>
        <w:tc>
          <w:tcPr>
            <w:tcW w:w="1580" w:type="dxa"/>
            <w:vAlign w:val="bottom"/>
            <w:tcBorders>
              <w:bottom w:val="single" w:sz="8" w:color="7E7E7E"/>
            </w:tcBorders>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000" w:type="dxa"/>
            <w:vAlign w:val="bottom"/>
            <w:tcBorders>
              <w:bottom w:val="single" w:sz="8" w:color="auto"/>
            </w:tcBorders>
            <w:gridSpan w:val="2"/>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8"/>
                <w:szCs w:val="8"/>
                <w:color w:val="auto"/>
              </w:rPr>
              <w:t>3449-8791-0181v3</w:t>
            </w:r>
          </w:p>
        </w:tc>
        <w:tc>
          <w:tcPr>
            <w:tcW w:w="10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0" w:type="dxa"/>
            <w:vAlign w:val="bottom"/>
            <w:gridSpan w:val="2"/>
          </w:tcPr>
          <w:p>
            <w:pPr>
              <w:ind w:left="4240"/>
              <w:spacing w:after="0"/>
              <w:rPr>
                <w:sz w:val="20"/>
                <w:szCs w:val="20"/>
                <w:color w:val="auto"/>
              </w:rPr>
            </w:pPr>
            <w:r>
              <w:rPr>
                <w:rFonts w:ascii="Arial" w:cs="Arial" w:eastAsia="Arial" w:hAnsi="Arial"/>
                <w:sz w:val="11"/>
                <w:szCs w:val="11"/>
                <w:color w:val="auto"/>
              </w:rPr>
              <w:t>page 7</w:t>
            </w:r>
          </w:p>
        </w:tc>
        <w:tc>
          <w:tcPr>
            <w:tcW w:w="0" w:type="dxa"/>
            <w:vAlign w:val="bottom"/>
          </w:tcPr>
          <w:p>
            <w:pPr>
              <w:spacing w:after="0"/>
              <w:rPr>
                <w:sz w:val="1"/>
                <w:szCs w:val="1"/>
                <w:color w:val="auto"/>
              </w:rPr>
            </w:pPr>
          </w:p>
        </w:tc>
      </w:tr>
      <w:tr>
        <w:trPr>
          <w:trHeight w:val="105"/>
        </w:trPr>
        <w:tc>
          <w:tcPr>
            <w:tcW w:w="2000" w:type="dxa"/>
            <w:vAlign w:val="bottom"/>
            <w:gridSpan w:val="2"/>
          </w:tcPr>
          <w:p>
            <w:pPr>
              <w:spacing w:after="0"/>
              <w:rPr>
                <w:sz w:val="20"/>
                <w:szCs w:val="20"/>
                <w:color w:val="auto"/>
              </w:rPr>
            </w:pPr>
            <w:r>
              <w:rPr>
                <w:rFonts w:ascii="Arial" w:cs="Arial" w:eastAsia="Arial" w:hAnsi="Arial"/>
                <w:sz w:val="8"/>
                <w:szCs w:val="8"/>
                <w:color w:val="auto"/>
              </w:rPr>
              <w:t>Amendment Deed</w:t>
            </w:r>
          </w:p>
        </w:tc>
        <w:tc>
          <w:tcPr>
            <w:tcW w:w="1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40" w:type="dxa"/>
            <w:vAlign w:val="bottom"/>
            <w:tcBorders>
              <w:bottom w:val="single" w:sz="8" w:color="EEEEEE"/>
            </w:tcBorders>
          </w:tcPr>
          <w:p>
            <w:pPr>
              <w:spacing w:after="0"/>
              <w:rPr>
                <w:sz w:val="17"/>
                <w:szCs w:val="17"/>
                <w:color w:val="auto"/>
              </w:rPr>
            </w:pPr>
          </w:p>
        </w:tc>
        <w:tc>
          <w:tcPr>
            <w:tcW w:w="176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1580" w:type="dxa"/>
            <w:vAlign w:val="bottom"/>
            <w:tcBorders>
              <w:bottom w:val="single" w:sz="8" w:color="EEEEEE"/>
            </w:tcBorders>
          </w:tcPr>
          <w:p>
            <w:pPr>
              <w:spacing w:after="0"/>
              <w:rPr>
                <w:sz w:val="17"/>
                <w:szCs w:val="17"/>
                <w:color w:val="auto"/>
              </w:rPr>
            </w:pPr>
          </w:p>
        </w:tc>
        <w:tc>
          <w:tcPr>
            <w:tcW w:w="458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wp:posOffset>
            </wp:positionV>
            <wp:extent cx="587375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73750" cy="40005"/>
                    </a:xfrm>
                    <a:prstGeom prst="rect">
                      <a:avLst/>
                    </a:prstGeom>
                    <a:noFill/>
                  </pic:spPr>
                </pic:pic>
              </a:graphicData>
            </a:graphic>
          </wp:anchor>
        </w:drawing>
      </w:r>
    </w:p>
    <w:p>
      <w:pPr>
        <w:sectPr>
          <w:pgSz w:w="11900" w:h="16840" w:orient="portrait"/>
          <w:cols w:equalWidth="0" w:num="1">
            <w:col w:w="9240"/>
          </w:cols>
          <w:pgMar w:left="1440" w:top="565" w:right="1220" w:bottom="1440" w:gutter="0" w:footer="0" w:header="0"/>
        </w:sectPr>
      </w:pPr>
    </w:p>
    <w:bookmarkStart w:id="58" w:name="page59"/>
    <w:bookmarkEnd w:id="58"/>
    <w:p>
      <w:pPr>
        <w:ind w:left="40"/>
        <w:spacing w:after="0"/>
        <w:rPr>
          <w:sz w:val="20"/>
          <w:szCs w:val="20"/>
          <w:color w:val="auto"/>
        </w:rPr>
      </w:pPr>
      <w:r>
        <w:rPr>
          <w:rFonts w:ascii="Arial" w:cs="Arial" w:eastAsia="Arial" w:hAnsi="Arial"/>
          <w:sz w:val="10"/>
          <w:szCs w:val="10"/>
          <w:color w:val="auto"/>
        </w:rPr>
        <w:t>Corrs Chambers Westgarth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358140</wp:posOffset>
            </wp:positionV>
            <wp:extent cx="3514725" cy="176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14725" cy="17653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FFFFFF"/>
        </w:rPr>
        <w:t>Guarantors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240" w:type="dxa"/>
            <w:vAlign w:val="bottom"/>
          </w:tcPr>
          <w:p>
            <w:pPr>
              <w:spacing w:after="0"/>
              <w:rPr>
                <w:sz w:val="22"/>
                <w:szCs w:val="22"/>
                <w:color w:val="auto"/>
              </w:rPr>
            </w:pPr>
          </w:p>
        </w:tc>
        <w:tc>
          <w:tcPr>
            <w:tcW w:w="1940" w:type="dxa"/>
            <w:vAlign w:val="bottom"/>
            <w:tcBorders>
              <w:bottom w:val="single" w:sz="8" w:color="9B9B9B"/>
            </w:tcBorders>
            <w:shd w:val="clear" w:color="auto" w:fill="9B9B9B"/>
          </w:tcPr>
          <w:p>
            <w:pPr>
              <w:ind w:left="40"/>
              <w:spacing w:after="0"/>
              <w:rPr>
                <w:sz w:val="20"/>
                <w:szCs w:val="20"/>
                <w:color w:val="auto"/>
              </w:rPr>
            </w:pPr>
            <w:r>
              <w:rPr>
                <w:rFonts w:ascii="Arial" w:cs="Arial" w:eastAsia="Arial" w:hAnsi="Arial"/>
                <w:sz w:val="11"/>
                <w:szCs w:val="11"/>
                <w:b w:val="1"/>
                <w:bCs w:val="1"/>
                <w:color w:val="FFFFFF"/>
              </w:rPr>
              <w:t>Name</w:t>
            </w:r>
          </w:p>
        </w:tc>
        <w:tc>
          <w:tcPr>
            <w:tcW w:w="2180" w:type="dxa"/>
            <w:vAlign w:val="bottom"/>
            <w:tcBorders>
              <w:bottom w:val="single" w:sz="8" w:color="9B9B9B"/>
            </w:tcBorders>
            <w:shd w:val="clear" w:color="auto" w:fill="9B9B9B"/>
          </w:tcPr>
          <w:p>
            <w:pPr>
              <w:ind w:left="80"/>
              <w:spacing w:after="0"/>
              <w:rPr>
                <w:sz w:val="20"/>
                <w:szCs w:val="20"/>
                <w:color w:val="auto"/>
              </w:rPr>
            </w:pPr>
            <w:r>
              <w:rPr>
                <w:rFonts w:ascii="Arial" w:cs="Arial" w:eastAsia="Arial" w:hAnsi="Arial"/>
                <w:sz w:val="11"/>
                <w:szCs w:val="11"/>
                <w:b w:val="1"/>
                <w:bCs w:val="1"/>
                <w:color w:val="FFFFFF"/>
              </w:rPr>
              <w:t>Capacity</w:t>
            </w:r>
          </w:p>
        </w:tc>
        <w:tc>
          <w:tcPr>
            <w:tcW w:w="1400" w:type="dxa"/>
            <w:vAlign w:val="bottom"/>
            <w:tcBorders>
              <w:bottom w:val="single" w:sz="8" w:color="9B9B9B"/>
            </w:tcBorders>
            <w:shd w:val="clear" w:color="auto" w:fill="9B9B9B"/>
          </w:tcPr>
          <w:p>
            <w:pPr>
              <w:ind w:left="40"/>
              <w:spacing w:after="0"/>
              <w:rPr>
                <w:sz w:val="20"/>
                <w:szCs w:val="20"/>
                <w:color w:val="auto"/>
              </w:rPr>
            </w:pPr>
            <w:r>
              <w:rPr>
                <w:rFonts w:ascii="Arial" w:cs="Arial" w:eastAsia="Arial" w:hAnsi="Arial"/>
                <w:sz w:val="11"/>
                <w:szCs w:val="11"/>
                <w:b w:val="1"/>
                <w:bCs w:val="1"/>
                <w:color w:val="FFFFFF"/>
              </w:rPr>
              <w:t>Address</w:t>
            </w:r>
          </w:p>
        </w:tc>
        <w:tc>
          <w:tcPr>
            <w:tcW w:w="3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Borders>
              <w:top w:val="single" w:sz="8" w:color="7E7E7E"/>
            </w:tcBorders>
          </w:tcPr>
          <w:p>
            <w:pPr>
              <w:ind w:left="40"/>
              <w:spacing w:after="0"/>
              <w:rPr>
                <w:sz w:val="20"/>
                <w:szCs w:val="20"/>
                <w:color w:val="auto"/>
              </w:rPr>
            </w:pPr>
            <w:r>
              <w:rPr>
                <w:rFonts w:ascii="Arial" w:cs="Arial" w:eastAsia="Arial" w:hAnsi="Arial"/>
                <w:sz w:val="9"/>
                <w:szCs w:val="9"/>
                <w:color w:val="auto"/>
              </w:rPr>
              <w:t>Reading Properties Pty Ltd ACN 071 195 429</w:t>
            </w:r>
          </w:p>
        </w:tc>
        <w:tc>
          <w:tcPr>
            <w:tcW w:w="2180" w:type="dxa"/>
            <w:vAlign w:val="bottom"/>
            <w:tcBorders>
              <w:top w:val="single" w:sz="8" w:color="7E7E7E"/>
            </w:tcBorders>
            <w:vMerge w:val="restart"/>
          </w:tcPr>
          <w:p>
            <w:pPr>
              <w:ind w:left="80"/>
              <w:spacing w:after="0"/>
              <w:rPr>
                <w:sz w:val="20"/>
                <w:szCs w:val="20"/>
                <w:color w:val="auto"/>
              </w:rPr>
            </w:pPr>
            <w:r>
              <w:rPr>
                <w:rFonts w:ascii="Arial" w:cs="Arial" w:eastAsia="Arial" w:hAnsi="Arial"/>
                <w:sz w:val="9"/>
                <w:szCs w:val="9"/>
                <w:color w:val="auto"/>
              </w:rPr>
              <w:t>In its own capacity.</w:t>
            </w:r>
          </w:p>
        </w:tc>
        <w:tc>
          <w:tcPr>
            <w:tcW w:w="1400" w:type="dxa"/>
            <w:vAlign w:val="bottom"/>
            <w:tcBorders>
              <w:top w:val="single" w:sz="8" w:color="7E7E7E"/>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44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34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1940" w:type="dxa"/>
            <w:vAlign w:val="bottom"/>
            <w:tcBorders>
              <w:bottom w:val="single" w:sz="8" w:color="7E7E7E"/>
            </w:tcBorders>
          </w:tcPr>
          <w:p>
            <w:pPr>
              <w:spacing w:after="0"/>
              <w:rPr>
                <w:sz w:val="11"/>
                <w:szCs w:val="11"/>
                <w:color w:val="auto"/>
              </w:rPr>
            </w:pPr>
          </w:p>
        </w:tc>
        <w:tc>
          <w:tcPr>
            <w:tcW w:w="2180" w:type="dxa"/>
            <w:vAlign w:val="bottom"/>
            <w:tcBorders>
              <w:bottom w:val="single" w:sz="8" w:color="7E7E7E"/>
            </w:tcBorders>
          </w:tcPr>
          <w:p>
            <w:pPr>
              <w:spacing w:after="0"/>
              <w:rPr>
                <w:sz w:val="11"/>
                <w:szCs w:val="11"/>
                <w:color w:val="auto"/>
              </w:rPr>
            </w:pPr>
          </w:p>
        </w:tc>
        <w:tc>
          <w:tcPr>
            <w:tcW w:w="1400" w:type="dxa"/>
            <w:vAlign w:val="bottom"/>
            <w:tcBorders>
              <w:bottom w:val="single" w:sz="8" w:color="7E7E7E"/>
            </w:tcBorders>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Reading Properties Indooroopilly Pty Ltd ACN</w:t>
            </w: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As trustee for</w:t>
            </w:r>
          </w:p>
        </w:tc>
        <w:tc>
          <w:tcPr>
            <w:tcW w:w="4840" w:type="dxa"/>
            <w:vAlign w:val="bottom"/>
            <w:gridSpan w:val="3"/>
            <w:vMerge w:val="restart"/>
          </w:tcPr>
          <w:p>
            <w:pPr>
              <w:ind w:left="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5"/>
        </w:trPr>
        <w:tc>
          <w:tcPr>
            <w:tcW w:w="2180" w:type="dxa"/>
            <w:vAlign w:val="bottom"/>
            <w:gridSpan w:val="2"/>
            <w:vMerge w:val="restart"/>
          </w:tcPr>
          <w:p>
            <w:pPr>
              <w:ind w:left="280"/>
              <w:spacing w:after="0"/>
              <w:rPr>
                <w:sz w:val="20"/>
                <w:szCs w:val="20"/>
                <w:color w:val="auto"/>
              </w:rPr>
            </w:pPr>
            <w:r>
              <w:rPr>
                <w:rFonts w:ascii="Arial" w:cs="Arial" w:eastAsia="Arial" w:hAnsi="Arial"/>
                <w:sz w:val="9"/>
                <w:szCs w:val="9"/>
                <w:color w:val="auto"/>
              </w:rPr>
              <w:t>121 284 884</w:t>
            </w:r>
          </w:p>
        </w:tc>
        <w:tc>
          <w:tcPr>
            <w:tcW w:w="2180" w:type="dxa"/>
            <w:vAlign w:val="bottom"/>
            <w:vMerge w:val="continue"/>
          </w:tcPr>
          <w:p>
            <w:pPr>
              <w:spacing w:after="0"/>
              <w:rPr>
                <w:sz w:val="3"/>
                <w:szCs w:val="3"/>
                <w:color w:val="auto"/>
              </w:rPr>
            </w:pPr>
          </w:p>
        </w:tc>
        <w:tc>
          <w:tcPr>
            <w:tcW w:w="4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180" w:type="dxa"/>
            <w:vAlign w:val="bottom"/>
            <w:gridSpan w:val="2"/>
            <w:vMerge w:val="continue"/>
          </w:tcPr>
          <w:p>
            <w:pPr>
              <w:spacing w:after="0"/>
              <w:rPr>
                <w:sz w:val="5"/>
                <w:szCs w:val="5"/>
                <w:color w:val="auto"/>
              </w:rPr>
            </w:pP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the Landplan Property Partners Discretionary Trust.</w:t>
            </w:r>
          </w:p>
        </w:tc>
        <w:tc>
          <w:tcPr>
            <w:tcW w:w="14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14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1940" w:type="dxa"/>
            <w:vAlign w:val="bottom"/>
            <w:tcBorders>
              <w:bottom w:val="single" w:sz="8" w:color="7E7E7E"/>
            </w:tcBorders>
          </w:tcPr>
          <w:p>
            <w:pPr>
              <w:spacing w:after="0"/>
              <w:rPr>
                <w:sz w:val="13"/>
                <w:szCs w:val="13"/>
                <w:color w:val="auto"/>
              </w:rPr>
            </w:pPr>
          </w:p>
        </w:tc>
        <w:tc>
          <w:tcPr>
            <w:tcW w:w="2180" w:type="dxa"/>
            <w:vAlign w:val="bottom"/>
            <w:tcBorders>
              <w:bottom w:val="single" w:sz="8" w:color="7E7E7E"/>
            </w:tcBorders>
          </w:tcPr>
          <w:p>
            <w:pPr>
              <w:spacing w:after="0"/>
              <w:rPr>
                <w:sz w:val="13"/>
                <w:szCs w:val="13"/>
                <w:color w:val="auto"/>
              </w:rPr>
            </w:pPr>
          </w:p>
        </w:tc>
        <w:tc>
          <w:tcPr>
            <w:tcW w:w="1400" w:type="dxa"/>
            <w:vAlign w:val="bottom"/>
            <w:tcBorders>
              <w:bottom w:val="single" w:sz="8" w:color="7E7E7E"/>
            </w:tcBorders>
          </w:tcPr>
          <w:p>
            <w:pPr>
              <w:spacing w:after="0"/>
              <w:rPr>
                <w:sz w:val="13"/>
                <w:szCs w:val="13"/>
                <w:color w:val="auto"/>
              </w:rPr>
            </w:pPr>
          </w:p>
        </w:tc>
        <w:tc>
          <w:tcPr>
            <w:tcW w:w="3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Reading Noosa Pty Ltd ACN 128 819 483</w:t>
            </w: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As trustee for the Reading Property Partners No.</w:t>
            </w:r>
          </w:p>
        </w:tc>
        <w:tc>
          <w:tcPr>
            <w:tcW w:w="4840" w:type="dxa"/>
            <w:vAlign w:val="bottom"/>
            <w:gridSpan w:val="3"/>
            <w:vMerge w:val="restart"/>
          </w:tcPr>
          <w:p>
            <w:pPr>
              <w:ind w:left="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4"/>
        </w:trPr>
        <w:tc>
          <w:tcPr>
            <w:tcW w:w="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4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180" w:type="dxa"/>
            <w:vAlign w:val="bottom"/>
          </w:tcPr>
          <w:p>
            <w:pPr>
              <w:ind w:left="100"/>
              <w:spacing w:after="0"/>
              <w:rPr>
                <w:sz w:val="20"/>
                <w:szCs w:val="20"/>
                <w:color w:val="auto"/>
              </w:rPr>
            </w:pPr>
            <w:r>
              <w:rPr>
                <w:rFonts w:ascii="Arial" w:cs="Arial" w:eastAsia="Arial" w:hAnsi="Arial"/>
                <w:sz w:val="9"/>
                <w:szCs w:val="9"/>
                <w:color w:val="auto"/>
              </w:rPr>
              <w:t>1 Discretionary Trust.</w:t>
            </w:r>
          </w:p>
        </w:tc>
        <w:tc>
          <w:tcPr>
            <w:tcW w:w="140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1940" w:type="dxa"/>
            <w:vAlign w:val="bottom"/>
            <w:tcBorders>
              <w:bottom w:val="single" w:sz="8" w:color="7E7E7E"/>
            </w:tcBorders>
          </w:tcPr>
          <w:p>
            <w:pPr>
              <w:spacing w:after="0"/>
              <w:rPr>
                <w:sz w:val="13"/>
                <w:szCs w:val="13"/>
                <w:color w:val="auto"/>
              </w:rPr>
            </w:pPr>
          </w:p>
        </w:tc>
        <w:tc>
          <w:tcPr>
            <w:tcW w:w="2180" w:type="dxa"/>
            <w:vAlign w:val="bottom"/>
            <w:tcBorders>
              <w:bottom w:val="single" w:sz="8" w:color="7E7E7E"/>
            </w:tcBorders>
          </w:tcPr>
          <w:p>
            <w:pPr>
              <w:spacing w:after="0"/>
              <w:rPr>
                <w:sz w:val="13"/>
                <w:szCs w:val="13"/>
                <w:color w:val="auto"/>
              </w:rPr>
            </w:pPr>
          </w:p>
        </w:tc>
        <w:tc>
          <w:tcPr>
            <w:tcW w:w="1400" w:type="dxa"/>
            <w:vAlign w:val="bottom"/>
            <w:tcBorders>
              <w:bottom w:val="single" w:sz="8" w:color="7E7E7E"/>
            </w:tcBorders>
          </w:tcPr>
          <w:p>
            <w:pPr>
              <w:spacing w:after="0"/>
              <w:rPr>
                <w:sz w:val="13"/>
                <w:szCs w:val="13"/>
                <w:color w:val="auto"/>
              </w:rPr>
            </w:pPr>
          </w:p>
        </w:tc>
        <w:tc>
          <w:tcPr>
            <w:tcW w:w="3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Reading Property Holdings Pty Ltd ACN 126</w:t>
            </w: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In its own capacity.</w:t>
            </w:r>
          </w:p>
        </w:tc>
        <w:tc>
          <w:tcPr>
            <w:tcW w:w="4840" w:type="dxa"/>
            <w:vAlign w:val="bottom"/>
            <w:gridSpan w:val="3"/>
            <w:vMerge w:val="restart"/>
          </w:tcPr>
          <w:p>
            <w:pPr>
              <w:ind w:left="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180" w:type="dxa"/>
            <w:vAlign w:val="bottom"/>
            <w:gridSpan w:val="2"/>
            <w:vMerge w:val="restart"/>
          </w:tcPr>
          <w:p>
            <w:pPr>
              <w:ind w:left="280"/>
              <w:spacing w:after="0"/>
              <w:rPr>
                <w:sz w:val="20"/>
                <w:szCs w:val="20"/>
                <w:color w:val="auto"/>
              </w:rPr>
            </w:pPr>
            <w:r>
              <w:rPr>
                <w:rFonts w:ascii="Arial" w:cs="Arial" w:eastAsia="Arial" w:hAnsi="Arial"/>
                <w:sz w:val="9"/>
                <w:szCs w:val="9"/>
                <w:color w:val="auto"/>
              </w:rPr>
              <w:t>289 772</w:t>
            </w:r>
          </w:p>
        </w:tc>
        <w:tc>
          <w:tcPr>
            <w:tcW w:w="2180" w:type="dxa"/>
            <w:vAlign w:val="bottom"/>
            <w:vMerge w:val="continue"/>
          </w:tcPr>
          <w:p>
            <w:pPr>
              <w:spacing w:after="0"/>
              <w:rPr>
                <w:sz w:val="3"/>
                <w:szCs w:val="3"/>
                <w:color w:val="auto"/>
              </w:rPr>
            </w:pPr>
          </w:p>
        </w:tc>
        <w:tc>
          <w:tcPr>
            <w:tcW w:w="4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180" w:type="dxa"/>
            <w:vAlign w:val="bottom"/>
            <w:gridSpan w:val="2"/>
            <w:vMerge w:val="continue"/>
          </w:tcPr>
          <w:p>
            <w:pPr>
              <w:spacing w:after="0"/>
              <w:rPr>
                <w:sz w:val="5"/>
                <w:szCs w:val="5"/>
                <w:color w:val="auto"/>
              </w:rPr>
            </w:pPr>
          </w:p>
        </w:tc>
        <w:tc>
          <w:tcPr>
            <w:tcW w:w="2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940" w:type="dxa"/>
            <w:vAlign w:val="bottom"/>
            <w:tcBorders>
              <w:bottom w:val="single" w:sz="8" w:color="7E7E7E"/>
            </w:tcBorders>
          </w:tcPr>
          <w:p>
            <w:pPr>
              <w:spacing w:after="0"/>
              <w:rPr>
                <w:sz w:val="5"/>
                <w:szCs w:val="5"/>
                <w:color w:val="auto"/>
              </w:rPr>
            </w:pPr>
          </w:p>
        </w:tc>
        <w:tc>
          <w:tcPr>
            <w:tcW w:w="2180" w:type="dxa"/>
            <w:vAlign w:val="bottom"/>
            <w:tcBorders>
              <w:bottom w:val="single" w:sz="8" w:color="7E7E7E"/>
            </w:tcBorders>
          </w:tcPr>
          <w:p>
            <w:pPr>
              <w:spacing w:after="0"/>
              <w:rPr>
                <w:sz w:val="5"/>
                <w:szCs w:val="5"/>
                <w:color w:val="auto"/>
              </w:rPr>
            </w:pPr>
          </w:p>
        </w:tc>
        <w:tc>
          <w:tcPr>
            <w:tcW w:w="1400" w:type="dxa"/>
            <w:vAlign w:val="bottom"/>
            <w:tcBorders>
              <w:bottom w:val="single" w:sz="8" w:color="7E7E7E"/>
            </w:tcBorders>
          </w:tcPr>
          <w:p>
            <w:pPr>
              <w:spacing w:after="0"/>
              <w:rPr>
                <w:sz w:val="5"/>
                <w:szCs w:val="5"/>
                <w:color w:val="auto"/>
              </w:rPr>
            </w:pPr>
          </w:p>
        </w:tc>
        <w:tc>
          <w:tcPr>
            <w:tcW w:w="3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Reading Rouse Hill Pty Ltd ACN 123 245 885</w:t>
            </w: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In its own capacity.</w:t>
            </w:r>
          </w:p>
        </w:tc>
        <w:tc>
          <w:tcPr>
            <w:tcW w:w="4840" w:type="dxa"/>
            <w:vAlign w:val="bottom"/>
            <w:gridSpan w:val="3"/>
            <w:vMerge w:val="restart"/>
          </w:tcPr>
          <w:p>
            <w:pPr>
              <w:ind w:left="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5"/>
        </w:trPr>
        <w:tc>
          <w:tcPr>
            <w:tcW w:w="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4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1940" w:type="dxa"/>
            <w:vAlign w:val="bottom"/>
            <w:tcBorders>
              <w:bottom w:val="single" w:sz="8" w:color="7E7E7E"/>
            </w:tcBorders>
          </w:tcPr>
          <w:p>
            <w:pPr>
              <w:spacing w:after="0"/>
              <w:rPr>
                <w:sz w:val="11"/>
                <w:szCs w:val="11"/>
                <w:color w:val="auto"/>
              </w:rPr>
            </w:pPr>
          </w:p>
        </w:tc>
        <w:tc>
          <w:tcPr>
            <w:tcW w:w="2180" w:type="dxa"/>
            <w:vAlign w:val="bottom"/>
            <w:tcBorders>
              <w:bottom w:val="single" w:sz="8" w:color="7E7E7E"/>
            </w:tcBorders>
          </w:tcPr>
          <w:p>
            <w:pPr>
              <w:spacing w:after="0"/>
              <w:rPr>
                <w:sz w:val="11"/>
                <w:szCs w:val="11"/>
                <w:color w:val="auto"/>
              </w:rPr>
            </w:pPr>
          </w:p>
        </w:tc>
        <w:tc>
          <w:tcPr>
            <w:tcW w:w="1400" w:type="dxa"/>
            <w:vAlign w:val="bottom"/>
            <w:tcBorders>
              <w:bottom w:val="single" w:sz="8" w:color="7E7E7E"/>
            </w:tcBorders>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Reading Sunbury Pty</w:t>
            </w: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In its own capacity.</w:t>
            </w:r>
          </w:p>
        </w:tc>
        <w:tc>
          <w:tcPr>
            <w:tcW w:w="4840" w:type="dxa"/>
            <w:vAlign w:val="bottom"/>
            <w:gridSpan w:val="3"/>
            <w:vMerge w:val="restart"/>
          </w:tcPr>
          <w:p>
            <w:pPr>
              <w:ind w:left="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40" w:type="dxa"/>
            <w:vAlign w:val="bottom"/>
          </w:tcPr>
          <w:p>
            <w:pPr>
              <w:spacing w:after="0"/>
              <w:rPr>
                <w:sz w:val="3"/>
                <w:szCs w:val="3"/>
                <w:color w:val="auto"/>
              </w:rPr>
            </w:pPr>
          </w:p>
        </w:tc>
        <w:tc>
          <w:tcPr>
            <w:tcW w:w="1940" w:type="dxa"/>
            <w:vAlign w:val="bottom"/>
            <w:vMerge w:val="restart"/>
          </w:tcPr>
          <w:p>
            <w:pPr>
              <w:ind w:left="40"/>
              <w:spacing w:after="0"/>
              <w:rPr>
                <w:sz w:val="20"/>
                <w:szCs w:val="20"/>
                <w:color w:val="auto"/>
              </w:rPr>
            </w:pPr>
            <w:r>
              <w:rPr>
                <w:rFonts w:ascii="Arial" w:cs="Arial" w:eastAsia="Arial" w:hAnsi="Arial"/>
                <w:sz w:val="9"/>
                <w:szCs w:val="9"/>
                <w:color w:val="auto"/>
              </w:rPr>
              <w:t>Limited ACN 109 074 571</w:t>
            </w:r>
          </w:p>
        </w:tc>
        <w:tc>
          <w:tcPr>
            <w:tcW w:w="2180" w:type="dxa"/>
            <w:vAlign w:val="bottom"/>
            <w:vMerge w:val="continue"/>
          </w:tcPr>
          <w:p>
            <w:pPr>
              <w:spacing w:after="0"/>
              <w:rPr>
                <w:sz w:val="3"/>
                <w:szCs w:val="3"/>
                <w:color w:val="auto"/>
              </w:rPr>
            </w:pPr>
          </w:p>
        </w:tc>
        <w:tc>
          <w:tcPr>
            <w:tcW w:w="4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2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940" w:type="dxa"/>
            <w:vAlign w:val="bottom"/>
            <w:tcBorders>
              <w:bottom w:val="single" w:sz="8" w:color="7E7E7E"/>
            </w:tcBorders>
          </w:tcPr>
          <w:p>
            <w:pPr>
              <w:spacing w:after="0"/>
              <w:rPr>
                <w:sz w:val="5"/>
                <w:szCs w:val="5"/>
                <w:color w:val="auto"/>
              </w:rPr>
            </w:pPr>
          </w:p>
        </w:tc>
        <w:tc>
          <w:tcPr>
            <w:tcW w:w="2180" w:type="dxa"/>
            <w:vAlign w:val="bottom"/>
            <w:tcBorders>
              <w:bottom w:val="single" w:sz="8" w:color="7E7E7E"/>
            </w:tcBorders>
          </w:tcPr>
          <w:p>
            <w:pPr>
              <w:spacing w:after="0"/>
              <w:rPr>
                <w:sz w:val="5"/>
                <w:szCs w:val="5"/>
                <w:color w:val="auto"/>
              </w:rPr>
            </w:pPr>
          </w:p>
        </w:tc>
        <w:tc>
          <w:tcPr>
            <w:tcW w:w="1400" w:type="dxa"/>
            <w:vAlign w:val="bottom"/>
            <w:tcBorders>
              <w:bottom w:val="single" w:sz="8" w:color="7E7E7E"/>
            </w:tcBorders>
          </w:tcPr>
          <w:p>
            <w:pPr>
              <w:spacing w:after="0"/>
              <w:rPr>
                <w:sz w:val="5"/>
                <w:szCs w:val="5"/>
                <w:color w:val="auto"/>
              </w:rPr>
            </w:pPr>
          </w:p>
        </w:tc>
        <w:tc>
          <w:tcPr>
            <w:tcW w:w="3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Rhodes Peninsula Cinema Pty Limited</w:t>
            </w: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In its own capacity.</w:t>
            </w:r>
          </w:p>
        </w:tc>
        <w:tc>
          <w:tcPr>
            <w:tcW w:w="4840" w:type="dxa"/>
            <w:vAlign w:val="bottom"/>
            <w:gridSpan w:val="3"/>
            <w:vMerge w:val="restart"/>
          </w:tcPr>
          <w:p>
            <w:pPr>
              <w:ind w:left="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40" w:type="dxa"/>
            <w:vAlign w:val="bottom"/>
          </w:tcPr>
          <w:p>
            <w:pPr>
              <w:spacing w:after="0"/>
              <w:rPr>
                <w:sz w:val="3"/>
                <w:szCs w:val="3"/>
                <w:color w:val="auto"/>
              </w:rPr>
            </w:pPr>
          </w:p>
        </w:tc>
        <w:tc>
          <w:tcPr>
            <w:tcW w:w="1940" w:type="dxa"/>
            <w:vAlign w:val="bottom"/>
            <w:vMerge w:val="restart"/>
          </w:tcPr>
          <w:p>
            <w:pPr>
              <w:ind w:left="40"/>
              <w:spacing w:after="0"/>
              <w:rPr>
                <w:sz w:val="20"/>
                <w:szCs w:val="20"/>
                <w:color w:val="auto"/>
              </w:rPr>
            </w:pPr>
            <w:r>
              <w:rPr>
                <w:rFonts w:ascii="Arial" w:cs="Arial" w:eastAsia="Arial" w:hAnsi="Arial"/>
                <w:sz w:val="9"/>
                <w:szCs w:val="9"/>
                <w:color w:val="auto"/>
              </w:rPr>
              <w:t>ACN 120 827 812</w:t>
            </w:r>
          </w:p>
        </w:tc>
        <w:tc>
          <w:tcPr>
            <w:tcW w:w="2180" w:type="dxa"/>
            <w:vAlign w:val="bottom"/>
            <w:vMerge w:val="continue"/>
          </w:tcPr>
          <w:p>
            <w:pPr>
              <w:spacing w:after="0"/>
              <w:rPr>
                <w:sz w:val="3"/>
                <w:szCs w:val="3"/>
                <w:color w:val="auto"/>
              </w:rPr>
            </w:pPr>
          </w:p>
        </w:tc>
        <w:tc>
          <w:tcPr>
            <w:tcW w:w="4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2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940" w:type="dxa"/>
            <w:vAlign w:val="bottom"/>
            <w:tcBorders>
              <w:bottom w:val="single" w:sz="8" w:color="7E7E7E"/>
            </w:tcBorders>
          </w:tcPr>
          <w:p>
            <w:pPr>
              <w:spacing w:after="0"/>
              <w:rPr>
                <w:sz w:val="5"/>
                <w:szCs w:val="5"/>
                <w:color w:val="auto"/>
              </w:rPr>
            </w:pPr>
          </w:p>
        </w:tc>
        <w:tc>
          <w:tcPr>
            <w:tcW w:w="2180" w:type="dxa"/>
            <w:vAlign w:val="bottom"/>
            <w:tcBorders>
              <w:bottom w:val="single" w:sz="8" w:color="7E7E7E"/>
            </w:tcBorders>
          </w:tcPr>
          <w:p>
            <w:pPr>
              <w:spacing w:after="0"/>
              <w:rPr>
                <w:sz w:val="5"/>
                <w:szCs w:val="5"/>
                <w:color w:val="auto"/>
              </w:rPr>
            </w:pPr>
          </w:p>
        </w:tc>
        <w:tc>
          <w:tcPr>
            <w:tcW w:w="1400" w:type="dxa"/>
            <w:vAlign w:val="bottom"/>
            <w:tcBorders>
              <w:bottom w:val="single" w:sz="8" w:color="7E7E7E"/>
            </w:tcBorders>
          </w:tcPr>
          <w:p>
            <w:pPr>
              <w:spacing w:after="0"/>
              <w:rPr>
                <w:sz w:val="5"/>
                <w:szCs w:val="5"/>
                <w:color w:val="auto"/>
              </w:rPr>
            </w:pPr>
          </w:p>
        </w:tc>
        <w:tc>
          <w:tcPr>
            <w:tcW w:w="3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Westlakes Cinema Pty Ltd ACN 108 531 308</w:t>
            </w: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In its own capacity.</w:t>
            </w:r>
          </w:p>
        </w:tc>
        <w:tc>
          <w:tcPr>
            <w:tcW w:w="4840" w:type="dxa"/>
            <w:vAlign w:val="bottom"/>
            <w:gridSpan w:val="3"/>
            <w:vMerge w:val="restart"/>
          </w:tcPr>
          <w:p>
            <w:pPr>
              <w:ind w:left="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5"/>
        </w:trPr>
        <w:tc>
          <w:tcPr>
            <w:tcW w:w="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4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1940" w:type="dxa"/>
            <w:vAlign w:val="bottom"/>
            <w:tcBorders>
              <w:bottom w:val="single" w:sz="8" w:color="7E7E7E"/>
            </w:tcBorders>
          </w:tcPr>
          <w:p>
            <w:pPr>
              <w:spacing w:after="0"/>
              <w:rPr>
                <w:sz w:val="11"/>
                <w:szCs w:val="11"/>
                <w:color w:val="auto"/>
              </w:rPr>
            </w:pPr>
          </w:p>
        </w:tc>
        <w:tc>
          <w:tcPr>
            <w:tcW w:w="2180" w:type="dxa"/>
            <w:vAlign w:val="bottom"/>
            <w:tcBorders>
              <w:bottom w:val="single" w:sz="8" w:color="7E7E7E"/>
            </w:tcBorders>
          </w:tcPr>
          <w:p>
            <w:pPr>
              <w:spacing w:after="0"/>
              <w:rPr>
                <w:sz w:val="11"/>
                <w:szCs w:val="11"/>
                <w:color w:val="auto"/>
              </w:rPr>
            </w:pPr>
          </w:p>
        </w:tc>
        <w:tc>
          <w:tcPr>
            <w:tcW w:w="1400" w:type="dxa"/>
            <w:vAlign w:val="bottom"/>
            <w:tcBorders>
              <w:bottom w:val="single" w:sz="8" w:color="7E7E7E"/>
            </w:tcBorders>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Reading Busselton Pty Ltd ACN 143 633 096</w:t>
            </w: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In its own capacity.</w:t>
            </w:r>
          </w:p>
        </w:tc>
        <w:tc>
          <w:tcPr>
            <w:tcW w:w="4840" w:type="dxa"/>
            <w:vAlign w:val="bottom"/>
            <w:gridSpan w:val="3"/>
            <w:vMerge w:val="restart"/>
          </w:tcPr>
          <w:p>
            <w:pPr>
              <w:ind w:left="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5"/>
        </w:trPr>
        <w:tc>
          <w:tcPr>
            <w:tcW w:w="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4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1940" w:type="dxa"/>
            <w:vAlign w:val="bottom"/>
            <w:tcBorders>
              <w:bottom w:val="single" w:sz="8" w:color="7E7E7E"/>
            </w:tcBorders>
          </w:tcPr>
          <w:p>
            <w:pPr>
              <w:spacing w:after="0"/>
              <w:rPr>
                <w:sz w:val="11"/>
                <w:szCs w:val="11"/>
                <w:color w:val="auto"/>
              </w:rPr>
            </w:pPr>
          </w:p>
        </w:tc>
        <w:tc>
          <w:tcPr>
            <w:tcW w:w="2180" w:type="dxa"/>
            <w:vAlign w:val="bottom"/>
            <w:tcBorders>
              <w:bottom w:val="single" w:sz="8" w:color="7E7E7E"/>
            </w:tcBorders>
          </w:tcPr>
          <w:p>
            <w:pPr>
              <w:spacing w:after="0"/>
              <w:rPr>
                <w:sz w:val="11"/>
                <w:szCs w:val="11"/>
                <w:color w:val="auto"/>
              </w:rPr>
            </w:pPr>
          </w:p>
        </w:tc>
        <w:tc>
          <w:tcPr>
            <w:tcW w:w="1400" w:type="dxa"/>
            <w:vAlign w:val="bottom"/>
            <w:tcBorders>
              <w:bottom w:val="single" w:sz="8" w:color="7E7E7E"/>
            </w:tcBorders>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Reading Cannon Park Pty Ltd ACN 609</w:t>
            </w: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In its own capacity.</w:t>
            </w:r>
          </w:p>
        </w:tc>
        <w:tc>
          <w:tcPr>
            <w:tcW w:w="4840" w:type="dxa"/>
            <w:vAlign w:val="bottom"/>
            <w:gridSpan w:val="3"/>
            <w:vMerge w:val="restart"/>
          </w:tcPr>
          <w:p>
            <w:pPr>
              <w:ind w:left="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180" w:type="dxa"/>
            <w:vAlign w:val="bottom"/>
            <w:gridSpan w:val="2"/>
            <w:vMerge w:val="restart"/>
          </w:tcPr>
          <w:p>
            <w:pPr>
              <w:ind w:left="280"/>
              <w:spacing w:after="0"/>
              <w:rPr>
                <w:sz w:val="20"/>
                <w:szCs w:val="20"/>
                <w:color w:val="auto"/>
              </w:rPr>
            </w:pPr>
            <w:r>
              <w:rPr>
                <w:rFonts w:ascii="Arial" w:cs="Arial" w:eastAsia="Arial" w:hAnsi="Arial"/>
                <w:sz w:val="9"/>
                <w:szCs w:val="9"/>
                <w:color w:val="auto"/>
              </w:rPr>
              <w:t>837 569</w:t>
            </w:r>
          </w:p>
        </w:tc>
        <w:tc>
          <w:tcPr>
            <w:tcW w:w="2180" w:type="dxa"/>
            <w:vAlign w:val="bottom"/>
            <w:vMerge w:val="continue"/>
          </w:tcPr>
          <w:p>
            <w:pPr>
              <w:spacing w:after="0"/>
              <w:rPr>
                <w:sz w:val="3"/>
                <w:szCs w:val="3"/>
                <w:color w:val="auto"/>
              </w:rPr>
            </w:pPr>
          </w:p>
        </w:tc>
        <w:tc>
          <w:tcPr>
            <w:tcW w:w="4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180" w:type="dxa"/>
            <w:vAlign w:val="bottom"/>
            <w:gridSpan w:val="2"/>
            <w:vMerge w:val="continue"/>
          </w:tcPr>
          <w:p>
            <w:pPr>
              <w:spacing w:after="0"/>
              <w:rPr>
                <w:sz w:val="5"/>
                <w:szCs w:val="5"/>
                <w:color w:val="auto"/>
              </w:rPr>
            </w:pPr>
          </w:p>
        </w:tc>
        <w:tc>
          <w:tcPr>
            <w:tcW w:w="2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940" w:type="dxa"/>
            <w:vAlign w:val="bottom"/>
            <w:tcBorders>
              <w:bottom w:val="single" w:sz="8" w:color="7E7E7E"/>
            </w:tcBorders>
          </w:tcPr>
          <w:p>
            <w:pPr>
              <w:spacing w:after="0"/>
              <w:rPr>
                <w:sz w:val="5"/>
                <w:szCs w:val="5"/>
                <w:color w:val="auto"/>
              </w:rPr>
            </w:pPr>
          </w:p>
        </w:tc>
        <w:tc>
          <w:tcPr>
            <w:tcW w:w="2180" w:type="dxa"/>
            <w:vAlign w:val="bottom"/>
            <w:tcBorders>
              <w:bottom w:val="single" w:sz="8" w:color="7E7E7E"/>
            </w:tcBorders>
          </w:tcPr>
          <w:p>
            <w:pPr>
              <w:spacing w:after="0"/>
              <w:rPr>
                <w:sz w:val="5"/>
                <w:szCs w:val="5"/>
                <w:color w:val="auto"/>
              </w:rPr>
            </w:pPr>
          </w:p>
        </w:tc>
        <w:tc>
          <w:tcPr>
            <w:tcW w:w="1400" w:type="dxa"/>
            <w:vAlign w:val="bottom"/>
            <w:tcBorders>
              <w:bottom w:val="single" w:sz="8" w:color="7E7E7E"/>
            </w:tcBorders>
          </w:tcPr>
          <w:p>
            <w:pPr>
              <w:spacing w:after="0"/>
              <w:rPr>
                <w:sz w:val="5"/>
                <w:szCs w:val="5"/>
                <w:color w:val="auto"/>
              </w:rPr>
            </w:pPr>
          </w:p>
        </w:tc>
        <w:tc>
          <w:tcPr>
            <w:tcW w:w="3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Angelika Anywhere Pty Ltd ACN 642 993 593</w:t>
            </w: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In its own capacity.</w:t>
            </w:r>
          </w:p>
        </w:tc>
        <w:tc>
          <w:tcPr>
            <w:tcW w:w="4840" w:type="dxa"/>
            <w:vAlign w:val="bottom"/>
            <w:gridSpan w:val="3"/>
            <w:vMerge w:val="restart"/>
          </w:tcPr>
          <w:p>
            <w:pPr>
              <w:ind w:left="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5"/>
        </w:trPr>
        <w:tc>
          <w:tcPr>
            <w:tcW w:w="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4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1940" w:type="dxa"/>
            <w:vAlign w:val="bottom"/>
            <w:tcBorders>
              <w:bottom w:val="single" w:sz="8" w:color="7E7E7E"/>
            </w:tcBorders>
          </w:tcPr>
          <w:p>
            <w:pPr>
              <w:spacing w:after="0"/>
              <w:rPr>
                <w:sz w:val="11"/>
                <w:szCs w:val="11"/>
                <w:color w:val="auto"/>
              </w:rPr>
            </w:pPr>
          </w:p>
        </w:tc>
        <w:tc>
          <w:tcPr>
            <w:tcW w:w="2180" w:type="dxa"/>
            <w:vAlign w:val="bottom"/>
            <w:tcBorders>
              <w:bottom w:val="single" w:sz="8" w:color="7E7E7E"/>
            </w:tcBorders>
          </w:tcPr>
          <w:p>
            <w:pPr>
              <w:spacing w:after="0"/>
              <w:rPr>
                <w:sz w:val="11"/>
                <w:szCs w:val="11"/>
                <w:color w:val="auto"/>
              </w:rPr>
            </w:pPr>
          </w:p>
        </w:tc>
        <w:tc>
          <w:tcPr>
            <w:tcW w:w="1400" w:type="dxa"/>
            <w:vAlign w:val="bottom"/>
            <w:tcBorders>
              <w:bottom w:val="single" w:sz="8" w:color="7E7E7E"/>
            </w:tcBorders>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Reading Jindalee Pty Ltd ACN 629 483 914</w:t>
            </w: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In its own capacity.</w:t>
            </w:r>
          </w:p>
        </w:tc>
        <w:tc>
          <w:tcPr>
            <w:tcW w:w="4840" w:type="dxa"/>
            <w:vAlign w:val="bottom"/>
            <w:gridSpan w:val="3"/>
            <w:vMerge w:val="restart"/>
          </w:tcPr>
          <w:p>
            <w:pPr>
              <w:ind w:left="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5"/>
        </w:trPr>
        <w:tc>
          <w:tcPr>
            <w:tcW w:w="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4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1940" w:type="dxa"/>
            <w:vAlign w:val="bottom"/>
            <w:tcBorders>
              <w:bottom w:val="single" w:sz="8" w:color="7E7E7E"/>
            </w:tcBorders>
          </w:tcPr>
          <w:p>
            <w:pPr>
              <w:spacing w:after="0"/>
              <w:rPr>
                <w:sz w:val="11"/>
                <w:szCs w:val="11"/>
                <w:color w:val="auto"/>
              </w:rPr>
            </w:pPr>
          </w:p>
        </w:tc>
        <w:tc>
          <w:tcPr>
            <w:tcW w:w="2180" w:type="dxa"/>
            <w:vAlign w:val="bottom"/>
            <w:tcBorders>
              <w:bottom w:val="single" w:sz="8" w:color="7E7E7E"/>
            </w:tcBorders>
          </w:tcPr>
          <w:p>
            <w:pPr>
              <w:spacing w:after="0"/>
              <w:rPr>
                <w:sz w:val="11"/>
                <w:szCs w:val="11"/>
                <w:color w:val="auto"/>
              </w:rPr>
            </w:pPr>
          </w:p>
        </w:tc>
        <w:tc>
          <w:tcPr>
            <w:tcW w:w="1400" w:type="dxa"/>
            <w:vAlign w:val="bottom"/>
            <w:tcBorders>
              <w:bottom w:val="single" w:sz="8" w:color="7E7E7E"/>
            </w:tcBorders>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Reading Devonport Pty Ltd ACN 629 484 126</w:t>
            </w: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In its own capacity.</w:t>
            </w:r>
          </w:p>
        </w:tc>
        <w:tc>
          <w:tcPr>
            <w:tcW w:w="4840" w:type="dxa"/>
            <w:vAlign w:val="bottom"/>
            <w:gridSpan w:val="3"/>
            <w:vMerge w:val="restart"/>
          </w:tcPr>
          <w:p>
            <w:pPr>
              <w:ind w:left="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5"/>
        </w:trPr>
        <w:tc>
          <w:tcPr>
            <w:tcW w:w="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4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1940" w:type="dxa"/>
            <w:vAlign w:val="bottom"/>
            <w:tcBorders>
              <w:bottom w:val="single" w:sz="8" w:color="7E7E7E"/>
            </w:tcBorders>
          </w:tcPr>
          <w:p>
            <w:pPr>
              <w:spacing w:after="0"/>
              <w:rPr>
                <w:sz w:val="11"/>
                <w:szCs w:val="11"/>
                <w:color w:val="auto"/>
              </w:rPr>
            </w:pPr>
          </w:p>
        </w:tc>
        <w:tc>
          <w:tcPr>
            <w:tcW w:w="2180" w:type="dxa"/>
            <w:vAlign w:val="bottom"/>
            <w:tcBorders>
              <w:bottom w:val="single" w:sz="8" w:color="7E7E7E"/>
            </w:tcBorders>
          </w:tcPr>
          <w:p>
            <w:pPr>
              <w:spacing w:after="0"/>
              <w:rPr>
                <w:sz w:val="11"/>
                <w:szCs w:val="11"/>
                <w:color w:val="auto"/>
              </w:rPr>
            </w:pPr>
          </w:p>
        </w:tc>
        <w:tc>
          <w:tcPr>
            <w:tcW w:w="1400" w:type="dxa"/>
            <w:vAlign w:val="bottom"/>
            <w:tcBorders>
              <w:bottom w:val="single" w:sz="8" w:color="7E7E7E"/>
            </w:tcBorders>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Reading Altona Pty Ltd ACN 634 384 311</w:t>
            </w:r>
          </w:p>
        </w:tc>
        <w:tc>
          <w:tcPr>
            <w:tcW w:w="2180" w:type="dxa"/>
            <w:vAlign w:val="bottom"/>
            <w:vMerge w:val="restart"/>
          </w:tcPr>
          <w:p>
            <w:pPr>
              <w:ind w:left="80"/>
              <w:spacing w:after="0"/>
              <w:rPr>
                <w:sz w:val="20"/>
                <w:szCs w:val="20"/>
                <w:color w:val="auto"/>
              </w:rPr>
            </w:pPr>
            <w:r>
              <w:rPr>
                <w:rFonts w:ascii="Arial" w:cs="Arial" w:eastAsia="Arial" w:hAnsi="Arial"/>
                <w:sz w:val="9"/>
                <w:szCs w:val="9"/>
                <w:color w:val="auto"/>
              </w:rPr>
              <w:t>In its own capacity.</w:t>
            </w:r>
          </w:p>
        </w:tc>
        <w:tc>
          <w:tcPr>
            <w:tcW w:w="4840" w:type="dxa"/>
            <w:vAlign w:val="bottom"/>
            <w:gridSpan w:val="3"/>
            <w:vMerge w:val="restart"/>
          </w:tcPr>
          <w:p>
            <w:pPr>
              <w:ind w:left="4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5"/>
        </w:trPr>
        <w:tc>
          <w:tcPr>
            <w:tcW w:w="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4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1940" w:type="dxa"/>
            <w:vAlign w:val="bottom"/>
            <w:tcBorders>
              <w:bottom w:val="single" w:sz="8" w:color="7E7E7E"/>
            </w:tcBorders>
          </w:tcPr>
          <w:p>
            <w:pPr>
              <w:spacing w:after="0"/>
              <w:rPr>
                <w:sz w:val="11"/>
                <w:szCs w:val="11"/>
                <w:color w:val="auto"/>
              </w:rPr>
            </w:pPr>
          </w:p>
        </w:tc>
        <w:tc>
          <w:tcPr>
            <w:tcW w:w="2180" w:type="dxa"/>
            <w:vAlign w:val="bottom"/>
            <w:tcBorders>
              <w:bottom w:val="single" w:sz="8" w:color="7E7E7E"/>
            </w:tcBorders>
          </w:tcPr>
          <w:p>
            <w:pPr>
              <w:spacing w:after="0"/>
              <w:rPr>
                <w:sz w:val="11"/>
                <w:szCs w:val="11"/>
                <w:color w:val="auto"/>
              </w:rPr>
            </w:pPr>
          </w:p>
        </w:tc>
        <w:tc>
          <w:tcPr>
            <w:tcW w:w="1400" w:type="dxa"/>
            <w:vAlign w:val="bottom"/>
            <w:tcBorders>
              <w:bottom w:val="single" w:sz="8" w:color="7E7E7E"/>
            </w:tcBorders>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180" w:type="dxa"/>
            <w:vAlign w:val="bottom"/>
            <w:tcBorders>
              <w:bottom w:val="single" w:sz="8" w:color="auto"/>
            </w:tcBorders>
            <w:gridSpan w:val="2"/>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180" w:type="dxa"/>
            <w:vAlign w:val="bottom"/>
            <w:gridSpan w:val="2"/>
          </w:tcPr>
          <w:p>
            <w:pPr>
              <w:spacing w:after="0"/>
              <w:rPr>
                <w:sz w:val="20"/>
                <w:szCs w:val="20"/>
                <w:color w:val="auto"/>
              </w:rPr>
            </w:pPr>
            <w:r>
              <w:rPr>
                <w:rFonts w:ascii="Arial" w:cs="Arial" w:eastAsia="Arial" w:hAnsi="Arial"/>
                <w:sz w:val="8"/>
                <w:szCs w:val="8"/>
                <w:color w:val="auto"/>
              </w:rPr>
              <w:t>3449-8791-0181v3</w:t>
            </w:r>
          </w:p>
        </w:tc>
        <w:tc>
          <w:tcPr>
            <w:tcW w:w="2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40" w:type="dxa"/>
            <w:vAlign w:val="bottom"/>
            <w:gridSpan w:val="2"/>
          </w:tcPr>
          <w:p>
            <w:pPr>
              <w:ind w:left="3080"/>
              <w:spacing w:after="0"/>
              <w:rPr>
                <w:sz w:val="20"/>
                <w:szCs w:val="20"/>
                <w:color w:val="auto"/>
              </w:rPr>
            </w:pPr>
            <w:r>
              <w:rPr>
                <w:rFonts w:ascii="Arial" w:cs="Arial" w:eastAsia="Arial" w:hAnsi="Arial"/>
                <w:sz w:val="11"/>
                <w:szCs w:val="11"/>
                <w:color w:val="auto"/>
              </w:rPr>
              <w:t>page 8</w:t>
            </w:r>
          </w:p>
        </w:tc>
        <w:tc>
          <w:tcPr>
            <w:tcW w:w="0" w:type="dxa"/>
            <w:vAlign w:val="bottom"/>
          </w:tcPr>
          <w:p>
            <w:pPr>
              <w:spacing w:after="0"/>
              <w:rPr>
                <w:sz w:val="1"/>
                <w:szCs w:val="1"/>
                <w:color w:val="auto"/>
              </w:rPr>
            </w:pPr>
          </w:p>
        </w:tc>
      </w:tr>
      <w:tr>
        <w:trPr>
          <w:trHeight w:val="105"/>
        </w:trPr>
        <w:tc>
          <w:tcPr>
            <w:tcW w:w="2180" w:type="dxa"/>
            <w:vAlign w:val="bottom"/>
            <w:gridSpan w:val="2"/>
          </w:tcPr>
          <w:p>
            <w:pPr>
              <w:spacing w:after="0"/>
              <w:rPr>
                <w:sz w:val="20"/>
                <w:szCs w:val="20"/>
                <w:color w:val="auto"/>
              </w:rPr>
            </w:pPr>
            <w:r>
              <w:rPr>
                <w:rFonts w:ascii="Arial" w:cs="Arial" w:eastAsia="Arial" w:hAnsi="Arial"/>
                <w:sz w:val="8"/>
                <w:szCs w:val="8"/>
                <w:color w:val="auto"/>
              </w:rPr>
              <w:t>Amendment Deed</w:t>
            </w:r>
          </w:p>
        </w:tc>
        <w:tc>
          <w:tcPr>
            <w:tcW w:w="2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40" w:type="dxa"/>
            <w:vAlign w:val="bottom"/>
            <w:tcBorders>
              <w:bottom w:val="single" w:sz="8" w:color="EEEEEE"/>
            </w:tcBorders>
          </w:tcPr>
          <w:p>
            <w:pPr>
              <w:spacing w:after="0"/>
              <w:rPr>
                <w:sz w:val="17"/>
                <w:szCs w:val="17"/>
                <w:color w:val="auto"/>
              </w:rPr>
            </w:pPr>
          </w:p>
        </w:tc>
        <w:tc>
          <w:tcPr>
            <w:tcW w:w="1940" w:type="dxa"/>
            <w:vAlign w:val="bottom"/>
            <w:tcBorders>
              <w:bottom w:val="single" w:sz="8" w:color="EEEEEE"/>
            </w:tcBorders>
          </w:tcPr>
          <w:p>
            <w:pPr>
              <w:spacing w:after="0"/>
              <w:rPr>
                <w:sz w:val="17"/>
                <w:szCs w:val="17"/>
                <w:color w:val="auto"/>
              </w:rPr>
            </w:pPr>
          </w:p>
        </w:tc>
        <w:tc>
          <w:tcPr>
            <w:tcW w:w="2180" w:type="dxa"/>
            <w:vAlign w:val="bottom"/>
            <w:tcBorders>
              <w:bottom w:val="single" w:sz="8" w:color="EEEEEE"/>
            </w:tcBorders>
          </w:tcPr>
          <w:p>
            <w:pPr>
              <w:spacing w:after="0"/>
              <w:rPr>
                <w:sz w:val="17"/>
                <w:szCs w:val="17"/>
                <w:color w:val="auto"/>
              </w:rPr>
            </w:pPr>
          </w:p>
        </w:tc>
        <w:tc>
          <w:tcPr>
            <w:tcW w:w="1400" w:type="dxa"/>
            <w:vAlign w:val="bottom"/>
            <w:tcBorders>
              <w:bottom w:val="single" w:sz="8" w:color="EEEEEE"/>
            </w:tcBorders>
          </w:tcPr>
          <w:p>
            <w:pPr>
              <w:spacing w:after="0"/>
              <w:rPr>
                <w:sz w:val="17"/>
                <w:szCs w:val="17"/>
                <w:color w:val="auto"/>
              </w:rPr>
            </w:pPr>
          </w:p>
        </w:tc>
        <w:tc>
          <w:tcPr>
            <w:tcW w:w="34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wp:posOffset>
            </wp:positionV>
            <wp:extent cx="587375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73750" cy="40005"/>
                    </a:xfrm>
                    <a:prstGeom prst="rect">
                      <a:avLst/>
                    </a:prstGeom>
                    <a:noFill/>
                  </pic:spPr>
                </pic:pic>
              </a:graphicData>
            </a:graphic>
          </wp:anchor>
        </w:drawing>
      </w:r>
    </w:p>
    <w:p>
      <w:pPr>
        <w:sectPr>
          <w:pgSz w:w="11900" w:h="16840" w:orient="portrait"/>
          <w:cols w:equalWidth="0" w:num="1">
            <w:col w:w="9240"/>
          </w:cols>
          <w:pgMar w:left="1440" w:top="565" w:right="1220" w:bottom="1440" w:gutter="0" w:footer="0" w:header="0"/>
        </w:sectPr>
      </w:pPr>
    </w:p>
    <w:bookmarkStart w:id="59" w:name="page60"/>
    <w:bookmarkEnd w:id="59"/>
    <w:p>
      <w:pPr>
        <w:ind w:left="40"/>
        <w:spacing w:after="0"/>
        <w:rPr>
          <w:sz w:val="20"/>
          <w:szCs w:val="20"/>
          <w:color w:val="auto"/>
        </w:rPr>
      </w:pPr>
      <w:r>
        <w:rPr>
          <w:rFonts w:ascii="Arial" w:cs="Arial" w:eastAsia="Arial" w:hAnsi="Arial"/>
          <w:sz w:val="10"/>
          <w:szCs w:val="10"/>
          <w:color w:val="auto"/>
        </w:rPr>
        <w:t>Corrs Chambers Westgarth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358140</wp:posOffset>
            </wp:positionV>
            <wp:extent cx="2676525" cy="176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76525" cy="17653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FFFFFF"/>
        </w:rPr>
        <w:t>Guarantors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240" w:type="dxa"/>
            <w:vAlign w:val="bottom"/>
          </w:tcPr>
          <w:p>
            <w:pPr>
              <w:spacing w:after="0"/>
              <w:rPr>
                <w:sz w:val="22"/>
                <w:szCs w:val="22"/>
                <w:color w:val="auto"/>
              </w:rPr>
            </w:pPr>
          </w:p>
        </w:tc>
        <w:tc>
          <w:tcPr>
            <w:tcW w:w="1480" w:type="dxa"/>
            <w:vAlign w:val="bottom"/>
            <w:tcBorders>
              <w:bottom w:val="single" w:sz="8" w:color="9B9B9B"/>
            </w:tcBorders>
            <w:shd w:val="clear" w:color="auto" w:fill="9B9B9B"/>
          </w:tcPr>
          <w:p>
            <w:pPr>
              <w:ind w:left="40"/>
              <w:spacing w:after="0"/>
              <w:rPr>
                <w:sz w:val="20"/>
                <w:szCs w:val="20"/>
                <w:color w:val="auto"/>
              </w:rPr>
            </w:pPr>
            <w:r>
              <w:rPr>
                <w:rFonts w:ascii="Arial" w:cs="Arial" w:eastAsia="Arial" w:hAnsi="Arial"/>
                <w:sz w:val="11"/>
                <w:szCs w:val="11"/>
                <w:b w:val="1"/>
                <w:bCs w:val="1"/>
                <w:color w:val="FFFFFF"/>
              </w:rPr>
              <w:t>Name</w:t>
            </w:r>
          </w:p>
        </w:tc>
        <w:tc>
          <w:tcPr>
            <w:tcW w:w="1140" w:type="dxa"/>
            <w:vAlign w:val="bottom"/>
            <w:tcBorders>
              <w:bottom w:val="single" w:sz="8" w:color="9B9B9B"/>
            </w:tcBorders>
            <w:shd w:val="clear" w:color="auto" w:fill="9B9B9B"/>
          </w:tcPr>
          <w:p>
            <w:pPr>
              <w:ind w:left="160"/>
              <w:spacing w:after="0"/>
              <w:rPr>
                <w:sz w:val="20"/>
                <w:szCs w:val="20"/>
                <w:color w:val="auto"/>
              </w:rPr>
            </w:pPr>
            <w:r>
              <w:rPr>
                <w:rFonts w:ascii="Arial" w:cs="Arial" w:eastAsia="Arial" w:hAnsi="Arial"/>
                <w:sz w:val="11"/>
                <w:szCs w:val="11"/>
                <w:b w:val="1"/>
                <w:bCs w:val="1"/>
                <w:color w:val="FFFFFF"/>
              </w:rPr>
              <w:t>Capacity</w:t>
            </w:r>
          </w:p>
        </w:tc>
        <w:tc>
          <w:tcPr>
            <w:tcW w:w="1580" w:type="dxa"/>
            <w:vAlign w:val="bottom"/>
            <w:tcBorders>
              <w:bottom w:val="single" w:sz="8" w:color="9B9B9B"/>
            </w:tcBorders>
            <w:shd w:val="clear" w:color="auto" w:fill="9B9B9B"/>
          </w:tcPr>
          <w:p>
            <w:pPr>
              <w:ind w:left="220"/>
              <w:spacing w:after="0"/>
              <w:rPr>
                <w:sz w:val="20"/>
                <w:szCs w:val="20"/>
                <w:color w:val="auto"/>
              </w:rPr>
            </w:pPr>
            <w:r>
              <w:rPr>
                <w:rFonts w:ascii="Arial" w:cs="Arial" w:eastAsia="Arial" w:hAnsi="Arial"/>
                <w:sz w:val="11"/>
                <w:szCs w:val="11"/>
                <w:b w:val="1"/>
                <w:bCs w:val="1"/>
                <w:color w:val="FFFFFF"/>
              </w:rPr>
              <w:t>Address</w:t>
            </w:r>
          </w:p>
        </w:tc>
        <w:tc>
          <w:tcPr>
            <w:tcW w:w="4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480" w:type="dxa"/>
            <w:vAlign w:val="bottom"/>
            <w:tcBorders>
              <w:top w:val="single" w:sz="8" w:color="7E7E7E"/>
            </w:tcBorders>
          </w:tcPr>
          <w:p>
            <w:pPr>
              <w:ind w:left="40"/>
              <w:spacing w:after="0"/>
              <w:rPr>
                <w:sz w:val="20"/>
                <w:szCs w:val="20"/>
                <w:color w:val="auto"/>
              </w:rPr>
            </w:pPr>
            <w:r>
              <w:rPr>
                <w:rFonts w:ascii="Arial" w:cs="Arial" w:eastAsia="Arial" w:hAnsi="Arial"/>
                <w:sz w:val="9"/>
                <w:szCs w:val="9"/>
                <w:color w:val="auto"/>
              </w:rPr>
              <w:t>Reading South</w:t>
            </w:r>
          </w:p>
        </w:tc>
        <w:tc>
          <w:tcPr>
            <w:tcW w:w="1140" w:type="dxa"/>
            <w:vAlign w:val="bottom"/>
            <w:tcBorders>
              <w:top w:val="single" w:sz="8" w:color="7E7E7E"/>
            </w:tcBorders>
            <w:vMerge w:val="restart"/>
          </w:tcPr>
          <w:p>
            <w:pPr>
              <w:ind w:left="160"/>
              <w:spacing w:after="0"/>
              <w:rPr>
                <w:sz w:val="20"/>
                <w:szCs w:val="20"/>
                <w:color w:val="auto"/>
              </w:rPr>
            </w:pPr>
            <w:r>
              <w:rPr>
                <w:rFonts w:ascii="Arial" w:cs="Arial" w:eastAsia="Arial" w:hAnsi="Arial"/>
                <w:sz w:val="9"/>
                <w:szCs w:val="9"/>
                <w:color w:val="auto"/>
              </w:rPr>
              <w:t>In its own capacity.</w:t>
            </w:r>
          </w:p>
        </w:tc>
        <w:tc>
          <w:tcPr>
            <w:tcW w:w="1580" w:type="dxa"/>
            <w:vAlign w:val="bottom"/>
            <w:tcBorders>
              <w:top w:val="single" w:sz="8" w:color="7E7E7E"/>
            </w:tcBorders>
            <w:vMerge w:val="restart"/>
          </w:tcPr>
          <w:p>
            <w:pPr>
              <w:ind w:left="220"/>
              <w:spacing w:after="0"/>
              <w:rPr>
                <w:sz w:val="20"/>
                <w:szCs w:val="20"/>
                <w:color w:val="auto"/>
              </w:rPr>
            </w:pPr>
            <w:r>
              <w:rPr>
                <w:rFonts w:ascii="Arial" w:cs="Arial" w:eastAsia="Arial" w:hAnsi="Arial"/>
                <w:sz w:val="9"/>
                <w:szCs w:val="9"/>
                <w:color w:val="auto"/>
              </w:rPr>
              <w:t>Same as for Borrower.</w:t>
            </w:r>
          </w:p>
        </w:tc>
        <w:tc>
          <w:tcPr>
            <w:tcW w:w="476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240" w:type="dxa"/>
            <w:vAlign w:val="bottom"/>
          </w:tcPr>
          <w:p>
            <w:pPr>
              <w:spacing w:after="0"/>
              <w:rPr>
                <w:sz w:val="3"/>
                <w:szCs w:val="3"/>
                <w:color w:val="auto"/>
              </w:rPr>
            </w:pPr>
          </w:p>
        </w:tc>
        <w:tc>
          <w:tcPr>
            <w:tcW w:w="1480" w:type="dxa"/>
            <w:vAlign w:val="bottom"/>
            <w:vMerge w:val="restart"/>
          </w:tcPr>
          <w:p>
            <w:pPr>
              <w:ind w:left="40"/>
              <w:spacing w:after="0"/>
              <w:rPr>
                <w:sz w:val="20"/>
                <w:szCs w:val="20"/>
                <w:color w:val="auto"/>
              </w:rPr>
            </w:pPr>
            <w:r>
              <w:rPr>
                <w:rFonts w:ascii="Arial" w:cs="Arial" w:eastAsia="Arial" w:hAnsi="Arial"/>
                <w:sz w:val="9"/>
                <w:szCs w:val="9"/>
                <w:color w:val="auto"/>
              </w:rPr>
              <w:t>City Square Pty Ltd ACN 616</w:t>
            </w:r>
          </w:p>
        </w:tc>
        <w:tc>
          <w:tcPr>
            <w:tcW w:w="114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47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40" w:type="dxa"/>
            <w:vAlign w:val="bottom"/>
          </w:tcPr>
          <w:p>
            <w:pPr>
              <w:spacing w:after="0"/>
              <w:rPr>
                <w:sz w:val="10"/>
                <w:szCs w:val="10"/>
                <w:color w:val="auto"/>
              </w:rPr>
            </w:pPr>
          </w:p>
        </w:tc>
        <w:tc>
          <w:tcPr>
            <w:tcW w:w="1480" w:type="dxa"/>
            <w:vAlign w:val="bottom"/>
            <w:tcBorders>
              <w:bottom w:val="single" w:sz="8" w:color="7E7E7E"/>
            </w:tcBorders>
          </w:tcPr>
          <w:p>
            <w:pPr>
              <w:ind w:left="40"/>
              <w:spacing w:after="0"/>
              <w:rPr>
                <w:sz w:val="20"/>
                <w:szCs w:val="20"/>
                <w:color w:val="auto"/>
              </w:rPr>
            </w:pPr>
            <w:r>
              <w:rPr>
                <w:rFonts w:ascii="Arial" w:cs="Arial" w:eastAsia="Arial" w:hAnsi="Arial"/>
                <w:sz w:val="9"/>
                <w:szCs w:val="9"/>
                <w:color w:val="auto"/>
              </w:rPr>
              <w:t>892 936</w:t>
            </w:r>
          </w:p>
        </w:tc>
        <w:tc>
          <w:tcPr>
            <w:tcW w:w="1140" w:type="dxa"/>
            <w:vAlign w:val="bottom"/>
            <w:tcBorders>
              <w:bottom w:val="single" w:sz="8" w:color="7E7E7E"/>
            </w:tcBorders>
          </w:tcPr>
          <w:p>
            <w:pPr>
              <w:spacing w:after="0"/>
              <w:rPr>
                <w:sz w:val="10"/>
                <w:szCs w:val="10"/>
                <w:color w:val="auto"/>
              </w:rPr>
            </w:pPr>
          </w:p>
        </w:tc>
        <w:tc>
          <w:tcPr>
            <w:tcW w:w="1580" w:type="dxa"/>
            <w:vAlign w:val="bottom"/>
            <w:tcBorders>
              <w:bottom w:val="single" w:sz="8" w:color="7E7E7E"/>
            </w:tcBorders>
          </w:tcPr>
          <w:p>
            <w:pPr>
              <w:spacing w:after="0"/>
              <w:rPr>
                <w:sz w:val="10"/>
                <w:szCs w:val="10"/>
                <w:color w:val="auto"/>
              </w:rPr>
            </w:pPr>
          </w:p>
        </w:tc>
        <w:tc>
          <w:tcPr>
            <w:tcW w:w="4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1480" w:type="dxa"/>
            <w:vAlign w:val="bottom"/>
          </w:tcPr>
          <w:p>
            <w:pPr>
              <w:ind w:left="40"/>
              <w:spacing w:after="0"/>
              <w:rPr>
                <w:sz w:val="20"/>
                <w:szCs w:val="20"/>
                <w:color w:val="auto"/>
              </w:rPr>
            </w:pPr>
            <w:r>
              <w:rPr>
                <w:rFonts w:ascii="Arial" w:cs="Arial" w:eastAsia="Arial" w:hAnsi="Arial"/>
                <w:sz w:val="9"/>
                <w:szCs w:val="9"/>
                <w:color w:val="auto"/>
              </w:rPr>
              <w:t>Reading Traralgon Pty Ltd ACN</w:t>
            </w:r>
          </w:p>
        </w:tc>
        <w:tc>
          <w:tcPr>
            <w:tcW w:w="1140" w:type="dxa"/>
            <w:vAlign w:val="bottom"/>
            <w:vMerge w:val="restart"/>
          </w:tcPr>
          <w:p>
            <w:pPr>
              <w:ind w:left="160"/>
              <w:spacing w:after="0"/>
              <w:rPr>
                <w:sz w:val="20"/>
                <w:szCs w:val="20"/>
                <w:color w:val="auto"/>
              </w:rPr>
            </w:pPr>
            <w:r>
              <w:rPr>
                <w:rFonts w:ascii="Arial" w:cs="Arial" w:eastAsia="Arial" w:hAnsi="Arial"/>
                <w:sz w:val="9"/>
                <w:szCs w:val="9"/>
                <w:color w:val="auto"/>
              </w:rPr>
              <w:t>In its own capacity.</w:t>
            </w:r>
          </w:p>
        </w:tc>
        <w:tc>
          <w:tcPr>
            <w:tcW w:w="6340" w:type="dxa"/>
            <w:vAlign w:val="bottom"/>
            <w:gridSpan w:val="3"/>
            <w:vMerge w:val="restart"/>
          </w:tcPr>
          <w:p>
            <w:pPr>
              <w:ind w:left="22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1720" w:type="dxa"/>
            <w:vAlign w:val="bottom"/>
            <w:gridSpan w:val="2"/>
            <w:vMerge w:val="restart"/>
          </w:tcPr>
          <w:p>
            <w:pPr>
              <w:jc w:val="right"/>
              <w:ind w:right="874"/>
              <w:spacing w:after="0"/>
              <w:rPr>
                <w:sz w:val="20"/>
                <w:szCs w:val="20"/>
                <w:color w:val="auto"/>
              </w:rPr>
            </w:pPr>
            <w:r>
              <w:rPr>
                <w:rFonts w:ascii="Arial" w:cs="Arial" w:eastAsia="Arial" w:hAnsi="Arial"/>
                <w:sz w:val="9"/>
                <w:szCs w:val="9"/>
                <w:color w:val="auto"/>
              </w:rPr>
              <w:t>618 457 202</w:t>
            </w:r>
          </w:p>
        </w:tc>
        <w:tc>
          <w:tcPr>
            <w:tcW w:w="1140" w:type="dxa"/>
            <w:vAlign w:val="bottom"/>
            <w:vMerge w:val="continue"/>
          </w:tcPr>
          <w:p>
            <w:pPr>
              <w:spacing w:after="0"/>
              <w:rPr>
                <w:sz w:val="3"/>
                <w:szCs w:val="3"/>
                <w:color w:val="auto"/>
              </w:rPr>
            </w:pPr>
          </w:p>
        </w:tc>
        <w:tc>
          <w:tcPr>
            <w:tcW w:w="6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480" w:type="dxa"/>
            <w:vAlign w:val="bottom"/>
            <w:tcBorders>
              <w:bottom w:val="single" w:sz="8" w:color="7E7E7E"/>
            </w:tcBorders>
          </w:tcPr>
          <w:p>
            <w:pPr>
              <w:spacing w:after="0"/>
              <w:rPr>
                <w:sz w:val="5"/>
                <w:szCs w:val="5"/>
                <w:color w:val="auto"/>
              </w:rPr>
            </w:pPr>
          </w:p>
        </w:tc>
        <w:tc>
          <w:tcPr>
            <w:tcW w:w="114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480" w:type="dxa"/>
            <w:vAlign w:val="bottom"/>
          </w:tcPr>
          <w:p>
            <w:pPr>
              <w:ind w:left="40"/>
              <w:spacing w:after="0"/>
              <w:rPr>
                <w:sz w:val="20"/>
                <w:szCs w:val="20"/>
                <w:color w:val="auto"/>
              </w:rPr>
            </w:pPr>
            <w:r>
              <w:rPr>
                <w:rFonts w:ascii="Arial" w:cs="Arial" w:eastAsia="Arial" w:hAnsi="Arial"/>
                <w:sz w:val="9"/>
                <w:szCs w:val="9"/>
                <w:color w:val="auto"/>
              </w:rPr>
              <w:t>Reading Burwood Pty Ltd ACN</w:t>
            </w:r>
          </w:p>
        </w:tc>
        <w:tc>
          <w:tcPr>
            <w:tcW w:w="1140" w:type="dxa"/>
            <w:vAlign w:val="bottom"/>
            <w:vMerge w:val="restart"/>
          </w:tcPr>
          <w:p>
            <w:pPr>
              <w:ind w:left="160"/>
              <w:spacing w:after="0"/>
              <w:rPr>
                <w:sz w:val="20"/>
                <w:szCs w:val="20"/>
                <w:color w:val="auto"/>
              </w:rPr>
            </w:pPr>
            <w:r>
              <w:rPr>
                <w:rFonts w:ascii="Arial" w:cs="Arial" w:eastAsia="Arial" w:hAnsi="Arial"/>
                <w:sz w:val="9"/>
                <w:szCs w:val="9"/>
                <w:color w:val="auto"/>
              </w:rPr>
              <w:t>In its own capacity.</w:t>
            </w:r>
          </w:p>
        </w:tc>
        <w:tc>
          <w:tcPr>
            <w:tcW w:w="6340" w:type="dxa"/>
            <w:vAlign w:val="bottom"/>
            <w:gridSpan w:val="3"/>
            <w:vMerge w:val="restart"/>
          </w:tcPr>
          <w:p>
            <w:pPr>
              <w:ind w:left="22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1720" w:type="dxa"/>
            <w:vAlign w:val="bottom"/>
            <w:gridSpan w:val="2"/>
            <w:vMerge w:val="restart"/>
          </w:tcPr>
          <w:p>
            <w:pPr>
              <w:jc w:val="right"/>
              <w:ind w:right="874"/>
              <w:spacing w:after="0"/>
              <w:rPr>
                <w:sz w:val="20"/>
                <w:szCs w:val="20"/>
                <w:color w:val="auto"/>
              </w:rPr>
            </w:pPr>
            <w:r>
              <w:rPr>
                <w:rFonts w:ascii="Arial" w:cs="Arial" w:eastAsia="Arial" w:hAnsi="Arial"/>
                <w:sz w:val="9"/>
                <w:szCs w:val="9"/>
                <w:color w:val="auto"/>
              </w:rPr>
              <w:t>619 050 396</w:t>
            </w:r>
          </w:p>
        </w:tc>
        <w:tc>
          <w:tcPr>
            <w:tcW w:w="1140" w:type="dxa"/>
            <w:vAlign w:val="bottom"/>
            <w:vMerge w:val="continue"/>
          </w:tcPr>
          <w:p>
            <w:pPr>
              <w:spacing w:after="0"/>
              <w:rPr>
                <w:sz w:val="3"/>
                <w:szCs w:val="3"/>
                <w:color w:val="auto"/>
              </w:rPr>
            </w:pPr>
          </w:p>
        </w:tc>
        <w:tc>
          <w:tcPr>
            <w:tcW w:w="6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480" w:type="dxa"/>
            <w:vAlign w:val="bottom"/>
            <w:tcBorders>
              <w:bottom w:val="single" w:sz="8" w:color="7E7E7E"/>
            </w:tcBorders>
          </w:tcPr>
          <w:p>
            <w:pPr>
              <w:spacing w:after="0"/>
              <w:rPr>
                <w:sz w:val="5"/>
                <w:szCs w:val="5"/>
                <w:color w:val="auto"/>
              </w:rPr>
            </w:pPr>
          </w:p>
        </w:tc>
        <w:tc>
          <w:tcPr>
            <w:tcW w:w="114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480" w:type="dxa"/>
            <w:vAlign w:val="bottom"/>
          </w:tcPr>
          <w:p>
            <w:pPr>
              <w:ind w:left="40"/>
              <w:spacing w:after="0"/>
              <w:rPr>
                <w:sz w:val="20"/>
                <w:szCs w:val="20"/>
                <w:color w:val="auto"/>
              </w:rPr>
            </w:pPr>
            <w:r>
              <w:rPr>
                <w:rFonts w:ascii="Arial" w:cs="Arial" w:eastAsia="Arial" w:hAnsi="Arial"/>
                <w:sz w:val="9"/>
                <w:szCs w:val="9"/>
                <w:color w:val="auto"/>
              </w:rPr>
              <w:t>Reading Cinemas Auburn Pty</w:t>
            </w:r>
          </w:p>
        </w:tc>
        <w:tc>
          <w:tcPr>
            <w:tcW w:w="1140" w:type="dxa"/>
            <w:vAlign w:val="bottom"/>
            <w:vMerge w:val="restart"/>
          </w:tcPr>
          <w:p>
            <w:pPr>
              <w:ind w:left="160"/>
              <w:spacing w:after="0"/>
              <w:rPr>
                <w:sz w:val="20"/>
                <w:szCs w:val="20"/>
                <w:color w:val="auto"/>
              </w:rPr>
            </w:pPr>
            <w:r>
              <w:rPr>
                <w:rFonts w:ascii="Arial" w:cs="Arial" w:eastAsia="Arial" w:hAnsi="Arial"/>
                <w:sz w:val="9"/>
                <w:szCs w:val="9"/>
                <w:color w:val="auto"/>
              </w:rPr>
              <w:t>In its own capacity.</w:t>
            </w:r>
          </w:p>
        </w:tc>
        <w:tc>
          <w:tcPr>
            <w:tcW w:w="6340" w:type="dxa"/>
            <w:vAlign w:val="bottom"/>
            <w:gridSpan w:val="3"/>
            <w:vMerge w:val="restart"/>
          </w:tcPr>
          <w:p>
            <w:pPr>
              <w:ind w:left="22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40" w:type="dxa"/>
            <w:vAlign w:val="bottom"/>
          </w:tcPr>
          <w:p>
            <w:pPr>
              <w:spacing w:after="0"/>
              <w:rPr>
                <w:sz w:val="3"/>
                <w:szCs w:val="3"/>
                <w:color w:val="auto"/>
              </w:rPr>
            </w:pPr>
          </w:p>
        </w:tc>
        <w:tc>
          <w:tcPr>
            <w:tcW w:w="1480" w:type="dxa"/>
            <w:vAlign w:val="bottom"/>
            <w:vMerge w:val="restart"/>
          </w:tcPr>
          <w:p>
            <w:pPr>
              <w:ind w:left="40"/>
              <w:spacing w:after="0"/>
              <w:rPr>
                <w:sz w:val="20"/>
                <w:szCs w:val="20"/>
                <w:color w:val="auto"/>
              </w:rPr>
            </w:pPr>
            <w:r>
              <w:rPr>
                <w:rFonts w:ascii="Arial" w:cs="Arial" w:eastAsia="Arial" w:hAnsi="Arial"/>
                <w:sz w:val="9"/>
                <w:szCs w:val="9"/>
                <w:color w:val="auto"/>
              </w:rPr>
              <w:t>Ltd ACN 633 008 401</w:t>
            </w:r>
          </w:p>
        </w:tc>
        <w:tc>
          <w:tcPr>
            <w:tcW w:w="1140" w:type="dxa"/>
            <w:vAlign w:val="bottom"/>
            <w:vMerge w:val="continue"/>
          </w:tcPr>
          <w:p>
            <w:pPr>
              <w:spacing w:after="0"/>
              <w:rPr>
                <w:sz w:val="3"/>
                <w:szCs w:val="3"/>
                <w:color w:val="auto"/>
              </w:rPr>
            </w:pPr>
          </w:p>
        </w:tc>
        <w:tc>
          <w:tcPr>
            <w:tcW w:w="6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480" w:type="dxa"/>
            <w:vAlign w:val="bottom"/>
            <w:tcBorders>
              <w:bottom w:val="single" w:sz="8" w:color="7E7E7E"/>
            </w:tcBorders>
          </w:tcPr>
          <w:p>
            <w:pPr>
              <w:spacing w:after="0"/>
              <w:rPr>
                <w:sz w:val="5"/>
                <w:szCs w:val="5"/>
                <w:color w:val="auto"/>
              </w:rPr>
            </w:pPr>
          </w:p>
        </w:tc>
        <w:tc>
          <w:tcPr>
            <w:tcW w:w="114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480" w:type="dxa"/>
            <w:vAlign w:val="bottom"/>
          </w:tcPr>
          <w:p>
            <w:pPr>
              <w:ind w:left="40"/>
              <w:spacing w:after="0"/>
              <w:rPr>
                <w:sz w:val="20"/>
                <w:szCs w:val="20"/>
                <w:color w:val="auto"/>
              </w:rPr>
            </w:pPr>
            <w:r>
              <w:rPr>
                <w:rFonts w:ascii="Arial" w:cs="Arial" w:eastAsia="Arial" w:hAnsi="Arial"/>
                <w:sz w:val="9"/>
                <w:szCs w:val="9"/>
                <w:color w:val="auto"/>
              </w:rPr>
              <w:t>Reading Auburn Pty Ltd</w:t>
            </w:r>
          </w:p>
        </w:tc>
        <w:tc>
          <w:tcPr>
            <w:tcW w:w="1140" w:type="dxa"/>
            <w:vAlign w:val="bottom"/>
            <w:vMerge w:val="restart"/>
          </w:tcPr>
          <w:p>
            <w:pPr>
              <w:ind w:left="160"/>
              <w:spacing w:after="0"/>
              <w:rPr>
                <w:sz w:val="20"/>
                <w:szCs w:val="20"/>
                <w:color w:val="auto"/>
              </w:rPr>
            </w:pPr>
            <w:r>
              <w:rPr>
                <w:rFonts w:ascii="Arial" w:cs="Arial" w:eastAsia="Arial" w:hAnsi="Arial"/>
                <w:sz w:val="9"/>
                <w:szCs w:val="9"/>
                <w:color w:val="auto"/>
              </w:rPr>
              <w:t>In its own capacity.</w:t>
            </w:r>
          </w:p>
        </w:tc>
        <w:tc>
          <w:tcPr>
            <w:tcW w:w="6340" w:type="dxa"/>
            <w:vAlign w:val="bottom"/>
            <w:gridSpan w:val="3"/>
            <w:vMerge w:val="restart"/>
          </w:tcPr>
          <w:p>
            <w:pPr>
              <w:ind w:left="220"/>
              <w:spacing w:after="0"/>
              <w:rPr>
                <w:sz w:val="20"/>
                <w:szCs w:val="20"/>
                <w:color w:val="auto"/>
              </w:rPr>
            </w:pPr>
            <w:r>
              <w:rPr>
                <w:rFonts w:ascii="Arial" w:cs="Arial" w:eastAsia="Arial" w:hAnsi="Arial"/>
                <w:sz w:val="9"/>
                <w:szCs w:val="9"/>
                <w:color w:val="auto"/>
              </w:rPr>
              <w:t>Same as for Borrower.</w:t>
            </w:r>
          </w:p>
        </w:tc>
        <w:tc>
          <w:tcPr>
            <w:tcW w:w="0" w:type="dxa"/>
            <w:vAlign w:val="bottom"/>
          </w:tcPr>
          <w:p>
            <w:pPr>
              <w:spacing w:after="0"/>
              <w:rPr>
                <w:sz w:val="1"/>
                <w:szCs w:val="1"/>
                <w:color w:val="auto"/>
              </w:rPr>
            </w:pPr>
          </w:p>
        </w:tc>
      </w:tr>
      <w:tr>
        <w:trPr>
          <w:trHeight w:val="46"/>
        </w:trPr>
        <w:tc>
          <w:tcPr>
            <w:tcW w:w="240" w:type="dxa"/>
            <w:vAlign w:val="bottom"/>
          </w:tcPr>
          <w:p>
            <w:pPr>
              <w:spacing w:after="0"/>
              <w:rPr>
                <w:sz w:val="3"/>
                <w:szCs w:val="3"/>
                <w:color w:val="auto"/>
              </w:rPr>
            </w:pPr>
          </w:p>
        </w:tc>
        <w:tc>
          <w:tcPr>
            <w:tcW w:w="1480" w:type="dxa"/>
            <w:vAlign w:val="bottom"/>
            <w:vMerge w:val="restart"/>
          </w:tcPr>
          <w:p>
            <w:pPr>
              <w:ind w:left="40"/>
              <w:spacing w:after="0"/>
              <w:rPr>
                <w:sz w:val="20"/>
                <w:szCs w:val="20"/>
                <w:color w:val="auto"/>
              </w:rPr>
            </w:pPr>
            <w:r>
              <w:rPr>
                <w:rFonts w:ascii="Arial" w:cs="Arial" w:eastAsia="Arial" w:hAnsi="Arial"/>
                <w:sz w:val="9"/>
                <w:szCs w:val="9"/>
                <w:color w:val="auto"/>
              </w:rPr>
              <w:t>ACN 126 697 470</w:t>
            </w:r>
          </w:p>
        </w:tc>
        <w:tc>
          <w:tcPr>
            <w:tcW w:w="1140" w:type="dxa"/>
            <w:vAlign w:val="bottom"/>
            <w:vMerge w:val="continue"/>
          </w:tcPr>
          <w:p>
            <w:pPr>
              <w:spacing w:after="0"/>
              <w:rPr>
                <w:sz w:val="3"/>
                <w:szCs w:val="3"/>
                <w:color w:val="auto"/>
              </w:rPr>
            </w:pPr>
          </w:p>
        </w:tc>
        <w:tc>
          <w:tcPr>
            <w:tcW w:w="6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1480" w:type="dxa"/>
            <w:vAlign w:val="bottom"/>
            <w:tcBorders>
              <w:bottom w:val="single" w:sz="8" w:color="7E7E7E"/>
            </w:tcBorders>
          </w:tcPr>
          <w:p>
            <w:pPr>
              <w:spacing w:after="0"/>
              <w:rPr>
                <w:sz w:val="5"/>
                <w:szCs w:val="5"/>
                <w:color w:val="auto"/>
              </w:rPr>
            </w:pPr>
          </w:p>
        </w:tc>
        <w:tc>
          <w:tcPr>
            <w:tcW w:w="1140" w:type="dxa"/>
            <w:vAlign w:val="bottom"/>
            <w:tcBorders>
              <w:bottom w:val="single" w:sz="8" w:color="7E7E7E"/>
            </w:tcBorders>
          </w:tcPr>
          <w:p>
            <w:pPr>
              <w:spacing w:after="0"/>
              <w:rPr>
                <w:sz w:val="5"/>
                <w:szCs w:val="5"/>
                <w:color w:val="auto"/>
              </w:rPr>
            </w:pPr>
          </w:p>
        </w:tc>
        <w:tc>
          <w:tcPr>
            <w:tcW w:w="1580" w:type="dxa"/>
            <w:vAlign w:val="bottom"/>
            <w:tcBorders>
              <w:bottom w:val="single" w:sz="8" w:color="7E7E7E"/>
            </w:tcBorders>
          </w:tcPr>
          <w:p>
            <w:pPr>
              <w:spacing w:after="0"/>
              <w:rPr>
                <w:sz w:val="5"/>
                <w:szCs w:val="5"/>
                <w:color w:val="auto"/>
              </w:rPr>
            </w:pPr>
          </w:p>
        </w:tc>
        <w:tc>
          <w:tcPr>
            <w:tcW w:w="4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720" w:type="dxa"/>
            <w:vAlign w:val="bottom"/>
            <w:tcBorders>
              <w:bottom w:val="single" w:sz="8" w:color="auto"/>
            </w:tcBorders>
            <w:gridSpan w:val="2"/>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47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720" w:type="dxa"/>
            <w:vAlign w:val="bottom"/>
            <w:gridSpan w:val="2"/>
          </w:tcPr>
          <w:p>
            <w:pPr>
              <w:spacing w:after="0"/>
              <w:rPr>
                <w:sz w:val="20"/>
                <w:szCs w:val="20"/>
                <w:color w:val="auto"/>
              </w:rPr>
            </w:pPr>
            <w:r>
              <w:rPr>
                <w:rFonts w:ascii="Arial" w:cs="Arial" w:eastAsia="Arial" w:hAnsi="Arial"/>
                <w:sz w:val="8"/>
                <w:szCs w:val="8"/>
                <w:color w:val="auto"/>
              </w:rPr>
              <w:t>3449-8791-0181v3</w:t>
            </w: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760" w:type="dxa"/>
            <w:vAlign w:val="bottom"/>
            <w:gridSpan w:val="2"/>
          </w:tcPr>
          <w:p>
            <w:pPr>
              <w:ind w:left="4400"/>
              <w:spacing w:after="0"/>
              <w:rPr>
                <w:sz w:val="20"/>
                <w:szCs w:val="20"/>
                <w:color w:val="auto"/>
              </w:rPr>
            </w:pPr>
            <w:r>
              <w:rPr>
                <w:rFonts w:ascii="Arial" w:cs="Arial" w:eastAsia="Arial" w:hAnsi="Arial"/>
                <w:sz w:val="11"/>
                <w:szCs w:val="11"/>
                <w:color w:val="auto"/>
              </w:rPr>
              <w:t>page 9</w:t>
            </w:r>
          </w:p>
        </w:tc>
        <w:tc>
          <w:tcPr>
            <w:tcW w:w="0" w:type="dxa"/>
            <w:vAlign w:val="bottom"/>
          </w:tcPr>
          <w:p>
            <w:pPr>
              <w:spacing w:after="0"/>
              <w:rPr>
                <w:sz w:val="1"/>
                <w:szCs w:val="1"/>
                <w:color w:val="auto"/>
              </w:rPr>
            </w:pPr>
          </w:p>
        </w:tc>
      </w:tr>
      <w:tr>
        <w:trPr>
          <w:trHeight w:val="105"/>
        </w:trPr>
        <w:tc>
          <w:tcPr>
            <w:tcW w:w="1720" w:type="dxa"/>
            <w:vAlign w:val="bottom"/>
            <w:gridSpan w:val="2"/>
          </w:tcPr>
          <w:p>
            <w:pPr>
              <w:spacing w:after="0"/>
              <w:rPr>
                <w:sz w:val="20"/>
                <w:szCs w:val="20"/>
                <w:color w:val="auto"/>
              </w:rPr>
            </w:pPr>
            <w:r>
              <w:rPr>
                <w:rFonts w:ascii="Arial" w:cs="Arial" w:eastAsia="Arial" w:hAnsi="Arial"/>
                <w:sz w:val="8"/>
                <w:szCs w:val="8"/>
                <w:color w:val="auto"/>
              </w:rPr>
              <w:t>Amendment Deed</w:t>
            </w:r>
          </w:p>
        </w:tc>
        <w:tc>
          <w:tcPr>
            <w:tcW w:w="1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40" w:type="dxa"/>
            <w:vAlign w:val="bottom"/>
            <w:tcBorders>
              <w:bottom w:val="single" w:sz="8" w:color="EEEEEE"/>
            </w:tcBorders>
          </w:tcPr>
          <w:p>
            <w:pPr>
              <w:spacing w:after="0"/>
              <w:rPr>
                <w:sz w:val="17"/>
                <w:szCs w:val="17"/>
                <w:color w:val="auto"/>
              </w:rPr>
            </w:pPr>
          </w:p>
        </w:tc>
        <w:tc>
          <w:tcPr>
            <w:tcW w:w="148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1580" w:type="dxa"/>
            <w:vAlign w:val="bottom"/>
            <w:tcBorders>
              <w:bottom w:val="single" w:sz="8" w:color="EEEEEE"/>
            </w:tcBorders>
          </w:tcPr>
          <w:p>
            <w:pPr>
              <w:spacing w:after="0"/>
              <w:rPr>
                <w:sz w:val="17"/>
                <w:szCs w:val="17"/>
                <w:color w:val="auto"/>
              </w:rPr>
            </w:pPr>
          </w:p>
        </w:tc>
        <w:tc>
          <w:tcPr>
            <w:tcW w:w="47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wp:posOffset>
            </wp:positionV>
            <wp:extent cx="587375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73750" cy="40005"/>
                    </a:xfrm>
                    <a:prstGeom prst="rect">
                      <a:avLst/>
                    </a:prstGeom>
                    <a:noFill/>
                  </pic:spPr>
                </pic:pic>
              </a:graphicData>
            </a:graphic>
          </wp:anchor>
        </w:drawing>
      </w:r>
    </w:p>
    <w:p>
      <w:pPr>
        <w:sectPr>
          <w:pgSz w:w="11900" w:h="16840" w:orient="portrait"/>
          <w:cols w:equalWidth="0" w:num="1">
            <w:col w:w="9240"/>
          </w:cols>
          <w:pgMar w:left="1440" w:top="565" w:right="1220" w:bottom="1440" w:gutter="0" w:footer="0" w:header="0"/>
        </w:sectPr>
      </w:pPr>
    </w:p>
    <w:bookmarkStart w:id="60" w:name="page61"/>
    <w:bookmarkEnd w:id="60"/>
    <w:p>
      <w:pPr>
        <w:ind w:left="40"/>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Execution</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 xml:space="preserve">Executed </w:t>
      </w:r>
      <w:r>
        <w:rPr>
          <w:rFonts w:ascii="Arial" w:cs="Arial" w:eastAsia="Arial" w:hAnsi="Arial"/>
          <w:sz w:val="10"/>
          <w:szCs w:val="10"/>
          <w:color w:val="auto"/>
        </w:rPr>
        <w:t>as a deed</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 xml:space="preserve">Executed </w:t>
            </w:r>
            <w:r>
              <w:rPr>
                <w:rFonts w:ascii="Arial" w:cs="Arial" w:eastAsia="Arial" w:hAnsi="Arial"/>
                <w:sz w:val="10"/>
                <w:szCs w:val="10"/>
                <w:color w:val="auto"/>
              </w:rPr>
              <w:t>by</w:t>
            </w:r>
          </w:p>
        </w:tc>
        <w:tc>
          <w:tcPr>
            <w:tcW w:w="3280" w:type="dxa"/>
            <w:vAlign w:val="bottom"/>
          </w:tcPr>
          <w:p>
            <w:pPr>
              <w:jc w:val="right"/>
              <w:ind w:right="28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Reading Entertainment Australia Pty</w:t>
            </w:r>
          </w:p>
        </w:tc>
        <w:tc>
          <w:tcPr>
            <w:tcW w:w="3280" w:type="dxa"/>
            <w:vAlign w:val="bottom"/>
          </w:tcPr>
          <w:p>
            <w:pPr>
              <w:jc w:val="right"/>
              <w:ind w:right="312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 xml:space="preserve">Ltd </w:t>
            </w:r>
            <w:r>
              <w:rPr>
                <w:rFonts w:ascii="Arial" w:cs="Arial" w:eastAsia="Arial" w:hAnsi="Arial"/>
                <w:sz w:val="10"/>
                <w:szCs w:val="10"/>
                <w:color w:val="auto"/>
              </w:rPr>
              <w:t>ACN 070 893 908</w:t>
            </w:r>
          </w:p>
        </w:tc>
        <w:tc>
          <w:tcPr>
            <w:tcW w:w="3280" w:type="dxa"/>
            <w:vAlign w:val="bottom"/>
          </w:tcPr>
          <w:p>
            <w:pPr>
              <w:jc w:val="right"/>
              <w:ind w:right="22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Australia Country Cinemas Pty Ltd</w:t>
            </w:r>
          </w:p>
        </w:tc>
        <w:tc>
          <w:tcPr>
            <w:tcW w:w="3280" w:type="dxa"/>
            <w:vAlign w:val="bottom"/>
          </w:tcPr>
          <w:p>
            <w:pPr>
              <w:jc w:val="right"/>
              <w:ind w:right="178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076 276 349</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Reading Cinemas Asset Management</w:t>
            </w:r>
          </w:p>
        </w:tc>
        <w:tc>
          <w:tcPr>
            <w:tcW w:w="3280" w:type="dxa"/>
            <w:vAlign w:val="bottom"/>
          </w:tcPr>
          <w:p>
            <w:pPr>
              <w:jc w:val="right"/>
              <w:ind w:right="31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 xml:space="preserve">Pty Ltd </w:t>
            </w:r>
            <w:r>
              <w:rPr>
                <w:rFonts w:ascii="Arial" w:cs="Arial" w:eastAsia="Arial" w:hAnsi="Arial"/>
                <w:sz w:val="10"/>
                <w:szCs w:val="10"/>
                <w:color w:val="auto"/>
              </w:rPr>
              <w:t>ACN 122 571 420</w:t>
            </w:r>
          </w:p>
        </w:tc>
        <w:tc>
          <w:tcPr>
            <w:tcW w:w="3280" w:type="dxa"/>
            <w:vAlign w:val="bottom"/>
          </w:tcPr>
          <w:p>
            <w:pPr>
              <w:jc w:val="right"/>
              <w:ind w:right="206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Burwood Developments Pty Ltd</w:t>
            </w:r>
          </w:p>
        </w:tc>
        <w:tc>
          <w:tcPr>
            <w:tcW w:w="3280" w:type="dxa"/>
            <w:vAlign w:val="bottom"/>
          </w:tcPr>
          <w:p>
            <w:pPr>
              <w:jc w:val="right"/>
              <w:ind w:right="192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105 384 905</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Epping Cinemas Pty Ltd</w:t>
            </w:r>
          </w:p>
        </w:tc>
        <w:tc>
          <w:tcPr>
            <w:tcW w:w="3280" w:type="dxa"/>
            <w:vAlign w:val="bottom"/>
          </w:tcPr>
          <w:p>
            <w:pPr>
              <w:ind w:left="980"/>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073 997 172</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Hotel Newmarket Pty Ltd</w:t>
            </w:r>
          </w:p>
        </w:tc>
        <w:tc>
          <w:tcPr>
            <w:tcW w:w="3280" w:type="dxa"/>
            <w:vAlign w:val="bottom"/>
          </w:tcPr>
          <w:p>
            <w:pPr>
              <w:jc w:val="right"/>
              <w:ind w:right="21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094 367 969</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Newmarket Properties Pty Ltd</w:t>
            </w:r>
          </w:p>
        </w:tc>
        <w:tc>
          <w:tcPr>
            <w:tcW w:w="3280" w:type="dxa"/>
            <w:vAlign w:val="bottom"/>
          </w:tcPr>
          <w:p>
            <w:pPr>
              <w:jc w:val="right"/>
              <w:ind w:right="218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105 386 409</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Newmarket Properties No. 2 Pty Ltd</w:t>
            </w:r>
          </w:p>
        </w:tc>
        <w:tc>
          <w:tcPr>
            <w:tcW w:w="3280" w:type="dxa"/>
            <w:vAlign w:val="bottom"/>
          </w:tcPr>
          <w:p>
            <w:pPr>
              <w:jc w:val="right"/>
              <w:ind w:right="31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109 038 806</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Newmarket Properties #3 Pty Ltd</w:t>
            </w:r>
          </w:p>
        </w:tc>
        <w:tc>
          <w:tcPr>
            <w:tcW w:w="3280" w:type="dxa"/>
            <w:vAlign w:val="bottom"/>
          </w:tcPr>
          <w:p>
            <w:pPr>
              <w:jc w:val="right"/>
              <w:ind w:right="20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126 697 505</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Reading Armadale Pty Ltd</w:t>
            </w:r>
          </w:p>
        </w:tc>
        <w:tc>
          <w:tcPr>
            <w:tcW w:w="3280" w:type="dxa"/>
            <w:vAlign w:val="bottom"/>
          </w:tcPr>
          <w:p>
            <w:pPr>
              <w:jc w:val="right"/>
              <w:ind w:right="216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107 939 211</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Reading Belmont Pty Ltd</w:t>
            </w:r>
          </w:p>
        </w:tc>
        <w:tc>
          <w:tcPr>
            <w:tcW w:w="3280" w:type="dxa"/>
            <w:vAlign w:val="bottom"/>
          </w:tcPr>
          <w:p>
            <w:pPr>
              <w:ind w:left="980"/>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126 697 498</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Reading Bundaberg 2012 Pty Ltd</w:t>
            </w:r>
          </w:p>
        </w:tc>
        <w:tc>
          <w:tcPr>
            <w:tcW w:w="3280" w:type="dxa"/>
            <w:vAlign w:val="bottom"/>
          </w:tcPr>
          <w:p>
            <w:pPr>
              <w:jc w:val="right"/>
              <w:ind w:right="18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122 406 320</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Reading Charlestown Pty Ltd</w:t>
            </w:r>
          </w:p>
        </w:tc>
        <w:tc>
          <w:tcPr>
            <w:tcW w:w="3280" w:type="dxa"/>
            <w:vAlign w:val="bottom"/>
          </w:tcPr>
          <w:p>
            <w:pPr>
              <w:jc w:val="right"/>
              <w:ind w:right="202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123 938 483</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Reading Cinemas Pty Ltd</w:t>
            </w:r>
          </w:p>
        </w:tc>
        <w:tc>
          <w:tcPr>
            <w:tcW w:w="3280" w:type="dxa"/>
            <w:vAlign w:val="bottom"/>
          </w:tcPr>
          <w:p>
            <w:pPr>
              <w:ind w:left="1000"/>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073 808 643</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w w:val="99"/>
              </w:rPr>
              <w:t>Reading Cinemas Management Pty Ltd</w:t>
            </w:r>
          </w:p>
        </w:tc>
        <w:tc>
          <w:tcPr>
            <w:tcW w:w="3280" w:type="dxa"/>
            <w:vAlign w:val="bottom"/>
          </w:tcPr>
          <w:p>
            <w:pPr>
              <w:jc w:val="right"/>
              <w:ind w:right="31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122 406 311</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State Cinema Hobart Pty Ltd</w:t>
            </w:r>
          </w:p>
        </w:tc>
        <w:tc>
          <w:tcPr>
            <w:tcW w:w="3280" w:type="dxa"/>
            <w:vAlign w:val="bottom"/>
          </w:tcPr>
          <w:p>
            <w:pPr>
              <w:jc w:val="right"/>
              <w:ind w:right="196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108 861 061</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Reading Dandenong Pty Ltd</w:t>
            </w:r>
          </w:p>
        </w:tc>
        <w:tc>
          <w:tcPr>
            <w:tcW w:w="3280" w:type="dxa"/>
            <w:vAlign w:val="bottom"/>
          </w:tcPr>
          <w:p>
            <w:pPr>
              <w:jc w:val="right"/>
              <w:ind w:right="206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129 018 739</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Reading Elizabeth Pty Ltd</w:t>
            </w:r>
          </w:p>
        </w:tc>
        <w:tc>
          <w:tcPr>
            <w:tcW w:w="3280" w:type="dxa"/>
            <w:vAlign w:val="bottom"/>
          </w:tcPr>
          <w:p>
            <w:pPr>
              <w:jc w:val="right"/>
              <w:ind w:right="218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114 582 099</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Reading Exhibition Pty Ltd</w:t>
            </w:r>
          </w:p>
        </w:tc>
        <w:tc>
          <w:tcPr>
            <w:tcW w:w="3280" w:type="dxa"/>
            <w:vAlign w:val="bottom"/>
          </w:tcPr>
          <w:p>
            <w:pPr>
              <w:jc w:val="right"/>
              <w:ind w:right="212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color w:val="auto"/>
              </w:rPr>
              <w:t>ACN 103 529 782</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Reading Licences Pty Ltd</w:t>
            </w:r>
          </w:p>
        </w:tc>
        <w:tc>
          <w:tcPr>
            <w:tcW w:w="3280" w:type="dxa"/>
            <w:vAlign w:val="bottom"/>
          </w:tcPr>
          <w:p>
            <w:pPr>
              <w:jc w:val="right"/>
              <w:ind w:right="218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0"/>
        </w:trPr>
        <w:tc>
          <w:tcPr>
            <w:tcW w:w="2140" w:type="dxa"/>
            <w:vAlign w:val="bottom"/>
          </w:tcPr>
          <w:p>
            <w:pPr>
              <w:ind w:left="280"/>
              <w:spacing w:after="0"/>
              <w:rPr>
                <w:sz w:val="20"/>
                <w:szCs w:val="20"/>
                <w:color w:val="auto"/>
              </w:rPr>
            </w:pPr>
            <w:r>
              <w:rPr>
                <w:rFonts w:ascii="Arial" w:cs="Arial" w:eastAsia="Arial" w:hAnsi="Arial"/>
                <w:sz w:val="10"/>
                <w:szCs w:val="10"/>
                <w:color w:val="auto"/>
              </w:rPr>
              <w:t>ACN 089 544 605</w:t>
            </w:r>
          </w:p>
        </w:tc>
        <w:tc>
          <w:tcPr>
            <w:tcW w:w="3280" w:type="dxa"/>
            <w:vAlign w:val="bottom"/>
          </w:tcPr>
          <w:p>
            <w:pPr>
              <w:jc w:val="right"/>
              <w:ind w:right="2448"/>
              <w:spacing w:after="0" w:line="120" w:lineRule="exact"/>
              <w:rPr>
                <w:sz w:val="20"/>
                <w:szCs w:val="20"/>
                <w:color w:val="auto"/>
              </w:rPr>
            </w:pPr>
            <w:r>
              <w:rPr>
                <w:rFonts w:ascii="Arial" w:cs="Arial" w:eastAsia="Arial" w:hAnsi="Arial"/>
                <w:sz w:val="11"/>
                <w:szCs w:val="11"/>
                <w:color w:val="auto"/>
              </w:rPr>
              <w:t>)</w:t>
            </w:r>
          </w:p>
        </w:tc>
        <w:tc>
          <w:tcPr>
            <w:tcW w:w="37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2140" w:type="dxa"/>
            <w:vAlign w:val="bottom"/>
          </w:tcPr>
          <w:p>
            <w:pPr>
              <w:ind w:left="280"/>
              <w:spacing w:after="0" w:line="113" w:lineRule="exact"/>
              <w:rPr>
                <w:sz w:val="20"/>
                <w:szCs w:val="20"/>
                <w:color w:val="auto"/>
              </w:rPr>
            </w:pPr>
            <w:r>
              <w:rPr>
                <w:rFonts w:ascii="Arial" w:cs="Arial" w:eastAsia="Arial" w:hAnsi="Arial"/>
                <w:sz w:val="10"/>
                <w:szCs w:val="10"/>
                <w:b w:val="1"/>
                <w:bCs w:val="1"/>
                <w:color w:val="auto"/>
              </w:rPr>
              <w:t>Reading Maitland Pty Ltd</w:t>
            </w:r>
          </w:p>
        </w:tc>
        <w:tc>
          <w:tcPr>
            <w:tcW w:w="3280" w:type="dxa"/>
            <w:vAlign w:val="bottom"/>
          </w:tcPr>
          <w:p>
            <w:pPr>
              <w:ind w:left="980"/>
              <w:spacing w:after="0" w:line="113" w:lineRule="exact"/>
              <w:rPr>
                <w:sz w:val="20"/>
                <w:szCs w:val="20"/>
                <w:color w:val="auto"/>
              </w:rPr>
            </w:pPr>
            <w:r>
              <w:rPr>
                <w:rFonts w:ascii="Arial" w:cs="Arial" w:eastAsia="Arial" w:hAnsi="Arial"/>
                <w:sz w:val="11"/>
                <w:szCs w:val="11"/>
                <w:color w:val="auto"/>
              </w:rPr>
              <w:t xml:space="preserve">) </w:t>
            </w:r>
            <w:r>
              <w:rPr>
                <w:rFonts w:ascii="Arial" w:cs="Arial" w:eastAsia="Arial" w:hAnsi="Arial"/>
                <w:sz w:val="9"/>
                <w:szCs w:val="9"/>
                <w:color w:val="auto"/>
              </w:rPr>
              <w:t>ACN 126 697 461</w:t>
            </w:r>
            <w:r>
              <w:rPr>
                <w:rFonts w:ascii="Arial" w:cs="Arial" w:eastAsia="Arial" w:hAnsi="Arial"/>
                <w:sz w:val="9"/>
                <w:szCs w:val="9"/>
                <w:b w:val="1"/>
                <w:bCs w:val="1"/>
                <w:color w:val="auto"/>
              </w:rPr>
              <w:t>Reading Melton Pty</w:t>
            </w:r>
            <w:r>
              <w:rPr>
                <w:rFonts w:ascii="Arial" w:cs="Arial" w:eastAsia="Arial" w:hAnsi="Arial"/>
                <w:sz w:val="11"/>
                <w:szCs w:val="11"/>
                <w:color w:val="auto"/>
              </w:rPr>
              <w:t xml:space="preserve">  ) </w:t>
            </w:r>
            <w:r>
              <w:rPr>
                <w:rFonts w:ascii="Arial" w:cs="Arial" w:eastAsia="Arial" w:hAnsi="Arial"/>
                <w:sz w:val="9"/>
                <w:szCs w:val="9"/>
                <w:b w:val="1"/>
                <w:bCs w:val="1"/>
                <w:color w:val="auto"/>
              </w:rPr>
              <w:t>Ltd</w:t>
            </w:r>
          </w:p>
        </w:tc>
        <w:tc>
          <w:tcPr>
            <w:tcW w:w="3760" w:type="dxa"/>
            <w:vAlign w:val="bottom"/>
          </w:tcPr>
          <w:p>
            <w:pPr>
              <w:jc w:val="right"/>
              <w:ind w:right="3466"/>
              <w:spacing w:after="0" w:line="113"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r>
      <w:tr>
        <w:trPr>
          <w:trHeight w:val="131"/>
        </w:trPr>
        <w:tc>
          <w:tcPr>
            <w:tcW w:w="2140" w:type="dxa"/>
            <w:vAlign w:val="bottom"/>
          </w:tcPr>
          <w:p>
            <w:pPr>
              <w:ind w:left="280"/>
              <w:spacing w:after="0"/>
              <w:rPr>
                <w:sz w:val="20"/>
                <w:szCs w:val="20"/>
                <w:color w:val="auto"/>
              </w:rPr>
            </w:pPr>
            <w:r>
              <w:rPr>
                <w:rFonts w:ascii="Arial" w:cs="Arial" w:eastAsia="Arial" w:hAnsi="Arial"/>
                <w:sz w:val="10"/>
                <w:szCs w:val="10"/>
                <w:color w:val="auto"/>
              </w:rPr>
              <w:t>ACN 109 074 517</w:t>
            </w:r>
          </w:p>
        </w:tc>
        <w:tc>
          <w:tcPr>
            <w:tcW w:w="3280" w:type="dxa"/>
            <w:vAlign w:val="bottom"/>
          </w:tcPr>
          <w:p>
            <w:pPr>
              <w:jc w:val="right"/>
              <w:ind w:right="244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1"/>
        </w:trPr>
        <w:tc>
          <w:tcPr>
            <w:tcW w:w="2140" w:type="dxa"/>
            <w:vAlign w:val="bottom"/>
          </w:tcPr>
          <w:p>
            <w:pPr>
              <w:ind w:left="280"/>
              <w:spacing w:after="0"/>
              <w:rPr>
                <w:sz w:val="20"/>
                <w:szCs w:val="20"/>
                <w:color w:val="auto"/>
              </w:rPr>
            </w:pPr>
            <w:r>
              <w:rPr>
                <w:rFonts w:ascii="Arial" w:cs="Arial" w:eastAsia="Arial" w:hAnsi="Arial"/>
                <w:sz w:val="10"/>
                <w:szCs w:val="10"/>
                <w:b w:val="1"/>
                <w:bCs w:val="1"/>
                <w:color w:val="auto"/>
              </w:rPr>
              <w:t>Reading Properties Pty Ltd</w:t>
            </w:r>
          </w:p>
        </w:tc>
        <w:tc>
          <w:tcPr>
            <w:tcW w:w="3280" w:type="dxa"/>
            <w:vAlign w:val="bottom"/>
          </w:tcPr>
          <w:p>
            <w:pPr>
              <w:jc w:val="right"/>
              <w:ind w:right="2128"/>
              <w:spacing w:after="0"/>
              <w:rPr>
                <w:sz w:val="20"/>
                <w:szCs w:val="20"/>
                <w:color w:val="auto"/>
              </w:rPr>
            </w:pPr>
            <w:r>
              <w:rPr>
                <w:rFonts w:ascii="Arial" w:cs="Arial" w:eastAsia="Arial" w:hAnsi="Arial"/>
                <w:sz w:val="11"/>
                <w:szCs w:val="11"/>
                <w:color w:val="auto"/>
              </w:rPr>
              <w:t>)</w:t>
            </w: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42"/>
        </w:trPr>
        <w:tc>
          <w:tcPr>
            <w:tcW w:w="214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2140" w:type="dxa"/>
            <w:vAlign w:val="bottom"/>
          </w:tcPr>
          <w:p>
            <w:pPr>
              <w:spacing w:after="0"/>
              <w:rPr>
                <w:sz w:val="20"/>
                <w:szCs w:val="20"/>
                <w:color w:val="auto"/>
              </w:rPr>
            </w:pPr>
            <w:r>
              <w:rPr>
                <w:rFonts w:ascii="Arial" w:cs="Arial" w:eastAsia="Arial" w:hAnsi="Arial"/>
                <w:sz w:val="8"/>
                <w:szCs w:val="8"/>
                <w:color w:val="auto"/>
              </w:rPr>
              <w:t>3449-8791-0181v3</w:t>
            </w:r>
          </w:p>
        </w:tc>
        <w:tc>
          <w:tcPr>
            <w:tcW w:w="328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1"/>
                <w:szCs w:val="11"/>
                <w:color w:val="auto"/>
              </w:rPr>
              <w:t>page 10</w:t>
            </w:r>
          </w:p>
        </w:tc>
        <w:tc>
          <w:tcPr>
            <w:tcW w:w="20" w:type="dxa"/>
            <w:vAlign w:val="bottom"/>
          </w:tcPr>
          <w:p>
            <w:pPr>
              <w:spacing w:after="0"/>
              <w:rPr>
                <w:sz w:val="19"/>
                <w:szCs w:val="19"/>
                <w:color w:val="auto"/>
              </w:rPr>
            </w:pPr>
          </w:p>
        </w:tc>
      </w:tr>
      <w:tr>
        <w:trPr>
          <w:trHeight w:val="105"/>
        </w:trPr>
        <w:tc>
          <w:tcPr>
            <w:tcW w:w="2140" w:type="dxa"/>
            <w:vAlign w:val="bottom"/>
          </w:tcPr>
          <w:p>
            <w:pPr>
              <w:spacing w:after="0"/>
              <w:rPr>
                <w:sz w:val="20"/>
                <w:szCs w:val="20"/>
                <w:color w:val="auto"/>
              </w:rPr>
            </w:pPr>
            <w:r>
              <w:rPr>
                <w:rFonts w:ascii="Arial" w:cs="Arial" w:eastAsia="Arial" w:hAnsi="Arial"/>
                <w:sz w:val="8"/>
                <w:szCs w:val="8"/>
                <w:color w:val="auto"/>
              </w:rPr>
              <w:t>Amendment Deed</w:t>
            </w:r>
          </w:p>
        </w:tc>
        <w:tc>
          <w:tcPr>
            <w:tcW w:w="328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3"/>
        </w:trPr>
        <w:tc>
          <w:tcPr>
            <w:tcW w:w="2140" w:type="dxa"/>
            <w:vAlign w:val="bottom"/>
            <w:tcBorders>
              <w:bottom w:val="single" w:sz="8" w:color="EEEEEE"/>
            </w:tcBorders>
          </w:tcPr>
          <w:p>
            <w:pPr>
              <w:spacing w:after="0"/>
              <w:rPr>
                <w:sz w:val="17"/>
                <w:szCs w:val="17"/>
                <w:color w:val="auto"/>
              </w:rPr>
            </w:pPr>
          </w:p>
        </w:tc>
        <w:tc>
          <w:tcPr>
            <w:tcW w:w="3280" w:type="dxa"/>
            <w:vAlign w:val="bottom"/>
            <w:tcBorders>
              <w:bottom w:val="single" w:sz="8" w:color="EEEEEE"/>
            </w:tcBorders>
          </w:tcPr>
          <w:p>
            <w:pPr>
              <w:spacing w:after="0"/>
              <w:rPr>
                <w:sz w:val="17"/>
                <w:szCs w:val="17"/>
                <w:color w:val="auto"/>
              </w:rPr>
            </w:pPr>
          </w:p>
        </w:tc>
        <w:tc>
          <w:tcPr>
            <w:tcW w:w="37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wp:posOffset>
            </wp:positionV>
            <wp:extent cx="587375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73750" cy="40005"/>
                    </a:xfrm>
                    <a:prstGeom prst="rect">
                      <a:avLst/>
                    </a:prstGeom>
                    <a:noFill/>
                  </pic:spPr>
                </pic:pic>
              </a:graphicData>
            </a:graphic>
          </wp:anchor>
        </w:drawing>
      </w:r>
    </w:p>
    <w:p>
      <w:pPr>
        <w:sectPr>
          <w:pgSz w:w="11900" w:h="16840" w:orient="portrait"/>
          <w:cols w:equalWidth="0" w:num="1">
            <w:col w:w="9240"/>
          </w:cols>
          <w:pgMar w:left="1440" w:top="565" w:right="1220" w:bottom="1440" w:gutter="0" w:footer="0" w:header="0"/>
        </w:sectPr>
      </w:pPr>
    </w:p>
    <w:bookmarkStart w:id="61" w:name="page62"/>
    <w:bookmarkEnd w:id="61"/>
    <w:p>
      <w:pPr>
        <w:ind w:left="40"/>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375"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071 195 429</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9"/>
          <w:szCs w:val="9"/>
          <w:b w:val="1"/>
          <w:bCs w:val="1"/>
          <w:color w:val="auto"/>
        </w:rPr>
        <w:t xml:space="preserve">Reading Properties Indooroopilly Pty Ltd </w:t>
      </w:r>
      <w:r>
        <w:rPr>
          <w:rFonts w:ascii="Arial" w:cs="Arial" w:eastAsia="Arial" w:hAnsi="Arial"/>
          <w:sz w:val="9"/>
          <w:szCs w:val="9"/>
          <w:color w:val="auto"/>
        </w:rPr>
        <w:t>ACN 121 284 884</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Noosa Pty Ltd</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128 819 483</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Property Holdings Pty Ltd</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126 289 772</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Rouse Hill Pty Ltd</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123 245 885</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Sunbury Pty Limited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109 074 571</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Rhodes Peninsula Cinema Pty Limited</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120 827 812</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Westlakes Cinema Pty Ltd</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108 531 308</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Busselton Pty Ltd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143 633 096</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Cannon Park Pty Ltd</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609 837 569</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Angelika Anywhere Pty Ltd</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642 993 593</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Jindalee Pty Ltd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629 483 914</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Devonport Pty Ltd</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629 484 126</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Altona Pty Ltd</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634 384 311</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South City Square Pty Ltd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616 892 936</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Traralgon Pty Ltd</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618 457 202</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Burwood Pty Ltd</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619 050 396</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Cinemas Auburn Pty Ltd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633 008 401</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Reading Auburn Pty Ltd</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ACN 126 697 470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Arial" w:cs="Arial" w:eastAsia="Arial" w:hAnsi="Arial"/>
          <w:sz w:val="10"/>
          <w:szCs w:val="10"/>
          <w:color w:val="auto"/>
        </w:rPr>
        <w:t>...........................................................</w:t>
      </w:r>
    </w:p>
    <w:p>
      <w:pPr>
        <w:ind w:left="320"/>
        <w:spacing w:after="0" w:line="183" w:lineRule="auto"/>
        <w:rPr>
          <w:sz w:val="20"/>
          <w:szCs w:val="20"/>
          <w:color w:val="auto"/>
        </w:rPr>
      </w:pPr>
      <w:r>
        <w:rPr>
          <w:rFonts w:ascii="Arial" w:cs="Arial" w:eastAsia="Arial" w:hAnsi="Arial"/>
          <w:sz w:val="9"/>
          <w:szCs w:val="9"/>
          <w:color w:val="auto"/>
        </w:rPr>
        <w:t>Ellen Marie Cotter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435" w:lineRule="exact"/>
        <w:rPr>
          <w:sz w:val="20"/>
          <w:szCs w:val="20"/>
          <w:color w:val="auto"/>
        </w:rPr>
      </w:pPr>
    </w:p>
    <w:p>
      <w:pPr>
        <w:sectPr>
          <w:pgSz w:w="11900" w:h="16840" w:orient="portrait"/>
          <w:cols w:equalWidth="0" w:num="2">
            <w:col w:w="3020" w:space="200"/>
            <w:col w:w="5980"/>
          </w:cols>
          <w:pgMar w:left="1440" w:top="565" w:right="1260" w:bottom="1440" w:gutter="0" w:footer="0" w:header="0"/>
        </w:sectPr>
      </w:pPr>
    </w:p>
    <w:tbl>
      <w:tblPr>
        <w:tblLayout w:type="fixed"/>
        <w:tblInd w:w="40" w:type="dxa"/>
        <w:tblCellMar>
          <w:top w:w="0" w:type="dxa"/>
          <w:left w:w="0" w:type="dxa"/>
          <w:bottom w:w="0" w:type="dxa"/>
          <w:right w:w="0" w:type="dxa"/>
        </w:tblCellMar>
      </w:tblPr>
      <w:tr>
        <w:trPr>
          <w:trHeight w:val="107"/>
        </w:trPr>
        <w:tc>
          <w:tcPr>
            <w:tcW w:w="2080" w:type="dxa"/>
            <w:vAlign w:val="bottom"/>
          </w:tcPr>
          <w:p>
            <w:pPr>
              <w:spacing w:after="0"/>
              <w:rPr>
                <w:sz w:val="9"/>
                <w:szCs w:val="9"/>
                <w:color w:val="auto"/>
              </w:rPr>
            </w:pPr>
          </w:p>
        </w:tc>
        <w:tc>
          <w:tcPr>
            <w:tcW w:w="7060" w:type="dxa"/>
            <w:vAlign w:val="bottom"/>
          </w:tcPr>
          <w:p>
            <w:pPr>
              <w:ind w:left="1400"/>
              <w:spacing w:after="0" w:line="10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22"/>
        </w:trPr>
        <w:tc>
          <w:tcPr>
            <w:tcW w:w="2080" w:type="dxa"/>
            <w:vAlign w:val="bottom"/>
          </w:tcPr>
          <w:p>
            <w:pPr>
              <w:spacing w:after="0"/>
              <w:rPr>
                <w:sz w:val="10"/>
                <w:szCs w:val="10"/>
                <w:color w:val="auto"/>
              </w:rPr>
            </w:pPr>
          </w:p>
        </w:tc>
        <w:tc>
          <w:tcPr>
            <w:tcW w:w="7060" w:type="dxa"/>
            <w:vAlign w:val="bottom"/>
          </w:tcPr>
          <w:p>
            <w:pPr>
              <w:ind w:left="1400"/>
              <w:spacing w:after="0"/>
              <w:rPr>
                <w:sz w:val="20"/>
                <w:szCs w:val="20"/>
                <w:color w:val="auto"/>
              </w:rPr>
            </w:pPr>
            <w:r>
              <w:rPr>
                <w:rFonts w:ascii="Arial" w:cs="Arial" w:eastAsia="Arial" w:hAnsi="Arial"/>
                <w:sz w:val="10"/>
                <w:szCs w:val="10"/>
                <w:color w:val="auto"/>
              </w:rPr>
              <w:t>Wayne Douglas Smith Director</w:t>
            </w:r>
          </w:p>
        </w:tc>
        <w:tc>
          <w:tcPr>
            <w:tcW w:w="20" w:type="dxa"/>
            <w:vAlign w:val="bottom"/>
          </w:tcPr>
          <w:p>
            <w:pPr>
              <w:spacing w:after="0"/>
              <w:rPr>
                <w:sz w:val="10"/>
                <w:szCs w:val="10"/>
                <w:color w:val="auto"/>
              </w:rPr>
            </w:pPr>
          </w:p>
        </w:tc>
      </w:tr>
      <w:tr>
        <w:trPr>
          <w:trHeight w:val="369"/>
        </w:trPr>
        <w:tc>
          <w:tcPr>
            <w:tcW w:w="208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2080" w:type="dxa"/>
            <w:vAlign w:val="bottom"/>
          </w:tcPr>
          <w:p>
            <w:pPr>
              <w:spacing w:after="0"/>
              <w:rPr>
                <w:sz w:val="20"/>
                <w:szCs w:val="20"/>
                <w:color w:val="auto"/>
              </w:rPr>
            </w:pPr>
            <w:r>
              <w:rPr>
                <w:rFonts w:ascii="Arial" w:cs="Arial" w:eastAsia="Arial" w:hAnsi="Arial"/>
                <w:sz w:val="8"/>
                <w:szCs w:val="8"/>
                <w:color w:val="auto"/>
              </w:rPr>
              <w:t>3449-8791-0181v3</w:t>
            </w:r>
          </w:p>
        </w:tc>
        <w:tc>
          <w:tcPr>
            <w:tcW w:w="7060" w:type="dxa"/>
            <w:vAlign w:val="bottom"/>
          </w:tcPr>
          <w:p>
            <w:pPr>
              <w:ind w:left="6660"/>
              <w:spacing w:after="0"/>
              <w:rPr>
                <w:sz w:val="20"/>
                <w:szCs w:val="20"/>
                <w:color w:val="auto"/>
              </w:rPr>
            </w:pPr>
            <w:r>
              <w:rPr>
                <w:rFonts w:ascii="Arial" w:cs="Arial" w:eastAsia="Arial" w:hAnsi="Arial"/>
                <w:sz w:val="11"/>
                <w:szCs w:val="11"/>
                <w:color w:val="auto"/>
                <w:w w:val="95"/>
              </w:rPr>
              <w:t>page 11</w:t>
            </w:r>
          </w:p>
        </w:tc>
        <w:tc>
          <w:tcPr>
            <w:tcW w:w="20" w:type="dxa"/>
            <w:vAlign w:val="bottom"/>
          </w:tcPr>
          <w:p>
            <w:pPr>
              <w:spacing w:after="0"/>
              <w:rPr>
                <w:sz w:val="19"/>
                <w:szCs w:val="19"/>
                <w:color w:val="auto"/>
              </w:rPr>
            </w:pPr>
          </w:p>
        </w:tc>
      </w:tr>
      <w:tr>
        <w:trPr>
          <w:trHeight w:val="105"/>
        </w:trPr>
        <w:tc>
          <w:tcPr>
            <w:tcW w:w="2080" w:type="dxa"/>
            <w:vAlign w:val="bottom"/>
          </w:tcPr>
          <w:p>
            <w:pPr>
              <w:spacing w:after="0"/>
              <w:rPr>
                <w:sz w:val="20"/>
                <w:szCs w:val="20"/>
                <w:color w:val="auto"/>
              </w:rPr>
            </w:pPr>
            <w:r>
              <w:rPr>
                <w:rFonts w:ascii="Arial" w:cs="Arial" w:eastAsia="Arial" w:hAnsi="Arial"/>
                <w:sz w:val="8"/>
                <w:szCs w:val="8"/>
                <w:color w:val="auto"/>
              </w:rPr>
              <w:t>Amendment Deed</w:t>
            </w:r>
          </w:p>
        </w:tc>
        <w:tc>
          <w:tcPr>
            <w:tcW w:w="70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3"/>
        </w:trPr>
        <w:tc>
          <w:tcPr>
            <w:tcW w:w="2080" w:type="dxa"/>
            <w:vAlign w:val="bottom"/>
            <w:tcBorders>
              <w:bottom w:val="single" w:sz="8" w:color="EEEEEE"/>
            </w:tcBorders>
          </w:tcPr>
          <w:p>
            <w:pPr>
              <w:spacing w:after="0"/>
              <w:rPr>
                <w:sz w:val="17"/>
                <w:szCs w:val="17"/>
                <w:color w:val="auto"/>
              </w:rPr>
            </w:pPr>
          </w:p>
        </w:tc>
        <w:tc>
          <w:tcPr>
            <w:tcW w:w="70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wp:posOffset>
            </wp:positionV>
            <wp:extent cx="5850255"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50255" cy="40005"/>
                    </a:xfrm>
                    <a:prstGeom prst="rect">
                      <a:avLst/>
                    </a:prstGeom>
                    <a:noFill/>
                  </pic:spPr>
                </pic:pic>
              </a:graphicData>
            </a:graphic>
          </wp:anchor>
        </w:drawing>
      </w:r>
    </w:p>
    <w:p>
      <w:pPr>
        <w:sectPr>
          <w:pgSz w:w="11900" w:h="16840" w:orient="portrait"/>
          <w:cols w:equalWidth="0" w:num="1">
            <w:col w:w="9200"/>
          </w:cols>
          <w:pgMar w:left="1440" w:top="565" w:right="1260" w:bottom="1440" w:gutter="0" w:footer="0" w:header="0"/>
          <w:type w:val="continuous"/>
        </w:sectPr>
      </w:pPr>
    </w:p>
    <w:bookmarkStart w:id="62" w:name="page63"/>
    <w:bookmarkEnd w:id="62"/>
    <w:p>
      <w:pPr>
        <w:ind w:left="40"/>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 xml:space="preserve">Executed </w:t>
      </w:r>
      <w:r>
        <w:rPr>
          <w:rFonts w:ascii="Arial" w:cs="Arial" w:eastAsia="Arial" w:hAnsi="Arial"/>
          <w:sz w:val="10"/>
          <w:szCs w:val="10"/>
          <w:color w:val="auto"/>
        </w:rPr>
        <w:t>by</w:t>
      </w:r>
      <w:r>
        <w:rPr>
          <w:rFonts w:ascii="Arial" w:cs="Arial" w:eastAsia="Arial" w:hAnsi="Arial"/>
          <w:sz w:val="10"/>
          <w:szCs w:val="10"/>
          <w:b w:val="1"/>
          <w:bCs w:val="1"/>
          <w:color w:val="auto"/>
        </w:rPr>
        <w:t xml:space="preserve"> National Australia Bank Limited </w:t>
      </w:r>
      <w:r>
        <w:rPr>
          <w:rFonts w:ascii="Arial" w:cs="Arial" w:eastAsia="Arial" w:hAnsi="Arial"/>
          <w:sz w:val="10"/>
          <w:szCs w:val="10"/>
          <w:color w:val="auto"/>
        </w:rPr>
        <w:t>ABN 12 004 044 937 by its Attorney who holds the position of Level 2 Attorney under Power of Attorney dated 1/3/2007 in the presence of:</w:t>
      </w:r>
      <w:r>
        <w:rPr>
          <w:sz w:val="20"/>
          <w:szCs w:val="20"/>
          <w:color w:val="auto"/>
        </w:rPr>
        <w:t xml:space="preserve"> </w:t>
      </w:r>
      <w:r>
        <w:rPr>
          <w:rFonts w:ascii="Arial" w:cs="Arial" w:eastAsia="Arial" w:hAnsi="Arial"/>
          <w:sz w:val="6"/>
          <w:szCs w:val="6"/>
          <w:color w:val="auto"/>
        </w:rPr>
        <w: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jc w:val="right"/>
        <w:spacing w:after="0" w:line="234" w:lineRule="auto"/>
        <w:rPr>
          <w:sz w:val="20"/>
          <w:szCs w:val="20"/>
          <w:color w:val="auto"/>
        </w:rPr>
      </w:pPr>
      <w:r>
        <w:rPr>
          <w:rFonts w:ascii="Arial" w:cs="Arial" w:eastAsia="Arial" w:hAnsi="Arial"/>
          <w:sz w:val="10"/>
          <w:szCs w:val="10"/>
          <w:color w:val="auto"/>
        </w:rPr>
        <w:t>)</w:t>
      </w:r>
    </w:p>
    <w:p>
      <w:pPr>
        <w:jc w:val="right"/>
        <w:spacing w:after="0" w:line="235" w:lineRule="auto"/>
        <w:rPr>
          <w:sz w:val="20"/>
          <w:szCs w:val="20"/>
          <w:color w:val="auto"/>
        </w:rPr>
      </w:pPr>
      <w:r>
        <w:rPr>
          <w:rFonts w:ascii="Arial" w:cs="Arial" w:eastAsia="Arial" w:hAnsi="Arial"/>
          <w:sz w:val="10"/>
          <w:szCs w:val="10"/>
          <w:color w:val="auto"/>
        </w:rPr>
        <w:t>)</w:t>
      </w:r>
    </w:p>
    <w:p>
      <w:pPr>
        <w:jc w:val="right"/>
        <w:spacing w:after="0" w:line="235" w:lineRule="auto"/>
        <w:rPr>
          <w:sz w:val="20"/>
          <w:szCs w:val="20"/>
          <w:color w:val="auto"/>
        </w:rPr>
      </w:pPr>
      <w:r>
        <w:rPr>
          <w:rFonts w:ascii="Arial" w:cs="Arial" w:eastAsia="Arial" w:hAnsi="Arial"/>
          <w:sz w:val="10"/>
          <w:szCs w:val="10"/>
          <w:color w:val="auto"/>
        </w:rPr>
        <w:t>)</w:t>
      </w:r>
    </w:p>
    <w:p>
      <w:pPr>
        <w:jc w:val="right"/>
        <w:spacing w:after="0"/>
        <w:rPr>
          <w:sz w:val="20"/>
          <w:szCs w:val="20"/>
          <w:color w:val="auto"/>
        </w:rPr>
      </w:pPr>
      <w:r>
        <w:rPr>
          <w:rFonts w:ascii="Arial" w:cs="Arial" w:eastAsia="Arial" w:hAnsi="Arial"/>
          <w:sz w:val="10"/>
          <w:szCs w:val="10"/>
          <w:color w:val="auto"/>
        </w:rPr>
        <w:t>)</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0"/>
          <w:szCs w:val="10"/>
          <w:color w:val="auto"/>
        </w:rPr>
        <w:t>Witness</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0"/>
          <w:szCs w:val="10"/>
          <w:color w:val="auto"/>
        </w:rPr>
        <w:t>...........................................................</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0"/>
          <w:szCs w:val="10"/>
          <w:color w:val="auto"/>
        </w:rPr>
        <w:t>Name of Witness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178435</wp:posOffset>
            </wp:positionV>
            <wp:extent cx="5815330" cy="5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15330" cy="5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9"/>
          <w:szCs w:val="9"/>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Attorney</w:t>
      </w:r>
    </w:p>
    <w:p>
      <w:pPr>
        <w:spacing w:after="0" w:line="134" w:lineRule="exact"/>
        <w:rPr>
          <w:sz w:val="20"/>
          <w:szCs w:val="20"/>
          <w:color w:val="auto"/>
        </w:rPr>
      </w:pPr>
    </w:p>
    <w:p>
      <w:pPr>
        <w:spacing w:after="0"/>
        <w:rPr>
          <w:sz w:val="20"/>
          <w:szCs w:val="20"/>
          <w:color w:val="auto"/>
        </w:rPr>
      </w:pPr>
      <w:r>
        <w:rPr>
          <w:rFonts w:ascii="Arial" w:cs="Arial" w:eastAsia="Arial" w:hAnsi="Arial"/>
          <w:sz w:val="9"/>
          <w:szCs w:val="9"/>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9"/>
          <w:szCs w:val="9"/>
          <w:color w:val="auto"/>
        </w:rPr>
        <w:t>Name of Attorney (print)</w:t>
      </w:r>
    </w:p>
    <w:p>
      <w:pPr>
        <w:spacing w:after="0" w:line="200" w:lineRule="exact"/>
        <w:rPr>
          <w:sz w:val="20"/>
          <w:szCs w:val="20"/>
          <w:color w:val="auto"/>
        </w:rPr>
      </w:pPr>
    </w:p>
    <w:p>
      <w:pPr>
        <w:sectPr>
          <w:pgSz w:w="11900" w:h="16840" w:orient="portrait"/>
          <w:cols w:equalWidth="0" w:num="2">
            <w:col w:w="8580" w:space="260"/>
            <w:col w:w="1040"/>
          </w:cols>
          <w:pgMar w:left="1440" w:top="565" w:right="580" w:bottom="1440" w:gutter="0" w:footer="0" w:header="0"/>
        </w:sectPr>
      </w:pP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4720" w:type="dxa"/>
            <w:vAlign w:val="bottom"/>
          </w:tcPr>
          <w:p>
            <w:pPr>
              <w:spacing w:after="0"/>
              <w:rPr>
                <w:sz w:val="20"/>
                <w:szCs w:val="20"/>
                <w:color w:val="auto"/>
              </w:rPr>
            </w:pPr>
            <w:r>
              <w:rPr>
                <w:rFonts w:ascii="Arial" w:cs="Arial" w:eastAsia="Arial" w:hAnsi="Arial"/>
                <w:sz w:val="8"/>
                <w:szCs w:val="8"/>
                <w:color w:val="auto"/>
              </w:rPr>
              <w:t>3449-8791-0181v3</w:t>
            </w:r>
          </w:p>
        </w:tc>
        <w:tc>
          <w:tcPr>
            <w:tcW w:w="4440" w:type="dxa"/>
            <w:vAlign w:val="bottom"/>
          </w:tcPr>
          <w:p>
            <w:pPr>
              <w:ind w:left="4020"/>
              <w:spacing w:after="0"/>
              <w:rPr>
                <w:sz w:val="20"/>
                <w:szCs w:val="20"/>
                <w:color w:val="auto"/>
              </w:rPr>
            </w:pPr>
            <w:r>
              <w:rPr>
                <w:rFonts w:ascii="Arial" w:cs="Arial" w:eastAsia="Arial" w:hAnsi="Arial"/>
                <w:sz w:val="11"/>
                <w:szCs w:val="11"/>
                <w:color w:val="auto"/>
              </w:rPr>
              <w:t>page 12</w:t>
            </w:r>
          </w:p>
        </w:tc>
      </w:tr>
      <w:tr>
        <w:trPr>
          <w:trHeight w:val="105"/>
        </w:trPr>
        <w:tc>
          <w:tcPr>
            <w:tcW w:w="4720" w:type="dxa"/>
            <w:vAlign w:val="bottom"/>
          </w:tcPr>
          <w:p>
            <w:pPr>
              <w:spacing w:after="0"/>
              <w:rPr>
                <w:sz w:val="20"/>
                <w:szCs w:val="20"/>
                <w:color w:val="auto"/>
              </w:rPr>
            </w:pPr>
            <w:r>
              <w:rPr>
                <w:rFonts w:ascii="Arial" w:cs="Arial" w:eastAsia="Arial" w:hAnsi="Arial"/>
                <w:sz w:val="8"/>
                <w:szCs w:val="8"/>
                <w:color w:val="auto"/>
              </w:rPr>
              <w:t>Amendment Deed</w:t>
            </w:r>
          </w:p>
        </w:tc>
        <w:tc>
          <w:tcPr>
            <w:tcW w:w="4440" w:type="dxa"/>
            <w:vAlign w:val="bottom"/>
          </w:tcPr>
          <w:p>
            <w:pPr>
              <w:spacing w:after="0"/>
              <w:rPr>
                <w:sz w:val="9"/>
                <w:szCs w:val="9"/>
                <w:color w:val="auto"/>
              </w:rPr>
            </w:pPr>
          </w:p>
        </w:tc>
      </w:tr>
      <w:tr>
        <w:trPr>
          <w:trHeight w:val="203"/>
        </w:trPr>
        <w:tc>
          <w:tcPr>
            <w:tcW w:w="4720" w:type="dxa"/>
            <w:vAlign w:val="bottom"/>
            <w:tcBorders>
              <w:bottom w:val="single" w:sz="8" w:color="EEEEEE"/>
            </w:tcBorders>
          </w:tcPr>
          <w:p>
            <w:pPr>
              <w:spacing w:after="0"/>
              <w:rPr>
                <w:sz w:val="17"/>
                <w:szCs w:val="17"/>
                <w:color w:val="auto"/>
              </w:rPr>
            </w:pPr>
          </w:p>
        </w:tc>
        <w:tc>
          <w:tcPr>
            <w:tcW w:w="444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wp:posOffset>
            </wp:positionV>
            <wp:extent cx="585025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50255" cy="40005"/>
                    </a:xfrm>
                    <a:prstGeom prst="rect">
                      <a:avLst/>
                    </a:prstGeom>
                    <a:noFill/>
                  </pic:spPr>
                </pic:pic>
              </a:graphicData>
            </a:graphic>
          </wp:anchor>
        </w:drawing>
      </w:r>
    </w:p>
    <w:p>
      <w:pPr>
        <w:sectPr>
          <w:pgSz w:w="11900" w:h="16840" w:orient="portrait"/>
          <w:cols w:equalWidth="0" w:num="1">
            <w:col w:w="9880"/>
          </w:cols>
          <w:pgMar w:left="1440" w:top="565" w:right="580" w:bottom="1440" w:gutter="0" w:footer="0" w:header="0"/>
          <w:type w:val="continuous"/>
        </w:sectPr>
      </w:pPr>
    </w:p>
    <w:bookmarkStart w:id="63" w:name="page64"/>
    <w:bookmarkEnd w:id="63"/>
    <w:p>
      <w:pPr>
        <w:ind w:left="40"/>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Annexure</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Amended Facility Agreement</w:t>
      </w:r>
    </w:p>
    <w:p>
      <w:pPr>
        <w:spacing w:after="0" w:line="390" w:lineRule="exact"/>
        <w:rPr>
          <w:sz w:val="20"/>
          <w:szCs w:val="20"/>
          <w:color w:val="auto"/>
        </w:rPr>
      </w:pPr>
    </w:p>
    <w:p>
      <w:pPr>
        <w:jc w:val="right"/>
        <w:ind w:right="3020"/>
        <w:spacing w:after="0"/>
        <w:rPr>
          <w:sz w:val="20"/>
          <w:szCs w:val="20"/>
          <w:color w:val="auto"/>
        </w:rPr>
      </w:pPr>
      <w:r>
        <w:rPr>
          <w:rFonts w:ascii="Arial" w:cs="Arial" w:eastAsia="Arial" w:hAnsi="Arial"/>
          <w:sz w:val="8"/>
          <w:szCs w:val="8"/>
          <w:color w:val="auto"/>
        </w:rPr>
        <w:t>567 Collins Street, Melbourne VIC 3000,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-53975</wp:posOffset>
            </wp:positionV>
            <wp:extent cx="581025" cy="3289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1025" cy="328930"/>
                    </a:xfrm>
                    <a:prstGeom prst="rect">
                      <a:avLst/>
                    </a:prstGeom>
                    <a:noFill/>
                  </pic:spPr>
                </pic:pic>
              </a:graphicData>
            </a:graphic>
          </wp:anchor>
        </w:drawing>
      </w:r>
    </w:p>
    <w:p>
      <w:pPr>
        <w:jc w:val="right"/>
        <w:ind w:right="3000"/>
        <w:spacing w:after="0"/>
        <w:rPr>
          <w:sz w:val="20"/>
          <w:szCs w:val="20"/>
          <w:color w:val="auto"/>
        </w:rPr>
      </w:pPr>
      <w:r>
        <w:rPr>
          <w:rFonts w:ascii="Arial" w:cs="Arial" w:eastAsia="Arial" w:hAnsi="Arial"/>
          <w:sz w:val="8"/>
          <w:szCs w:val="8"/>
          <w:color w:val="auto"/>
        </w:rPr>
        <w:t>GPO Box 9925, Melbourne VIC 3001, Australia</w:t>
      </w:r>
    </w:p>
    <w:p>
      <w:pPr>
        <w:spacing w:after="0" w:line="6" w:lineRule="exact"/>
        <w:rPr>
          <w:sz w:val="20"/>
          <w:szCs w:val="20"/>
          <w:color w:val="auto"/>
        </w:rPr>
      </w:pPr>
    </w:p>
    <w:p>
      <w:pPr>
        <w:jc w:val="right"/>
        <w:ind w:right="3000"/>
        <w:spacing w:after="0"/>
        <w:rPr>
          <w:sz w:val="20"/>
          <w:szCs w:val="20"/>
          <w:color w:val="auto"/>
        </w:rPr>
      </w:pPr>
      <w:r>
        <w:rPr>
          <w:rFonts w:ascii="Arial" w:cs="Arial" w:eastAsia="Arial" w:hAnsi="Arial"/>
          <w:sz w:val="8"/>
          <w:szCs w:val="8"/>
          <w:color w:val="auto"/>
        </w:rPr>
        <w:t>Tel +61 3 9672 3000</w:t>
      </w:r>
    </w:p>
    <w:p>
      <w:pPr>
        <w:spacing w:after="0" w:line="6" w:lineRule="exact"/>
        <w:rPr>
          <w:sz w:val="20"/>
          <w:szCs w:val="20"/>
          <w:color w:val="auto"/>
        </w:rPr>
      </w:pPr>
    </w:p>
    <w:p>
      <w:pPr>
        <w:jc w:val="right"/>
        <w:ind w:right="3000"/>
        <w:spacing w:after="0"/>
        <w:rPr>
          <w:sz w:val="20"/>
          <w:szCs w:val="20"/>
          <w:color w:val="auto"/>
        </w:rPr>
      </w:pPr>
      <w:r>
        <w:rPr>
          <w:rFonts w:ascii="Arial" w:cs="Arial" w:eastAsia="Arial" w:hAnsi="Arial"/>
          <w:sz w:val="8"/>
          <w:szCs w:val="8"/>
          <w:color w:val="auto"/>
        </w:rPr>
        <w:t>Fax +61 3 9672 3010</w:t>
      </w:r>
    </w:p>
    <w:p>
      <w:pPr>
        <w:spacing w:after="0" w:line="6" w:lineRule="exact"/>
        <w:rPr>
          <w:sz w:val="20"/>
          <w:szCs w:val="20"/>
          <w:color w:val="auto"/>
        </w:rPr>
      </w:pPr>
    </w:p>
    <w:p>
      <w:pPr>
        <w:jc w:val="right"/>
        <w:ind w:right="3000"/>
        <w:spacing w:after="0"/>
        <w:rPr>
          <w:sz w:val="20"/>
          <w:szCs w:val="20"/>
          <w:color w:val="auto"/>
        </w:rPr>
      </w:pPr>
      <w:r>
        <w:rPr>
          <w:rFonts w:ascii="Arial" w:cs="Arial" w:eastAsia="Arial" w:hAnsi="Arial"/>
          <w:sz w:val="8"/>
          <w:szCs w:val="8"/>
          <w:b w:val="1"/>
          <w:bCs w:val="1"/>
          <w:color w:val="auto"/>
        </w:rPr>
        <w:t>www.corrs.com.au</w:t>
      </w:r>
    </w:p>
    <w:p>
      <w:pPr>
        <w:spacing w:after="0" w:line="236" w:lineRule="exact"/>
        <w:rPr>
          <w:sz w:val="20"/>
          <w:szCs w:val="20"/>
          <w:color w:val="auto"/>
        </w:rPr>
      </w:pPr>
    </w:p>
    <w:p>
      <w:pPr>
        <w:jc w:val="right"/>
        <w:ind w:right="580"/>
        <w:spacing w:after="0"/>
        <w:rPr>
          <w:sz w:val="20"/>
          <w:szCs w:val="20"/>
          <w:color w:val="auto"/>
        </w:rPr>
      </w:pPr>
      <w:r>
        <w:rPr>
          <w:rFonts w:ascii="Arial" w:cs="Arial" w:eastAsia="Arial" w:hAnsi="Arial"/>
          <w:sz w:val="8"/>
          <w:szCs w:val="8"/>
          <w:color w:val="808080"/>
        </w:rPr>
        <w:t>Sydney</w:t>
      </w:r>
    </w:p>
    <w:p>
      <w:pPr>
        <w:jc w:val="right"/>
        <w:ind w:right="580"/>
        <w:spacing w:after="0" w:line="215" w:lineRule="auto"/>
        <w:rPr>
          <w:sz w:val="20"/>
          <w:szCs w:val="20"/>
          <w:color w:val="auto"/>
        </w:rPr>
      </w:pPr>
      <w:r>
        <w:rPr>
          <w:rFonts w:ascii="Arial" w:cs="Arial" w:eastAsia="Arial" w:hAnsi="Arial"/>
          <w:sz w:val="8"/>
          <w:szCs w:val="8"/>
          <w:color w:val="808080"/>
        </w:rPr>
        <w:t>Melbourne</w:t>
      </w:r>
    </w:p>
    <w:p>
      <w:pPr>
        <w:jc w:val="right"/>
        <w:ind w:right="560"/>
        <w:spacing w:after="0" w:line="215" w:lineRule="auto"/>
        <w:rPr>
          <w:sz w:val="20"/>
          <w:szCs w:val="20"/>
          <w:color w:val="auto"/>
        </w:rPr>
      </w:pPr>
      <w:r>
        <w:rPr>
          <w:rFonts w:ascii="Arial" w:cs="Arial" w:eastAsia="Arial" w:hAnsi="Arial"/>
          <w:sz w:val="8"/>
          <w:szCs w:val="8"/>
          <w:color w:val="808080"/>
        </w:rPr>
        <w:t>Brisbane</w:t>
      </w:r>
    </w:p>
    <w:p>
      <w:pPr>
        <w:jc w:val="right"/>
        <w:ind w:right="580"/>
        <w:spacing w:after="0" w:line="215" w:lineRule="auto"/>
        <w:rPr>
          <w:sz w:val="20"/>
          <w:szCs w:val="20"/>
          <w:color w:val="auto"/>
        </w:rPr>
      </w:pPr>
      <w:r>
        <w:rPr>
          <w:rFonts w:ascii="Arial" w:cs="Arial" w:eastAsia="Arial" w:hAnsi="Arial"/>
          <w:sz w:val="8"/>
          <w:szCs w:val="8"/>
          <w:color w:val="808080"/>
        </w:rPr>
        <w:t>Perth</w:t>
      </w:r>
    </w:p>
    <w:p>
      <w:pPr>
        <w:jc w:val="right"/>
        <w:ind w:right="580"/>
        <w:spacing w:after="0"/>
        <w:rPr>
          <w:sz w:val="20"/>
          <w:szCs w:val="20"/>
          <w:color w:val="auto"/>
        </w:rPr>
      </w:pPr>
      <w:r>
        <w:rPr>
          <w:rFonts w:ascii="Arial" w:cs="Arial" w:eastAsia="Arial" w:hAnsi="Arial"/>
          <w:sz w:val="8"/>
          <w:szCs w:val="8"/>
          <w:color w:val="808080"/>
        </w:rPr>
        <w:t>Port Moresby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Annexure A – Amended Facility Agreement</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National Australia Bank Limited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Reading Entertainment Australia Group</w:t>
      </w:r>
    </w:p>
    <w:p>
      <w:pPr>
        <w:spacing w:after="0" w:line="200" w:lineRule="exact"/>
        <w:rPr>
          <w:sz w:val="20"/>
          <w:szCs w:val="20"/>
          <w:color w:val="auto"/>
        </w:rPr>
      </w:pPr>
    </w:p>
    <w:p>
      <w:pPr>
        <w:spacing w:after="0" w:line="355" w:lineRule="exact"/>
        <w:rPr>
          <w:sz w:val="20"/>
          <w:szCs w:val="20"/>
          <w:color w:val="auto"/>
        </w:rPr>
      </w:pPr>
    </w:p>
    <w:p>
      <w:pPr>
        <w:ind w:left="320"/>
        <w:spacing w:after="0"/>
        <w:rPr>
          <w:sz w:val="20"/>
          <w:szCs w:val="20"/>
          <w:color w:val="auto"/>
        </w:rPr>
      </w:pPr>
      <w:r>
        <w:rPr>
          <w:rFonts w:ascii="Arial" w:cs="Arial" w:eastAsia="Arial" w:hAnsi="Arial"/>
          <w:sz w:val="39"/>
          <w:szCs w:val="39"/>
          <w:color w:val="12395C"/>
        </w:rPr>
        <w:t>Corporate Markets Loan &amp; Bank Guarantee Facility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69"/>
        </w:trPr>
        <w:tc>
          <w:tcPr>
            <w:tcW w:w="500" w:type="dxa"/>
            <w:vAlign w:val="bottom"/>
            <w:gridSpan w:val="2"/>
          </w:tcPr>
          <w:p>
            <w:pPr>
              <w:spacing w:after="0"/>
              <w:rPr>
                <w:sz w:val="20"/>
                <w:szCs w:val="20"/>
                <w:color w:val="auto"/>
              </w:rPr>
            </w:pPr>
            <w:r>
              <w:rPr>
                <w:rFonts w:ascii="Arial" w:cs="Arial" w:eastAsia="Arial" w:hAnsi="Arial"/>
                <w:sz w:val="6"/>
                <w:szCs w:val="6"/>
                <w:color w:val="auto"/>
                <w:w w:val="94"/>
              </w:rPr>
              <w:t>Ref: BMH/</w:t>
            </w:r>
            <w:r>
              <w:rPr>
                <w:rFonts w:ascii="Arial" w:cs="Arial" w:eastAsia="Arial" w:hAnsi="Arial"/>
                <w:sz w:val="6"/>
                <w:szCs w:val="6"/>
                <w:color w:val="2D96D2"/>
                <w:w w:val="94"/>
              </w:rPr>
              <w:t>OSM</w:t>
            </w:r>
            <w:r>
              <w:rPr>
                <w:rFonts w:ascii="Arial" w:cs="Arial" w:eastAsia="Arial" w:hAnsi="Arial"/>
                <w:sz w:val="6"/>
                <w:szCs w:val="6"/>
                <w:color w:val="B5082D"/>
                <w:w w:val="94"/>
              </w:rPr>
              <w:t>MH</w:t>
            </w:r>
          </w:p>
        </w:tc>
        <w:tc>
          <w:tcPr>
            <w:tcW w:w="1480" w:type="dxa"/>
            <w:vAlign w:val="bottom"/>
            <w:gridSpan w:val="2"/>
          </w:tcPr>
          <w:p>
            <w:pPr>
              <w:ind w:left="240"/>
              <w:spacing w:after="0"/>
              <w:rPr>
                <w:sz w:val="20"/>
                <w:szCs w:val="20"/>
                <w:color w:val="auto"/>
              </w:rPr>
            </w:pPr>
            <w:r>
              <w:rPr>
                <w:rFonts w:ascii="Arial" w:cs="Arial" w:eastAsia="Arial" w:hAnsi="Arial"/>
                <w:sz w:val="6"/>
                <w:szCs w:val="6"/>
                <w:color w:val="auto"/>
                <w:w w:val="96"/>
              </w:rPr>
              <w:t xml:space="preserve">9143151 </w:t>
            </w:r>
            <w:r>
              <w:rPr>
                <w:rFonts w:ascii="Arial" w:cs="Arial" w:eastAsia="Arial" w:hAnsi="Arial"/>
                <w:sz w:val="6"/>
                <w:szCs w:val="6"/>
                <w:color w:val="2D96D2"/>
                <w:w w:val="96"/>
              </w:rPr>
              <w:t>3468-7174-2245v7</w:t>
            </w:r>
            <w:r>
              <w:rPr>
                <w:rFonts w:ascii="Arial" w:cs="Arial" w:eastAsia="Arial" w:hAnsi="Arial"/>
                <w:sz w:val="6"/>
                <w:szCs w:val="6"/>
                <w:color w:val="B5082D"/>
                <w:w w:val="96"/>
              </w:rPr>
              <w:t>3468-7174-2245v2</w:t>
            </w:r>
          </w:p>
        </w:tc>
      </w:tr>
      <w:tr>
        <w:trPr>
          <w:trHeight w:val="20"/>
        </w:trPr>
        <w:tc>
          <w:tcPr>
            <w:tcW w:w="420" w:type="dxa"/>
            <w:vAlign w:val="bottom"/>
          </w:tcPr>
          <w:p>
            <w:pPr>
              <w:spacing w:after="0" w:line="20" w:lineRule="exact"/>
              <w:rPr>
                <w:sz w:val="1"/>
                <w:szCs w:val="1"/>
                <w:color w:val="auto"/>
              </w:rPr>
            </w:pPr>
          </w:p>
        </w:tc>
        <w:tc>
          <w:tcPr>
            <w:tcW w:w="80" w:type="dxa"/>
            <w:vAlign w:val="bottom"/>
            <w:shd w:val="clear" w:color="auto" w:fill="B5082D"/>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B5082D"/>
          </w:tcPr>
          <w:p>
            <w:pPr>
              <w:spacing w:after="0" w:line="20" w:lineRule="exact"/>
              <w:rPr>
                <w:sz w:val="1"/>
                <w:szCs w:val="1"/>
                <w:color w:val="auto"/>
              </w:rPr>
            </w:pPr>
          </w:p>
        </w:tc>
      </w:tr>
    </w:tbl>
    <w:p>
      <w:pPr>
        <w:spacing w:after="0" w:line="39" w:lineRule="exact"/>
        <w:rPr>
          <w:sz w:val="20"/>
          <w:szCs w:val="20"/>
          <w:color w:val="auto"/>
        </w:rPr>
      </w:pPr>
    </w:p>
    <w:p>
      <w:pPr>
        <w:ind w:left="320"/>
        <w:spacing w:after="0"/>
        <w:rPr>
          <w:sz w:val="20"/>
          <w:szCs w:val="20"/>
          <w:color w:val="auto"/>
        </w:rPr>
      </w:pPr>
      <w:r>
        <w:rPr>
          <w:rFonts w:ascii="Arial" w:cs="Arial" w:eastAsia="Arial" w:hAnsi="Arial"/>
          <w:sz w:val="6"/>
          <w:szCs w:val="6"/>
          <w:color w:val="auto"/>
        </w:rPr>
        <w:t>© Corrs Chambers Westgarth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189865</wp:posOffset>
            </wp:positionV>
            <wp:extent cx="592645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880"/>
          </w:cols>
          <w:pgMar w:left="1440" w:top="565" w:right="580" w:bottom="1440" w:gutter="0" w:footer="0" w:header="0"/>
        </w:sectPr>
      </w:pPr>
    </w:p>
    <w:bookmarkStart w:id="64" w:name="page65"/>
    <w:bookmarkEnd w:id="64"/>
    <w:p>
      <w:pPr>
        <w:spacing w:after="0"/>
        <w:rPr>
          <w:sz w:val="20"/>
          <w:szCs w:val="20"/>
          <w:color w:val="auto"/>
        </w:rPr>
      </w:pPr>
      <w:r>
        <w:rPr>
          <w:rFonts w:ascii="Arial" w:cs="Arial" w:eastAsia="Arial" w:hAnsi="Arial"/>
          <w:sz w:val="11"/>
          <w:szCs w:val="11"/>
          <w:color w:val="auto"/>
        </w:rPr>
        <w:t>Corrs Chambers Westgarth</w:t>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Contents</w:t>
      </w:r>
    </w:p>
    <w:tbl>
      <w:tblPr>
        <w:tblLayout w:type="fixed"/>
        <w:tblInd w:w="0" w:type="dxa"/>
        <w:tblCellMar>
          <w:top w:w="0" w:type="dxa"/>
          <w:left w:w="0" w:type="dxa"/>
          <w:bottom w:w="0" w:type="dxa"/>
          <w:right w:w="0" w:type="dxa"/>
        </w:tblCellMar>
      </w:tblPr>
      <w:tr>
        <w:trPr>
          <w:trHeight w:val="126"/>
        </w:trPr>
        <w:tc>
          <w:tcPr>
            <w:tcW w:w="820" w:type="dxa"/>
            <w:vAlign w:val="bottom"/>
            <w:gridSpan w:val="2"/>
          </w:tcPr>
          <w:p>
            <w:pPr>
              <w:spacing w:after="0"/>
              <w:rPr>
                <w:rFonts w:ascii="Arial" w:cs="Arial" w:eastAsia="Arial" w:hAnsi="Arial"/>
                <w:sz w:val="11"/>
                <w:szCs w:val="11"/>
                <w:color w:val="0000EE"/>
              </w:rPr>
            </w:pPr>
            <w:hyperlink w:anchor="page69">
              <w:r>
                <w:rPr>
                  <w:rFonts w:ascii="Arial" w:cs="Arial" w:eastAsia="Arial" w:hAnsi="Arial"/>
                  <w:sz w:val="11"/>
                  <w:szCs w:val="11"/>
                  <w:color w:val="0000EE"/>
                </w:rPr>
                <w:t>1</w:t>
              </w:r>
              <w:r>
                <w:rPr>
                  <w:rFonts w:ascii="Arial" w:cs="Arial" w:eastAsia="Arial" w:hAnsi="Arial"/>
                  <w:sz w:val="11"/>
                  <w:szCs w:val="11"/>
                  <w:color w:val="000000"/>
                </w:rPr>
                <w:t>​</w:t>
              </w:r>
            </w:hyperlink>
          </w:p>
        </w:tc>
        <w:tc>
          <w:tcPr>
            <w:tcW w:w="5620" w:type="dxa"/>
            <w:vAlign w:val="bottom"/>
            <w:gridSpan w:val="30"/>
          </w:tcPr>
          <w:p>
            <w:pPr>
              <w:spacing w:after="0"/>
              <w:rPr>
                <w:rFonts w:ascii="Arial" w:cs="Arial" w:eastAsia="Arial" w:hAnsi="Arial"/>
                <w:sz w:val="11"/>
                <w:szCs w:val="11"/>
                <w:color w:val="0000EE"/>
              </w:rPr>
            </w:pPr>
            <w:hyperlink w:anchor="page69">
              <w:r>
                <w:rPr>
                  <w:rFonts w:ascii="Arial" w:cs="Arial" w:eastAsia="Arial" w:hAnsi="Arial"/>
                  <w:sz w:val="11"/>
                  <w:szCs w:val="11"/>
                  <w:color w:val="0000EE"/>
                </w:rPr>
                <w:t>Interpretation</w:t>
              </w:r>
            </w:hyperlink>
          </w:p>
        </w:tc>
        <w:tc>
          <w:tcPr>
            <w:tcW w:w="2820" w:type="dxa"/>
            <w:vAlign w:val="bottom"/>
          </w:tcPr>
          <w:p>
            <w:pPr>
              <w:ind w:left="2000"/>
              <w:spacing w:after="0"/>
              <w:rPr>
                <w:sz w:val="20"/>
                <w:szCs w:val="20"/>
                <w:color w:val="auto"/>
              </w:rPr>
            </w:pPr>
            <w:r>
              <w:rPr>
                <w:rFonts w:ascii="Arial" w:cs="Arial" w:eastAsia="Arial" w:hAnsi="Arial"/>
                <w:sz w:val="11"/>
                <w:szCs w:val="11"/>
                <w:color w:val="auto"/>
              </w:rPr>
              <w:t>1</w:t>
            </w: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r>
        <w:trPr>
          <w:trHeight w:val="83"/>
        </w:trPr>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line="83" w:lineRule="exact"/>
              <w:rPr>
                <w:rFonts w:ascii="Arial" w:cs="Arial" w:eastAsia="Arial" w:hAnsi="Arial"/>
                <w:sz w:val="9"/>
                <w:szCs w:val="9"/>
                <w:color w:val="0000EE"/>
              </w:rPr>
            </w:pPr>
            <w:hyperlink w:anchor="page69">
              <w:r>
                <w:rPr>
                  <w:rFonts w:ascii="Arial" w:cs="Arial" w:eastAsia="Arial" w:hAnsi="Arial"/>
                  <w:sz w:val="9"/>
                  <w:szCs w:val="9"/>
                  <w:color w:val="0000EE"/>
                </w:rPr>
                <w:t>1.</w:t>
              </w:r>
              <w:r>
                <w:rPr>
                  <w:rFonts w:ascii="Arial" w:cs="Arial" w:eastAsia="Arial" w:hAnsi="Arial"/>
                  <w:sz w:val="9"/>
                  <w:szCs w:val="9"/>
                  <w:u w:val="single" w:color="auto"/>
                  <w:color w:val="0000EE"/>
                </w:rPr>
                <w:t>1</w:t>
              </w:r>
            </w:hyperlink>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940" w:type="dxa"/>
            <w:vAlign w:val="bottom"/>
            <w:gridSpan w:val="25"/>
          </w:tcPr>
          <w:p>
            <w:pPr>
              <w:spacing w:after="0" w:line="83" w:lineRule="exact"/>
              <w:rPr>
                <w:rFonts w:ascii="Arial" w:cs="Arial" w:eastAsia="Arial" w:hAnsi="Arial"/>
                <w:sz w:val="9"/>
                <w:szCs w:val="9"/>
                <w:color w:val="0000EE"/>
              </w:rPr>
            </w:pPr>
            <w:hyperlink w:anchor="page69">
              <w:r>
                <w:rPr>
                  <w:rFonts w:ascii="Arial" w:cs="Arial" w:eastAsia="Arial" w:hAnsi="Arial"/>
                  <w:sz w:val="9"/>
                  <w:szCs w:val="9"/>
                  <w:color w:val="0000EE"/>
                </w:rPr>
                <w:t>Definitions</w:t>
              </w:r>
            </w:hyperlink>
          </w:p>
        </w:tc>
        <w:tc>
          <w:tcPr>
            <w:tcW w:w="2820" w:type="dxa"/>
            <w:vAlign w:val="bottom"/>
          </w:tcPr>
          <w:p>
            <w:pPr>
              <w:ind w:left="2000"/>
              <w:spacing w:after="0" w:line="83" w:lineRule="exact"/>
              <w:rPr>
                <w:sz w:val="20"/>
                <w:szCs w:val="20"/>
                <w:color w:val="auto"/>
              </w:rPr>
            </w:pPr>
            <w:r>
              <w:rPr>
                <w:rFonts w:ascii="Arial" w:cs="Arial" w:eastAsia="Arial" w:hAnsi="Arial"/>
                <w:sz w:val="9"/>
                <w:szCs w:val="9"/>
                <w:color w:val="auto"/>
              </w:rPr>
              <w:t>1</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rFonts w:ascii="Arial" w:cs="Arial" w:eastAsia="Arial" w:hAnsi="Arial"/>
                <w:sz w:val="11"/>
                <w:szCs w:val="11"/>
                <w:color w:val="0000EE"/>
                <w:w w:val="91"/>
              </w:rPr>
            </w:pPr>
            <w:hyperlink w:anchor="page91">
              <w:r>
                <w:rPr>
                  <w:rFonts w:ascii="Arial" w:cs="Arial" w:eastAsia="Arial" w:hAnsi="Arial"/>
                  <w:sz w:val="11"/>
                  <w:szCs w:val="11"/>
                  <w:color w:val="0000EE"/>
                  <w:w w:val="91"/>
                </w:rPr>
                <w:t>1.</w:t>
              </w:r>
              <w:r>
                <w:rPr>
                  <w:rFonts w:ascii="Arial" w:cs="Arial" w:eastAsia="Arial" w:hAnsi="Arial"/>
                  <w:sz w:val="11"/>
                  <w:szCs w:val="11"/>
                  <w:u w:val="single" w:color="auto"/>
                  <w:color w:val="0000EE"/>
                  <w:w w:val="91"/>
                </w:rPr>
                <w:t>2</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Borders>
              <w:bottom w:val="single" w:sz="8" w:color="0000EE"/>
            </w:tcBorders>
            <w:gridSpan w:val="9"/>
          </w:tcPr>
          <w:p>
            <w:pPr>
              <w:spacing w:after="0" w:line="115" w:lineRule="exact"/>
              <w:rPr>
                <w:rFonts w:ascii="Arial" w:cs="Arial" w:eastAsia="Arial" w:hAnsi="Arial"/>
                <w:sz w:val="11"/>
                <w:szCs w:val="11"/>
                <w:color w:val="0000EE"/>
                <w:w w:val="93"/>
              </w:rPr>
            </w:pPr>
            <w:hyperlink w:anchor="page91">
              <w:r>
                <w:rPr>
                  <w:rFonts w:ascii="Arial" w:cs="Arial" w:eastAsia="Arial" w:hAnsi="Arial"/>
                  <w:sz w:val="11"/>
                  <w:szCs w:val="11"/>
                  <w:color w:val="0000EE"/>
                  <w:w w:val="93"/>
                </w:rPr>
                <w:t>Construction</w:t>
              </w:r>
            </w:hyperlink>
          </w:p>
        </w:tc>
        <w:tc>
          <w:tcPr>
            <w:tcW w:w="4320" w:type="dxa"/>
            <w:vAlign w:val="bottom"/>
            <w:gridSpan w:val="16"/>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23</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rFonts w:ascii="Arial" w:cs="Arial" w:eastAsia="Arial" w:hAnsi="Arial"/>
                <w:sz w:val="11"/>
                <w:szCs w:val="11"/>
                <w:color w:val="0000EE"/>
                <w:w w:val="91"/>
              </w:rPr>
            </w:pPr>
            <w:hyperlink w:anchor="page92">
              <w:r>
                <w:rPr>
                  <w:rFonts w:ascii="Arial" w:cs="Arial" w:eastAsia="Arial" w:hAnsi="Arial"/>
                  <w:sz w:val="11"/>
                  <w:szCs w:val="11"/>
                  <w:color w:val="0000EE"/>
                  <w:w w:val="91"/>
                </w:rPr>
                <w:t>1.</w:t>
              </w:r>
              <w:r>
                <w:rPr>
                  <w:rFonts w:ascii="Arial" w:cs="Arial" w:eastAsia="Arial" w:hAnsi="Arial"/>
                  <w:sz w:val="11"/>
                  <w:szCs w:val="11"/>
                  <w:u w:val="single" w:color="auto"/>
                  <w:color w:val="0000EE"/>
                  <w:w w:val="91"/>
                </w:rPr>
                <w:t>3</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bottom w:val="single" w:sz="8" w:color="0000EE"/>
            </w:tcBorders>
            <w:gridSpan w:val="6"/>
          </w:tcPr>
          <w:p>
            <w:pPr>
              <w:spacing w:after="0" w:line="115" w:lineRule="exact"/>
              <w:rPr>
                <w:rFonts w:ascii="Arial" w:cs="Arial" w:eastAsia="Arial" w:hAnsi="Arial"/>
                <w:sz w:val="11"/>
                <w:szCs w:val="11"/>
                <w:color w:val="0000EE"/>
                <w:w w:val="94"/>
              </w:rPr>
            </w:pPr>
            <w:hyperlink w:anchor="page92">
              <w:r>
                <w:rPr>
                  <w:rFonts w:ascii="Arial" w:cs="Arial" w:eastAsia="Arial" w:hAnsi="Arial"/>
                  <w:sz w:val="11"/>
                  <w:szCs w:val="11"/>
                  <w:color w:val="0000EE"/>
                  <w:w w:val="94"/>
                </w:rPr>
                <w:t>Headings</w:t>
              </w:r>
            </w:hyperlink>
          </w:p>
        </w:tc>
        <w:tc>
          <w:tcPr>
            <w:tcW w:w="4460" w:type="dxa"/>
            <w:vAlign w:val="bottom"/>
            <w:gridSpan w:val="19"/>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24</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rFonts w:ascii="Arial" w:cs="Arial" w:eastAsia="Arial" w:hAnsi="Arial"/>
                <w:sz w:val="11"/>
                <w:szCs w:val="11"/>
                <w:color w:val="0000EE"/>
                <w:w w:val="91"/>
              </w:rPr>
            </w:pPr>
            <w:hyperlink w:anchor="page92">
              <w:r>
                <w:rPr>
                  <w:rFonts w:ascii="Arial" w:cs="Arial" w:eastAsia="Arial" w:hAnsi="Arial"/>
                  <w:sz w:val="11"/>
                  <w:szCs w:val="11"/>
                  <w:color w:val="0000EE"/>
                  <w:w w:val="91"/>
                </w:rPr>
                <w:t>1.</w:t>
              </w:r>
              <w:r>
                <w:rPr>
                  <w:rFonts w:ascii="Arial" w:cs="Arial" w:eastAsia="Arial" w:hAnsi="Arial"/>
                  <w:sz w:val="11"/>
                  <w:szCs w:val="11"/>
                  <w:u w:val="single" w:color="auto"/>
                  <w:color w:val="0000EE"/>
                  <w:w w:val="91"/>
                </w:rPr>
                <w:t>4</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tcBorders>
              <w:bottom w:val="single" w:sz="8" w:color="0000EE"/>
            </w:tcBorders>
            <w:gridSpan w:val="22"/>
          </w:tcPr>
          <w:p>
            <w:pPr>
              <w:spacing w:after="0" w:line="115" w:lineRule="exact"/>
              <w:rPr>
                <w:rFonts w:ascii="Arial" w:cs="Arial" w:eastAsia="Arial" w:hAnsi="Arial"/>
                <w:sz w:val="11"/>
                <w:szCs w:val="11"/>
                <w:color w:val="0000EE"/>
                <w:w w:val="99"/>
              </w:rPr>
            </w:pPr>
            <w:hyperlink w:anchor="page92">
              <w:r>
                <w:rPr>
                  <w:rFonts w:ascii="Arial" w:cs="Arial" w:eastAsia="Arial" w:hAnsi="Arial"/>
                  <w:sz w:val="11"/>
                  <w:szCs w:val="11"/>
                  <w:color w:val="0000EE"/>
                  <w:w w:val="99"/>
                </w:rPr>
                <w:t>Corporate Act, GST and Accounting Standards</w:t>
              </w:r>
            </w:hyperlink>
          </w:p>
        </w:tc>
        <w:tc>
          <w:tcPr>
            <w:tcW w:w="2640" w:type="dxa"/>
            <w:vAlign w:val="bottom"/>
            <w:gridSpan w:val="3"/>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24</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line="115" w:lineRule="exact"/>
              <w:rPr>
                <w:rFonts w:ascii="Arial" w:cs="Arial" w:eastAsia="Arial" w:hAnsi="Arial"/>
                <w:sz w:val="11"/>
                <w:szCs w:val="11"/>
                <w:color w:val="0000EE"/>
                <w:w w:val="91"/>
              </w:rPr>
            </w:pPr>
            <w:hyperlink w:anchor="page92">
              <w:r>
                <w:rPr>
                  <w:rFonts w:ascii="Arial" w:cs="Arial" w:eastAsia="Arial" w:hAnsi="Arial"/>
                  <w:sz w:val="11"/>
                  <w:szCs w:val="11"/>
                  <w:color w:val="0000EE"/>
                  <w:w w:val="91"/>
                </w:rPr>
                <w:t>1.</w:t>
              </w:r>
              <w:r>
                <w:rPr>
                  <w:rFonts w:ascii="Arial" w:cs="Arial" w:eastAsia="Arial" w:hAnsi="Arial"/>
                  <w:sz w:val="11"/>
                  <w:szCs w:val="11"/>
                  <w:u w:val="single" w:color="auto"/>
                  <w:color w:val="0000EE"/>
                  <w:w w:val="91"/>
                </w:rPr>
                <w:t>5</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rFonts w:ascii="Arial" w:cs="Arial" w:eastAsia="Arial" w:hAnsi="Arial"/>
                <w:sz w:val="11"/>
                <w:szCs w:val="11"/>
                <w:color w:val="0000EE"/>
              </w:rPr>
            </w:pPr>
            <w:hyperlink w:anchor="page92">
              <w:r>
                <w:rPr>
                  <w:rFonts w:ascii="Arial" w:cs="Arial" w:eastAsia="Arial" w:hAnsi="Arial"/>
                  <w:sz w:val="11"/>
                  <w:szCs w:val="11"/>
                  <w:color w:val="0000EE"/>
                </w:rPr>
                <w:t>Subsisting Events of Default and Potential Events of Defaul</w:t>
              </w:r>
            </w:hyperlink>
            <w:r>
              <w:rPr>
                <w:rFonts w:ascii="Arial" w:cs="Arial" w:eastAsia="Arial" w:hAnsi="Arial"/>
                <w:sz w:val="11"/>
                <w:szCs w:val="11"/>
                <w:color w:val="0000EE"/>
              </w:rPr>
              <w:t>t</w:t>
            </w: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24</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top w:val="single" w:sz="8" w:color="0000EE"/>
            </w:tcBorders>
          </w:tcPr>
          <w:p>
            <w:pPr>
              <w:spacing w:after="0" w:line="115" w:lineRule="exact"/>
              <w:rPr>
                <w:rFonts w:ascii="Arial" w:cs="Arial" w:eastAsia="Arial" w:hAnsi="Arial"/>
                <w:sz w:val="11"/>
                <w:szCs w:val="11"/>
                <w:color w:val="0000EE"/>
                <w:w w:val="91"/>
              </w:rPr>
            </w:pPr>
            <w:hyperlink w:anchor="page92">
              <w:r>
                <w:rPr>
                  <w:rFonts w:ascii="Arial" w:cs="Arial" w:eastAsia="Arial" w:hAnsi="Arial"/>
                  <w:sz w:val="11"/>
                  <w:szCs w:val="11"/>
                  <w:color w:val="0000EE"/>
                  <w:w w:val="91"/>
                </w:rPr>
                <w:t>1.</w:t>
              </w:r>
              <w:r>
                <w:rPr>
                  <w:rFonts w:ascii="Arial" w:cs="Arial" w:eastAsia="Arial" w:hAnsi="Arial"/>
                  <w:sz w:val="11"/>
                  <w:szCs w:val="11"/>
                  <w:u w:val="single" w:color="auto"/>
                  <w:color w:val="0000EE"/>
                  <w:w w:val="91"/>
                </w:rPr>
                <w:t>6</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20" w:type="dxa"/>
            <w:vAlign w:val="bottom"/>
            <w:tcBorders>
              <w:top w:val="single" w:sz="8" w:color="0000EE"/>
            </w:tcBorders>
            <w:gridSpan w:val="24"/>
          </w:tcPr>
          <w:p>
            <w:pPr>
              <w:spacing w:after="0" w:line="115" w:lineRule="exact"/>
              <w:rPr>
                <w:rFonts w:ascii="Arial" w:cs="Arial" w:eastAsia="Arial" w:hAnsi="Arial"/>
                <w:sz w:val="11"/>
                <w:szCs w:val="11"/>
                <w:color w:val="0000EE"/>
              </w:rPr>
            </w:pPr>
            <w:hyperlink w:anchor="page92">
              <w:r>
                <w:rPr>
                  <w:rFonts w:ascii="Arial" w:cs="Arial" w:eastAsia="Arial" w:hAnsi="Arial"/>
                  <w:sz w:val="11"/>
                  <w:szCs w:val="11"/>
                  <w:color w:val="0000EE"/>
                </w:rPr>
                <w:t>Not used</w:t>
              </w:r>
            </w:hyperlink>
          </w:p>
        </w:tc>
        <w:tc>
          <w:tcPr>
            <w:tcW w:w="2020" w:type="dxa"/>
            <w:vAlign w:val="bottom"/>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24</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line="115" w:lineRule="exact"/>
              <w:rPr>
                <w:rFonts w:ascii="Arial" w:cs="Arial" w:eastAsia="Arial" w:hAnsi="Arial"/>
                <w:sz w:val="11"/>
                <w:szCs w:val="11"/>
                <w:color w:val="0000EE"/>
                <w:w w:val="91"/>
              </w:rPr>
            </w:pPr>
            <w:hyperlink w:anchor="page92">
              <w:r>
                <w:rPr>
                  <w:rFonts w:ascii="Arial" w:cs="Arial" w:eastAsia="Arial" w:hAnsi="Arial"/>
                  <w:sz w:val="11"/>
                  <w:szCs w:val="11"/>
                  <w:color w:val="0000EE"/>
                  <w:w w:val="91"/>
                </w:rPr>
                <w:t>1.</w:t>
              </w:r>
              <w:r>
                <w:rPr>
                  <w:rFonts w:ascii="Arial" w:cs="Arial" w:eastAsia="Arial" w:hAnsi="Arial"/>
                  <w:sz w:val="11"/>
                  <w:szCs w:val="11"/>
                  <w:u w:val="single" w:color="auto"/>
                  <w:color w:val="0000EE"/>
                  <w:w w:val="91"/>
                </w:rPr>
                <w:t>7</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rFonts w:ascii="Arial" w:cs="Arial" w:eastAsia="Arial" w:hAnsi="Arial"/>
                <w:sz w:val="11"/>
                <w:szCs w:val="11"/>
                <w:color w:val="0000EE"/>
              </w:rPr>
            </w:pPr>
            <w:hyperlink w:anchor="page92">
              <w:r>
                <w:rPr>
                  <w:rFonts w:ascii="Arial" w:cs="Arial" w:eastAsia="Arial" w:hAnsi="Arial"/>
                  <w:sz w:val="11"/>
                  <w:szCs w:val="11"/>
                  <w:color w:val="0000EE"/>
                </w:rPr>
                <w:t>Inconsistency</w:t>
              </w:r>
            </w:hyperlink>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24</w:t>
            </w:r>
          </w:p>
        </w:tc>
      </w:tr>
      <w:tr>
        <w:trPr>
          <w:trHeight w:val="20"/>
        </w:trPr>
        <w:tc>
          <w:tcPr>
            <w:tcW w:w="82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820" w:type="dxa"/>
            <w:vAlign w:val="bottom"/>
            <w:gridSpan w:val="2"/>
          </w:tcPr>
          <w:p>
            <w:pPr>
              <w:spacing w:after="0" w:line="115" w:lineRule="exact"/>
              <w:rPr>
                <w:rFonts w:ascii="Arial" w:cs="Arial" w:eastAsia="Arial" w:hAnsi="Arial"/>
                <w:sz w:val="11"/>
                <w:szCs w:val="11"/>
                <w:color w:val="0000EE"/>
              </w:rPr>
            </w:pPr>
            <w:hyperlink w:anchor="page93">
              <w:r>
                <w:rPr>
                  <w:rFonts w:ascii="Arial" w:cs="Arial" w:eastAsia="Arial" w:hAnsi="Arial"/>
                  <w:sz w:val="11"/>
                  <w:szCs w:val="11"/>
                  <w:color w:val="0000EE"/>
                </w:rPr>
                <w:t>2</w:t>
              </w:r>
              <w:r>
                <w:rPr>
                  <w:rFonts w:ascii="Arial" w:cs="Arial" w:eastAsia="Arial" w:hAnsi="Arial"/>
                  <w:sz w:val="11"/>
                  <w:szCs w:val="11"/>
                  <w:color w:val="000000"/>
                </w:rPr>
                <w:t>​</w:t>
              </w:r>
            </w:hyperlink>
          </w:p>
        </w:tc>
        <w:tc>
          <w:tcPr>
            <w:tcW w:w="5620" w:type="dxa"/>
            <w:vAlign w:val="bottom"/>
            <w:gridSpan w:val="30"/>
          </w:tcPr>
          <w:p>
            <w:pPr>
              <w:spacing w:after="0" w:line="115" w:lineRule="exact"/>
              <w:rPr>
                <w:rFonts w:ascii="Arial" w:cs="Arial" w:eastAsia="Arial" w:hAnsi="Arial"/>
                <w:sz w:val="11"/>
                <w:szCs w:val="11"/>
                <w:color w:val="0000EE"/>
              </w:rPr>
            </w:pPr>
            <w:hyperlink w:anchor="page93">
              <w:r>
                <w:rPr>
                  <w:rFonts w:ascii="Arial" w:cs="Arial" w:eastAsia="Arial" w:hAnsi="Arial"/>
                  <w:sz w:val="11"/>
                  <w:szCs w:val="11"/>
                  <w:color w:val="0000EE"/>
                </w:rPr>
                <w:t>Consideration</w:t>
              </w:r>
            </w:hyperlink>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25</w:t>
            </w: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r>
        <w:trPr>
          <w:trHeight w:val="83"/>
        </w:trPr>
        <w:tc>
          <w:tcPr>
            <w:tcW w:w="820" w:type="dxa"/>
            <w:vAlign w:val="bottom"/>
            <w:gridSpan w:val="2"/>
          </w:tcPr>
          <w:p>
            <w:pPr>
              <w:spacing w:after="0" w:line="83" w:lineRule="exact"/>
              <w:rPr>
                <w:rFonts w:ascii="Arial" w:cs="Arial" w:eastAsia="Arial" w:hAnsi="Arial"/>
                <w:sz w:val="9"/>
                <w:szCs w:val="9"/>
                <w:color w:val="0000EE"/>
              </w:rPr>
            </w:pPr>
            <w:hyperlink w:anchor="page93">
              <w:r>
                <w:rPr>
                  <w:rFonts w:ascii="Arial" w:cs="Arial" w:eastAsia="Arial" w:hAnsi="Arial"/>
                  <w:sz w:val="9"/>
                  <w:szCs w:val="9"/>
                  <w:color w:val="0000EE"/>
                </w:rPr>
                <w:t>3</w:t>
              </w:r>
              <w:r>
                <w:rPr>
                  <w:rFonts w:ascii="Arial" w:cs="Arial" w:eastAsia="Arial" w:hAnsi="Arial"/>
                  <w:sz w:val="9"/>
                  <w:szCs w:val="9"/>
                  <w:color w:val="000000"/>
                </w:rPr>
                <w:t>​</w:t>
              </w:r>
            </w:hyperlink>
          </w:p>
        </w:tc>
        <w:tc>
          <w:tcPr>
            <w:tcW w:w="5620" w:type="dxa"/>
            <w:vAlign w:val="bottom"/>
            <w:gridSpan w:val="30"/>
          </w:tcPr>
          <w:p>
            <w:pPr>
              <w:spacing w:after="0" w:line="83" w:lineRule="exact"/>
              <w:rPr>
                <w:rFonts w:ascii="Arial" w:cs="Arial" w:eastAsia="Arial" w:hAnsi="Arial"/>
                <w:sz w:val="9"/>
                <w:szCs w:val="9"/>
                <w:color w:val="0000EE"/>
              </w:rPr>
            </w:pPr>
            <w:hyperlink w:anchor="page93">
              <w:r>
                <w:rPr>
                  <w:rFonts w:ascii="Arial" w:cs="Arial" w:eastAsia="Arial" w:hAnsi="Arial"/>
                  <w:sz w:val="9"/>
                  <w:szCs w:val="9"/>
                  <w:color w:val="0000EE"/>
                </w:rPr>
                <w:t>Conditions precedent</w:t>
              </w:r>
            </w:hyperlink>
          </w:p>
        </w:tc>
        <w:tc>
          <w:tcPr>
            <w:tcW w:w="2820" w:type="dxa"/>
            <w:vAlign w:val="bottom"/>
          </w:tcPr>
          <w:p>
            <w:pPr>
              <w:ind w:left="2000"/>
              <w:spacing w:after="0" w:line="83" w:lineRule="exact"/>
              <w:rPr>
                <w:sz w:val="20"/>
                <w:szCs w:val="20"/>
                <w:color w:val="auto"/>
              </w:rPr>
            </w:pPr>
            <w:r>
              <w:rPr>
                <w:rFonts w:ascii="Arial" w:cs="Arial" w:eastAsia="Arial" w:hAnsi="Arial"/>
                <w:sz w:val="9"/>
                <w:szCs w:val="9"/>
                <w:color w:val="auto"/>
              </w:rPr>
              <w:t>25</w:t>
            </w: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r>
        <w:trPr>
          <w:trHeight w:val="83"/>
        </w:trPr>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line="83" w:lineRule="exact"/>
              <w:rPr>
                <w:rFonts w:ascii="Arial" w:cs="Arial" w:eastAsia="Arial" w:hAnsi="Arial"/>
                <w:sz w:val="9"/>
                <w:szCs w:val="9"/>
                <w:color w:val="0000EE"/>
              </w:rPr>
            </w:pPr>
            <w:hyperlink w:anchor="page93">
              <w:r>
                <w:rPr>
                  <w:rFonts w:ascii="Arial" w:cs="Arial" w:eastAsia="Arial" w:hAnsi="Arial"/>
                  <w:sz w:val="9"/>
                  <w:szCs w:val="9"/>
                  <w:color w:val="0000EE"/>
                </w:rPr>
                <w:t>3.</w:t>
              </w:r>
              <w:r>
                <w:rPr>
                  <w:rFonts w:ascii="Arial" w:cs="Arial" w:eastAsia="Arial" w:hAnsi="Arial"/>
                  <w:sz w:val="9"/>
                  <w:szCs w:val="9"/>
                  <w:u w:val="single" w:color="auto"/>
                  <w:color w:val="0000EE"/>
                </w:rPr>
                <w:t>1</w:t>
              </w:r>
            </w:hyperlink>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940" w:type="dxa"/>
            <w:vAlign w:val="bottom"/>
            <w:gridSpan w:val="25"/>
          </w:tcPr>
          <w:p>
            <w:pPr>
              <w:spacing w:after="0" w:line="83" w:lineRule="exact"/>
              <w:rPr>
                <w:rFonts w:ascii="Arial" w:cs="Arial" w:eastAsia="Arial" w:hAnsi="Arial"/>
                <w:sz w:val="9"/>
                <w:szCs w:val="9"/>
                <w:color w:val="0000EE"/>
              </w:rPr>
            </w:pPr>
            <w:hyperlink w:anchor="page93">
              <w:r>
                <w:rPr>
                  <w:rFonts w:ascii="Arial" w:cs="Arial" w:eastAsia="Arial" w:hAnsi="Arial"/>
                  <w:sz w:val="9"/>
                  <w:szCs w:val="9"/>
                  <w:color w:val="0000EE"/>
                </w:rPr>
                <w:t>Not used</w:t>
              </w:r>
            </w:hyperlink>
          </w:p>
        </w:tc>
        <w:tc>
          <w:tcPr>
            <w:tcW w:w="2820" w:type="dxa"/>
            <w:vAlign w:val="bottom"/>
          </w:tcPr>
          <w:p>
            <w:pPr>
              <w:ind w:left="2000"/>
              <w:spacing w:after="0" w:line="83" w:lineRule="exact"/>
              <w:rPr>
                <w:sz w:val="20"/>
                <w:szCs w:val="20"/>
                <w:color w:val="auto"/>
              </w:rPr>
            </w:pPr>
            <w:r>
              <w:rPr>
                <w:rFonts w:ascii="Arial" w:cs="Arial" w:eastAsia="Arial" w:hAnsi="Arial"/>
                <w:sz w:val="9"/>
                <w:szCs w:val="9"/>
                <w:color w:val="auto"/>
              </w:rPr>
              <w:t>25</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line="115" w:lineRule="exact"/>
              <w:rPr>
                <w:rFonts w:ascii="Arial" w:cs="Arial" w:eastAsia="Arial" w:hAnsi="Arial"/>
                <w:sz w:val="11"/>
                <w:szCs w:val="11"/>
                <w:color w:val="0000EE"/>
                <w:w w:val="91"/>
              </w:rPr>
            </w:pPr>
            <w:hyperlink w:anchor="page93">
              <w:r>
                <w:rPr>
                  <w:rFonts w:ascii="Arial" w:cs="Arial" w:eastAsia="Arial" w:hAnsi="Arial"/>
                  <w:sz w:val="11"/>
                  <w:szCs w:val="11"/>
                  <w:color w:val="0000EE"/>
                  <w:w w:val="91"/>
                </w:rPr>
                <w:t>3.</w:t>
              </w:r>
              <w:r>
                <w:rPr>
                  <w:rFonts w:ascii="Arial" w:cs="Arial" w:eastAsia="Arial" w:hAnsi="Arial"/>
                  <w:sz w:val="11"/>
                  <w:szCs w:val="11"/>
                  <w:u w:val="single" w:color="auto"/>
                  <w:color w:val="0000EE"/>
                  <w:w w:val="91"/>
                </w:rPr>
                <w:t>2</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rFonts w:ascii="Arial" w:cs="Arial" w:eastAsia="Arial" w:hAnsi="Arial"/>
                <w:sz w:val="11"/>
                <w:szCs w:val="11"/>
                <w:color w:val="0000EE"/>
              </w:rPr>
            </w:pPr>
            <w:hyperlink w:anchor="page93">
              <w:r>
                <w:rPr>
                  <w:rFonts w:ascii="Arial" w:cs="Arial" w:eastAsia="Arial" w:hAnsi="Arial"/>
                  <w:sz w:val="11"/>
                  <w:szCs w:val="11"/>
                  <w:color w:val="0000EE"/>
                </w:rPr>
                <w:t>Conditions precedent to Advances and Drawings</w:t>
              </w:r>
            </w:hyperlink>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25</w:t>
            </w:r>
          </w:p>
        </w:tc>
      </w:tr>
      <w:tr>
        <w:trPr>
          <w:trHeight w:val="20"/>
        </w:trPr>
        <w:tc>
          <w:tcPr>
            <w:tcW w:w="82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820" w:type="dxa"/>
            <w:vAlign w:val="bottom"/>
            <w:gridSpan w:val="2"/>
          </w:tcPr>
          <w:p>
            <w:pPr>
              <w:spacing w:after="0" w:line="115" w:lineRule="exact"/>
              <w:rPr>
                <w:rFonts w:ascii="Arial" w:cs="Arial" w:eastAsia="Arial" w:hAnsi="Arial"/>
                <w:sz w:val="11"/>
                <w:szCs w:val="11"/>
                <w:color w:val="0000EE"/>
              </w:rPr>
            </w:pPr>
            <w:hyperlink w:anchor="page93">
              <w:r>
                <w:rPr>
                  <w:rFonts w:ascii="Arial" w:cs="Arial" w:eastAsia="Arial" w:hAnsi="Arial"/>
                  <w:sz w:val="11"/>
                  <w:szCs w:val="11"/>
                  <w:color w:val="0000EE"/>
                </w:rPr>
                <w:t>4</w:t>
              </w:r>
              <w:r>
                <w:rPr>
                  <w:rFonts w:ascii="Arial" w:cs="Arial" w:eastAsia="Arial" w:hAnsi="Arial"/>
                  <w:sz w:val="11"/>
                  <w:szCs w:val="11"/>
                  <w:color w:val="000000"/>
                </w:rPr>
                <w:t>​</w:t>
              </w:r>
            </w:hyperlink>
          </w:p>
        </w:tc>
        <w:tc>
          <w:tcPr>
            <w:tcW w:w="680" w:type="dxa"/>
            <w:vAlign w:val="bottom"/>
            <w:gridSpan w:val="5"/>
          </w:tcPr>
          <w:p>
            <w:pPr>
              <w:spacing w:after="0" w:line="115" w:lineRule="exact"/>
              <w:rPr>
                <w:rFonts w:ascii="Arial" w:cs="Arial" w:eastAsia="Arial" w:hAnsi="Arial"/>
                <w:sz w:val="11"/>
                <w:szCs w:val="11"/>
                <w:color w:val="0000EE"/>
              </w:rPr>
            </w:pPr>
            <w:hyperlink w:anchor="page93">
              <w:r>
                <w:rPr>
                  <w:rFonts w:ascii="Arial" w:cs="Arial" w:eastAsia="Arial" w:hAnsi="Arial"/>
                  <w:sz w:val="11"/>
                  <w:szCs w:val="11"/>
                  <w:color w:val="0000EE"/>
                </w:rPr>
                <w:t>Facility</w:t>
              </w:r>
            </w:hyperlink>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25</w:t>
            </w: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r>
        <w:trPr>
          <w:trHeight w:val="83"/>
        </w:trPr>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Borders>
              <w:bottom w:val="single" w:sz="8" w:color="0000EE"/>
            </w:tcBorders>
          </w:tcPr>
          <w:p>
            <w:pPr>
              <w:spacing w:after="0" w:line="83" w:lineRule="exact"/>
              <w:rPr>
                <w:sz w:val="20"/>
                <w:szCs w:val="20"/>
                <w:color w:val="auto"/>
              </w:rPr>
            </w:pPr>
            <w:r>
              <w:rPr>
                <w:rFonts w:ascii="Arial" w:cs="Arial" w:eastAsia="Arial" w:hAnsi="Arial"/>
                <w:sz w:val="9"/>
                <w:szCs w:val="9"/>
                <w:color w:val="0000EE"/>
              </w:rPr>
              <w:t>4.</w:t>
            </w:r>
            <w:r>
              <w:rPr>
                <w:rFonts w:ascii="Arial" w:cs="Arial" w:eastAsia="Arial" w:hAnsi="Arial"/>
                <w:sz w:val="9"/>
                <w:szCs w:val="9"/>
                <w:u w:val="single" w:color="auto"/>
                <w:color w:val="0000EE"/>
              </w:rPr>
              <w:t>1</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Borders>
              <w:bottom w:val="single" w:sz="8" w:color="0000EE"/>
            </w:tcBorders>
            <w:gridSpan w:val="2"/>
          </w:tcPr>
          <w:p>
            <w:pPr>
              <w:spacing w:after="0" w:line="83" w:lineRule="exact"/>
              <w:rPr>
                <w:sz w:val="20"/>
                <w:szCs w:val="20"/>
                <w:color w:val="auto"/>
              </w:rPr>
            </w:pPr>
            <w:r>
              <w:rPr>
                <w:rFonts w:ascii="Arial" w:cs="Arial" w:eastAsia="Arial" w:hAnsi="Arial"/>
                <w:sz w:val="9"/>
                <w:szCs w:val="9"/>
                <w:color w:val="0000EE"/>
              </w:rPr>
              <w:t>Nature</w:t>
            </w:r>
          </w:p>
        </w:tc>
        <w:tc>
          <w:tcPr>
            <w:tcW w:w="4640" w:type="dxa"/>
            <w:vAlign w:val="bottom"/>
            <w:gridSpan w:val="23"/>
          </w:tcPr>
          <w:p>
            <w:pPr>
              <w:spacing w:after="0"/>
              <w:rPr>
                <w:sz w:val="7"/>
                <w:szCs w:val="7"/>
                <w:color w:val="auto"/>
              </w:rPr>
            </w:pPr>
          </w:p>
        </w:tc>
        <w:tc>
          <w:tcPr>
            <w:tcW w:w="2820" w:type="dxa"/>
            <w:vAlign w:val="bottom"/>
          </w:tcPr>
          <w:p>
            <w:pPr>
              <w:ind w:left="2000"/>
              <w:spacing w:after="0" w:line="83" w:lineRule="exact"/>
              <w:rPr>
                <w:sz w:val="20"/>
                <w:szCs w:val="20"/>
                <w:color w:val="auto"/>
              </w:rPr>
            </w:pPr>
            <w:r>
              <w:rPr>
                <w:rFonts w:ascii="Arial" w:cs="Arial" w:eastAsia="Arial" w:hAnsi="Arial"/>
                <w:sz w:val="9"/>
                <w:szCs w:val="9"/>
                <w:color w:val="auto"/>
              </w:rPr>
              <w:t>25</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sz w:val="20"/>
                <w:szCs w:val="20"/>
                <w:color w:val="auto"/>
              </w:rPr>
            </w:pPr>
            <w:r>
              <w:rPr>
                <w:rFonts w:ascii="Arial" w:cs="Arial" w:eastAsia="Arial" w:hAnsi="Arial"/>
                <w:sz w:val="11"/>
                <w:szCs w:val="11"/>
                <w:color w:val="0000EE"/>
                <w:w w:val="91"/>
              </w:rPr>
              <w:t>4.</w:t>
            </w:r>
            <w:r>
              <w:rPr>
                <w:rFonts w:ascii="Arial" w:cs="Arial" w:eastAsia="Arial" w:hAnsi="Arial"/>
                <w:sz w:val="11"/>
                <w:szCs w:val="11"/>
                <w:u w:val="single" w:color="auto"/>
                <w:color w:val="0000EE"/>
                <w:w w:val="91"/>
              </w:rPr>
              <w:t>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0000EE"/>
            </w:tcBorders>
            <w:gridSpan w:val="4"/>
          </w:tcPr>
          <w:p>
            <w:pPr>
              <w:spacing w:after="0" w:line="115" w:lineRule="exact"/>
              <w:rPr>
                <w:sz w:val="20"/>
                <w:szCs w:val="20"/>
                <w:color w:val="auto"/>
              </w:rPr>
            </w:pPr>
            <w:r>
              <w:rPr>
                <w:rFonts w:ascii="Arial" w:cs="Arial" w:eastAsia="Arial" w:hAnsi="Arial"/>
                <w:sz w:val="11"/>
                <w:szCs w:val="11"/>
                <w:color w:val="0000EE"/>
                <w:w w:val="87"/>
              </w:rPr>
              <w:t>Purpose</w:t>
            </w:r>
          </w:p>
        </w:tc>
        <w:tc>
          <w:tcPr>
            <w:tcW w:w="4540" w:type="dxa"/>
            <w:vAlign w:val="bottom"/>
            <w:gridSpan w:val="21"/>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25</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sz w:val="20"/>
                <w:szCs w:val="20"/>
                <w:color w:val="auto"/>
              </w:rPr>
            </w:pPr>
            <w:r>
              <w:rPr>
                <w:rFonts w:ascii="Arial" w:cs="Arial" w:eastAsia="Arial" w:hAnsi="Arial"/>
                <w:sz w:val="11"/>
                <w:szCs w:val="11"/>
                <w:color w:val="0000EE"/>
                <w:w w:val="91"/>
              </w:rPr>
              <w:t>4.</w:t>
            </w:r>
            <w:r>
              <w:rPr>
                <w:rFonts w:ascii="Arial" w:cs="Arial" w:eastAsia="Arial" w:hAnsi="Arial"/>
                <w:sz w:val="11"/>
                <w:szCs w:val="11"/>
                <w:u w:val="single" w:color="auto"/>
                <w:color w:val="0000EE"/>
                <w:w w:val="91"/>
              </w:rPr>
              <w:t>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bottom w:val="single" w:sz="8" w:color="0000EE"/>
            </w:tcBorders>
            <w:gridSpan w:val="17"/>
          </w:tcPr>
          <w:p>
            <w:pPr>
              <w:spacing w:after="0" w:line="115" w:lineRule="exact"/>
              <w:rPr>
                <w:sz w:val="20"/>
                <w:szCs w:val="20"/>
                <w:color w:val="auto"/>
              </w:rPr>
            </w:pPr>
            <w:r>
              <w:rPr>
                <w:rFonts w:ascii="Arial" w:cs="Arial" w:eastAsia="Arial" w:hAnsi="Arial"/>
                <w:sz w:val="11"/>
                <w:szCs w:val="11"/>
                <w:color w:val="0000EE"/>
                <w:w w:val="97"/>
              </w:rPr>
              <w:t>Advances and Drawings</w:t>
            </w:r>
          </w:p>
        </w:tc>
        <w:tc>
          <w:tcPr>
            <w:tcW w:w="3760" w:type="dxa"/>
            <w:vAlign w:val="bottom"/>
            <w:gridSpan w:val="8"/>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26</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sz w:val="20"/>
                <w:szCs w:val="20"/>
                <w:color w:val="auto"/>
              </w:rPr>
            </w:pPr>
            <w:r>
              <w:rPr>
                <w:rFonts w:ascii="Arial" w:cs="Arial" w:eastAsia="Arial" w:hAnsi="Arial"/>
                <w:sz w:val="11"/>
                <w:szCs w:val="11"/>
                <w:color w:val="0000EE"/>
                <w:w w:val="91"/>
              </w:rPr>
              <w:t>4.</w:t>
            </w:r>
            <w:r>
              <w:rPr>
                <w:rFonts w:ascii="Arial" w:cs="Arial" w:eastAsia="Arial" w:hAnsi="Arial"/>
                <w:sz w:val="11"/>
                <w:szCs w:val="11"/>
                <w:u w:val="single" w:color="auto"/>
                <w:color w:val="0000EE"/>
                <w:w w:val="91"/>
              </w:rPr>
              <w:t>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bottom w:val="single" w:sz="8" w:color="0000EE"/>
            </w:tcBorders>
            <w:gridSpan w:val="11"/>
          </w:tcPr>
          <w:p>
            <w:pPr>
              <w:spacing w:after="0" w:line="115" w:lineRule="exact"/>
              <w:rPr>
                <w:sz w:val="20"/>
                <w:szCs w:val="20"/>
                <w:color w:val="auto"/>
              </w:rPr>
            </w:pPr>
            <w:r>
              <w:rPr>
                <w:rFonts w:ascii="Arial" w:cs="Arial" w:eastAsia="Arial" w:hAnsi="Arial"/>
                <w:sz w:val="11"/>
                <w:szCs w:val="11"/>
                <w:color w:val="0000EE"/>
                <w:w w:val="95"/>
              </w:rPr>
              <w:t>Funding Notices</w:t>
            </w:r>
          </w:p>
        </w:tc>
        <w:tc>
          <w:tcPr>
            <w:tcW w:w="4160" w:type="dxa"/>
            <w:vAlign w:val="bottom"/>
            <w:gridSpan w:val="14"/>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26</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line="115" w:lineRule="exact"/>
              <w:rPr>
                <w:sz w:val="20"/>
                <w:szCs w:val="20"/>
                <w:color w:val="auto"/>
              </w:rPr>
            </w:pPr>
            <w:r>
              <w:rPr>
                <w:rFonts w:ascii="Arial" w:cs="Arial" w:eastAsia="Arial" w:hAnsi="Arial"/>
                <w:sz w:val="11"/>
                <w:szCs w:val="11"/>
                <w:color w:val="0000EE"/>
                <w:w w:val="91"/>
              </w:rPr>
              <w:t>4.</w:t>
            </w:r>
            <w:r>
              <w:rPr>
                <w:rFonts w:ascii="Arial" w:cs="Arial" w:eastAsia="Arial" w:hAnsi="Arial"/>
                <w:sz w:val="11"/>
                <w:szCs w:val="11"/>
                <w:u w:val="single" w:color="auto"/>
                <w:color w:val="0000EE"/>
                <w:w w:val="91"/>
              </w:rPr>
              <w:t>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sz w:val="20"/>
                <w:szCs w:val="20"/>
                <w:color w:val="auto"/>
              </w:rPr>
            </w:pPr>
            <w:r>
              <w:rPr>
                <w:rFonts w:ascii="Arial" w:cs="Arial" w:eastAsia="Arial" w:hAnsi="Arial"/>
                <w:sz w:val="11"/>
                <w:szCs w:val="11"/>
                <w:color w:val="0000EE"/>
              </w:rPr>
              <w:t>Not used</w:t>
            </w:r>
            <w:r>
              <w:rPr>
                <w:rFonts w:ascii="Arial" w:cs="Arial" w:eastAsia="Arial" w:hAnsi="Arial"/>
                <w:sz w:val="11"/>
                <w:szCs w:val="11"/>
                <w:color w:val="000000"/>
              </w:rPr>
              <w:t>c</w:t>
            </w: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27</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line="115" w:lineRule="exact"/>
              <w:rPr>
                <w:sz w:val="20"/>
                <w:szCs w:val="20"/>
                <w:color w:val="auto"/>
              </w:rPr>
            </w:pPr>
            <w:r>
              <w:rPr>
                <w:rFonts w:ascii="Arial" w:cs="Arial" w:eastAsia="Arial" w:hAnsi="Arial"/>
                <w:sz w:val="11"/>
                <w:szCs w:val="11"/>
                <w:color w:val="0000EE"/>
                <w:w w:val="91"/>
              </w:rPr>
              <w:t>4.</w:t>
            </w:r>
            <w:r>
              <w:rPr>
                <w:rFonts w:ascii="Arial" w:cs="Arial" w:eastAsia="Arial" w:hAnsi="Arial"/>
                <w:sz w:val="11"/>
                <w:szCs w:val="11"/>
                <w:u w:val="single" w:color="auto"/>
                <w:color w:val="0000EE"/>
                <w:w w:val="91"/>
              </w:rPr>
              <w:t>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sz w:val="20"/>
                <w:szCs w:val="20"/>
                <w:color w:val="auto"/>
              </w:rPr>
            </w:pPr>
            <w:r>
              <w:rPr>
                <w:rFonts w:ascii="Arial" w:cs="Arial" w:eastAsia="Arial" w:hAnsi="Arial"/>
                <w:sz w:val="11"/>
                <w:szCs w:val="11"/>
                <w:color w:val="0000EE"/>
              </w:rPr>
              <w:t>Not used</w:t>
            </w: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27</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line="115" w:lineRule="exact"/>
              <w:rPr>
                <w:sz w:val="20"/>
                <w:szCs w:val="20"/>
                <w:color w:val="auto"/>
              </w:rPr>
            </w:pPr>
            <w:r>
              <w:rPr>
                <w:rFonts w:ascii="Arial" w:cs="Arial" w:eastAsia="Arial" w:hAnsi="Arial"/>
                <w:sz w:val="11"/>
                <w:szCs w:val="11"/>
                <w:color w:val="0000EE"/>
                <w:w w:val="91"/>
              </w:rPr>
              <w:t>4.</w:t>
            </w:r>
            <w:r>
              <w:rPr>
                <w:rFonts w:ascii="Arial" w:cs="Arial" w:eastAsia="Arial" w:hAnsi="Arial"/>
                <w:sz w:val="11"/>
                <w:szCs w:val="11"/>
                <w:u w:val="single" w:color="auto"/>
                <w:color w:val="0000EE"/>
                <w:w w:val="91"/>
              </w:rPr>
              <w:t>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sz w:val="20"/>
                <w:szCs w:val="20"/>
                <w:color w:val="auto"/>
              </w:rPr>
            </w:pPr>
            <w:r>
              <w:rPr>
                <w:rFonts w:ascii="Arial" w:cs="Arial" w:eastAsia="Arial" w:hAnsi="Arial"/>
                <w:sz w:val="11"/>
                <w:szCs w:val="11"/>
                <w:color w:val="0000EE"/>
              </w:rPr>
              <w:t>Not used</w:t>
            </w: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27</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line="115" w:lineRule="exact"/>
              <w:rPr>
                <w:sz w:val="20"/>
                <w:szCs w:val="20"/>
                <w:color w:val="auto"/>
              </w:rPr>
            </w:pPr>
            <w:r>
              <w:rPr>
                <w:rFonts w:ascii="Arial" w:cs="Arial" w:eastAsia="Arial" w:hAnsi="Arial"/>
                <w:sz w:val="11"/>
                <w:szCs w:val="11"/>
                <w:color w:val="0000EE"/>
                <w:w w:val="91"/>
              </w:rPr>
              <w:t>4.</w:t>
            </w:r>
            <w:r>
              <w:rPr>
                <w:rFonts w:ascii="Arial" w:cs="Arial" w:eastAsia="Arial" w:hAnsi="Arial"/>
                <w:sz w:val="11"/>
                <w:szCs w:val="11"/>
                <w:u w:val="single" w:color="auto"/>
                <w:color w:val="0000EE"/>
                <w:w w:val="91"/>
              </w:rPr>
              <w:t>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sz w:val="20"/>
                <w:szCs w:val="20"/>
                <w:color w:val="auto"/>
              </w:rPr>
            </w:pPr>
            <w:r>
              <w:rPr>
                <w:rFonts w:ascii="Arial" w:cs="Arial" w:eastAsia="Arial" w:hAnsi="Arial"/>
                <w:sz w:val="11"/>
                <w:szCs w:val="11"/>
                <w:color w:val="0000EE"/>
              </w:rPr>
              <w:t>Bank Guarantee Facilities</w:t>
            </w: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27</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top w:val="single" w:sz="8" w:color="0000EE"/>
              <w:bottom w:val="single" w:sz="8" w:color="0000EE"/>
            </w:tcBorders>
          </w:tcPr>
          <w:p>
            <w:pPr>
              <w:spacing w:after="0" w:line="115" w:lineRule="exact"/>
              <w:rPr>
                <w:sz w:val="20"/>
                <w:szCs w:val="20"/>
                <w:color w:val="auto"/>
              </w:rPr>
            </w:pPr>
            <w:r>
              <w:rPr>
                <w:rFonts w:ascii="Arial" w:cs="Arial" w:eastAsia="Arial" w:hAnsi="Arial"/>
                <w:sz w:val="11"/>
                <w:szCs w:val="11"/>
                <w:color w:val="0000EE"/>
                <w:w w:val="91"/>
              </w:rPr>
              <w:t>4.</w:t>
            </w:r>
            <w:r>
              <w:rPr>
                <w:rFonts w:ascii="Arial" w:cs="Arial" w:eastAsia="Arial" w:hAnsi="Arial"/>
                <w:sz w:val="11"/>
                <w:szCs w:val="11"/>
                <w:u w:val="single" w:color="auto"/>
                <w:color w:val="0000EE"/>
                <w:w w:val="91"/>
              </w:rPr>
              <w:t>9</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top w:val="single" w:sz="8" w:color="0000EE"/>
              <w:bottom w:val="single" w:sz="8" w:color="0000EE"/>
            </w:tcBorders>
            <w:gridSpan w:val="8"/>
          </w:tcPr>
          <w:p>
            <w:pPr>
              <w:spacing w:after="0" w:line="115" w:lineRule="exact"/>
              <w:rPr>
                <w:sz w:val="20"/>
                <w:szCs w:val="20"/>
                <w:color w:val="auto"/>
              </w:rPr>
            </w:pPr>
            <w:r>
              <w:rPr>
                <w:rFonts w:ascii="Arial" w:cs="Arial" w:eastAsia="Arial" w:hAnsi="Arial"/>
                <w:sz w:val="11"/>
                <w:szCs w:val="11"/>
                <w:color w:val="0000EE"/>
                <w:w w:val="92"/>
              </w:rPr>
              <w:t>Cancellation</w:t>
            </w:r>
          </w:p>
        </w:tc>
        <w:tc>
          <w:tcPr>
            <w:tcW w:w="660" w:type="dxa"/>
            <w:vAlign w:val="bottom"/>
            <w:tcBorders>
              <w:top w:val="single" w:sz="8" w:color="0000EE"/>
            </w:tcBorders>
            <w:gridSpan w:val="10"/>
          </w:tcPr>
          <w:p>
            <w:pPr>
              <w:spacing w:after="0"/>
              <w:rPr>
                <w:sz w:val="10"/>
                <w:szCs w:val="10"/>
                <w:color w:val="auto"/>
              </w:rPr>
            </w:pPr>
          </w:p>
        </w:tc>
        <w:tc>
          <w:tcPr>
            <w:tcW w:w="3700" w:type="dxa"/>
            <w:vAlign w:val="bottom"/>
            <w:gridSpan w:val="7"/>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27</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gridSpan w:val="2"/>
          </w:tcPr>
          <w:p>
            <w:pPr>
              <w:spacing w:after="0" w:line="115" w:lineRule="exact"/>
              <w:rPr>
                <w:sz w:val="20"/>
                <w:szCs w:val="20"/>
                <w:color w:val="auto"/>
              </w:rPr>
            </w:pPr>
            <w:r>
              <w:rPr>
                <w:rFonts w:ascii="Arial" w:cs="Arial" w:eastAsia="Arial" w:hAnsi="Arial"/>
                <w:sz w:val="11"/>
                <w:szCs w:val="11"/>
                <w:color w:val="0000EE"/>
                <w:w w:val="93"/>
              </w:rPr>
              <w:t>4.</w:t>
            </w:r>
            <w:r>
              <w:rPr>
                <w:rFonts w:ascii="Arial" w:cs="Arial" w:eastAsia="Arial" w:hAnsi="Arial"/>
                <w:sz w:val="11"/>
                <w:szCs w:val="11"/>
                <w:u w:val="single" w:color="auto"/>
                <w:color w:val="0000EE"/>
                <w:w w:val="93"/>
              </w:rPr>
              <w:t>10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sz w:val="20"/>
                <w:szCs w:val="20"/>
                <w:color w:val="auto"/>
              </w:rPr>
            </w:pPr>
            <w:r>
              <w:rPr>
                <w:rFonts w:ascii="Arial" w:cs="Arial" w:eastAsia="Arial" w:hAnsi="Arial"/>
                <w:sz w:val="11"/>
                <w:szCs w:val="11"/>
                <w:color w:val="0000EE"/>
              </w:rPr>
              <w:t>Market disruption</w:t>
            </w: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27</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gridSpan w:val="2"/>
          </w:tcPr>
          <w:p>
            <w:pPr>
              <w:spacing w:after="0" w:line="115" w:lineRule="exact"/>
              <w:rPr>
                <w:sz w:val="20"/>
                <w:szCs w:val="20"/>
                <w:color w:val="auto"/>
              </w:rPr>
            </w:pPr>
            <w:r>
              <w:rPr>
                <w:rFonts w:ascii="Arial" w:cs="Arial" w:eastAsia="Arial" w:hAnsi="Arial"/>
                <w:sz w:val="11"/>
                <w:szCs w:val="11"/>
                <w:color w:val="0000EE"/>
                <w:w w:val="93"/>
              </w:rPr>
              <w:t>4.</w:t>
            </w:r>
            <w:r>
              <w:rPr>
                <w:rFonts w:ascii="Arial" w:cs="Arial" w:eastAsia="Arial" w:hAnsi="Arial"/>
                <w:sz w:val="11"/>
                <w:szCs w:val="11"/>
                <w:u w:val="single" w:color="auto"/>
                <w:color w:val="0000EE"/>
                <w:w w:val="93"/>
              </w:rPr>
              <w:t>11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sz w:val="20"/>
                <w:szCs w:val="20"/>
                <w:color w:val="auto"/>
              </w:rPr>
            </w:pPr>
            <w:r>
              <w:rPr>
                <w:rFonts w:ascii="Arial" w:cs="Arial" w:eastAsia="Arial" w:hAnsi="Arial"/>
                <w:sz w:val="11"/>
                <w:szCs w:val="11"/>
                <w:color w:val="0000EE"/>
              </w:rPr>
              <w:t>Alternative basis of interest or funding</w:t>
            </w: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28</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Borders>
              <w:top w:val="single" w:sz="8" w:color="0000EE"/>
              <w:bottom w:val="single" w:sz="8" w:color="0000EE"/>
            </w:tcBorders>
            <w:gridSpan w:val="2"/>
          </w:tcPr>
          <w:p>
            <w:pPr>
              <w:spacing w:after="0" w:line="115" w:lineRule="exact"/>
              <w:rPr>
                <w:sz w:val="20"/>
                <w:szCs w:val="20"/>
                <w:color w:val="auto"/>
              </w:rPr>
            </w:pPr>
            <w:r>
              <w:rPr>
                <w:rFonts w:ascii="Arial" w:cs="Arial" w:eastAsia="Arial" w:hAnsi="Arial"/>
                <w:sz w:val="11"/>
                <w:szCs w:val="11"/>
                <w:color w:val="0000EE"/>
                <w:w w:val="93"/>
              </w:rPr>
              <w:t>4.</w:t>
            </w:r>
            <w:r>
              <w:rPr>
                <w:rFonts w:ascii="Arial" w:cs="Arial" w:eastAsia="Arial" w:hAnsi="Arial"/>
                <w:sz w:val="11"/>
                <w:szCs w:val="11"/>
                <w:u w:val="single" w:color="auto"/>
                <w:color w:val="0000EE"/>
                <w:w w:val="93"/>
              </w:rPr>
              <w:t>12</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Borders>
              <w:top w:val="single" w:sz="8" w:color="0000EE"/>
              <w:bottom w:val="single" w:sz="8" w:color="0000EE"/>
            </w:tcBorders>
            <w:gridSpan w:val="14"/>
          </w:tcPr>
          <w:p>
            <w:pPr>
              <w:spacing w:after="0" w:line="115" w:lineRule="exact"/>
              <w:rPr>
                <w:sz w:val="20"/>
                <w:szCs w:val="20"/>
                <w:color w:val="auto"/>
              </w:rPr>
            </w:pPr>
            <w:r>
              <w:rPr>
                <w:rFonts w:ascii="Arial" w:cs="Arial" w:eastAsia="Arial" w:hAnsi="Arial"/>
                <w:sz w:val="11"/>
                <w:szCs w:val="11"/>
                <w:color w:val="0000EE"/>
                <w:w w:val="96"/>
              </w:rPr>
              <w:t>Pricing Review Events</w:t>
            </w:r>
          </w:p>
        </w:tc>
        <w:tc>
          <w:tcPr>
            <w:tcW w:w="740" w:type="dxa"/>
            <w:vAlign w:val="bottom"/>
            <w:tcBorders>
              <w:top w:val="single" w:sz="8" w:color="0000EE"/>
            </w:tcBorders>
            <w:gridSpan w:val="6"/>
          </w:tcPr>
          <w:p>
            <w:pPr>
              <w:spacing w:after="0"/>
              <w:rPr>
                <w:sz w:val="10"/>
                <w:szCs w:val="10"/>
                <w:color w:val="auto"/>
              </w:rPr>
            </w:pPr>
          </w:p>
        </w:tc>
        <w:tc>
          <w:tcPr>
            <w:tcW w:w="3120" w:type="dxa"/>
            <w:vAlign w:val="bottom"/>
            <w:gridSpan w:val="5"/>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28</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gridSpan w:val="2"/>
          </w:tcPr>
          <w:p>
            <w:pPr>
              <w:spacing w:after="0" w:line="115" w:lineRule="exact"/>
              <w:rPr>
                <w:sz w:val="20"/>
                <w:szCs w:val="20"/>
                <w:color w:val="auto"/>
              </w:rPr>
            </w:pPr>
            <w:r>
              <w:rPr>
                <w:rFonts w:ascii="Arial" w:cs="Arial" w:eastAsia="Arial" w:hAnsi="Arial"/>
                <w:sz w:val="11"/>
                <w:szCs w:val="11"/>
                <w:color w:val="0000EE"/>
                <w:w w:val="93"/>
              </w:rPr>
              <w:t>4.</w:t>
            </w:r>
            <w:r>
              <w:rPr>
                <w:rFonts w:ascii="Arial" w:cs="Arial" w:eastAsia="Arial" w:hAnsi="Arial"/>
                <w:sz w:val="11"/>
                <w:szCs w:val="11"/>
                <w:u w:val="single" w:color="auto"/>
                <w:color w:val="0000EE"/>
                <w:w w:val="93"/>
              </w:rPr>
              <w:t>13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sz w:val="20"/>
                <w:szCs w:val="20"/>
                <w:color w:val="auto"/>
              </w:rPr>
            </w:pPr>
            <w:r>
              <w:rPr>
                <w:rFonts w:ascii="Arial" w:cs="Arial" w:eastAsia="Arial" w:hAnsi="Arial"/>
                <w:sz w:val="11"/>
                <w:szCs w:val="11"/>
                <w:color w:val="0000EE"/>
              </w:rPr>
              <w:t>Consequences of a Pricing Review</w:t>
            </w: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28</w:t>
            </w:r>
          </w:p>
        </w:tc>
      </w:tr>
      <w:tr>
        <w:trPr>
          <w:trHeight w:val="20"/>
        </w:trPr>
        <w:tc>
          <w:tcPr>
            <w:tcW w:w="82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820" w:type="dxa"/>
            <w:vAlign w:val="bottom"/>
            <w:gridSpan w:val="2"/>
          </w:tcPr>
          <w:p>
            <w:pPr>
              <w:spacing w:after="0" w:line="115" w:lineRule="exact"/>
              <w:rPr>
                <w:rFonts w:ascii="Arial" w:cs="Arial" w:eastAsia="Arial" w:hAnsi="Arial"/>
                <w:sz w:val="11"/>
                <w:szCs w:val="11"/>
                <w:color w:val="0000EE"/>
              </w:rPr>
            </w:pPr>
            <w:hyperlink w:anchor="page97">
              <w:r>
                <w:rPr>
                  <w:rFonts w:ascii="Arial" w:cs="Arial" w:eastAsia="Arial" w:hAnsi="Arial"/>
                  <w:sz w:val="11"/>
                  <w:szCs w:val="11"/>
                  <w:color w:val="0000EE"/>
                </w:rPr>
                <w:t>5</w:t>
              </w:r>
              <w:r>
                <w:rPr>
                  <w:rFonts w:ascii="Arial" w:cs="Arial" w:eastAsia="Arial" w:hAnsi="Arial"/>
                  <w:sz w:val="11"/>
                  <w:szCs w:val="11"/>
                  <w:color w:val="000000"/>
                </w:rPr>
                <w:t>​</w:t>
              </w:r>
            </w:hyperlink>
          </w:p>
        </w:tc>
        <w:tc>
          <w:tcPr>
            <w:tcW w:w="680" w:type="dxa"/>
            <w:vAlign w:val="bottom"/>
            <w:gridSpan w:val="5"/>
          </w:tcPr>
          <w:p>
            <w:pPr>
              <w:spacing w:after="0" w:line="115" w:lineRule="exact"/>
              <w:rPr>
                <w:rFonts w:ascii="Arial" w:cs="Arial" w:eastAsia="Arial" w:hAnsi="Arial"/>
                <w:sz w:val="11"/>
                <w:szCs w:val="11"/>
                <w:color w:val="0000EE"/>
              </w:rPr>
            </w:pPr>
            <w:hyperlink w:anchor="page97">
              <w:r>
                <w:rPr>
                  <w:rFonts w:ascii="Arial" w:cs="Arial" w:eastAsia="Arial" w:hAnsi="Arial"/>
                  <w:sz w:val="11"/>
                  <w:szCs w:val="11"/>
                  <w:color w:val="0000EE"/>
                </w:rPr>
                <w:t>Payments</w:t>
              </w:r>
            </w:hyperlink>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29</w:t>
            </w: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r>
        <w:trPr>
          <w:trHeight w:val="83"/>
        </w:trPr>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line="83" w:lineRule="exact"/>
              <w:rPr>
                <w:sz w:val="20"/>
                <w:szCs w:val="20"/>
                <w:color w:val="auto"/>
              </w:rPr>
            </w:pPr>
            <w:r>
              <w:rPr>
                <w:rFonts w:ascii="Arial" w:cs="Arial" w:eastAsia="Arial" w:hAnsi="Arial"/>
                <w:sz w:val="9"/>
                <w:szCs w:val="9"/>
                <w:color w:val="0000EE"/>
              </w:rPr>
              <w:t>5.</w:t>
            </w:r>
            <w:r>
              <w:rPr>
                <w:rFonts w:ascii="Arial" w:cs="Arial" w:eastAsia="Arial" w:hAnsi="Arial"/>
                <w:sz w:val="9"/>
                <w:szCs w:val="9"/>
                <w:u w:val="single" w:color="auto"/>
                <w:color w:val="0000EE"/>
              </w:rPr>
              <w:t>1</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940" w:type="dxa"/>
            <w:vAlign w:val="bottom"/>
            <w:gridSpan w:val="25"/>
          </w:tcPr>
          <w:p>
            <w:pPr>
              <w:spacing w:after="0" w:line="83" w:lineRule="exact"/>
              <w:rPr>
                <w:sz w:val="20"/>
                <w:szCs w:val="20"/>
                <w:color w:val="auto"/>
              </w:rPr>
            </w:pPr>
            <w:r>
              <w:rPr>
                <w:rFonts w:ascii="Arial" w:cs="Arial" w:eastAsia="Arial" w:hAnsi="Arial"/>
                <w:sz w:val="9"/>
                <w:szCs w:val="9"/>
                <w:color w:val="0000EE"/>
              </w:rPr>
              <w:t>Not used</w:t>
            </w:r>
          </w:p>
        </w:tc>
        <w:tc>
          <w:tcPr>
            <w:tcW w:w="2820" w:type="dxa"/>
            <w:vAlign w:val="bottom"/>
          </w:tcPr>
          <w:p>
            <w:pPr>
              <w:ind w:left="2000"/>
              <w:spacing w:after="0" w:line="83" w:lineRule="exact"/>
              <w:rPr>
                <w:sz w:val="20"/>
                <w:szCs w:val="20"/>
                <w:color w:val="auto"/>
              </w:rPr>
            </w:pPr>
            <w:r>
              <w:rPr>
                <w:rFonts w:ascii="Arial" w:cs="Arial" w:eastAsia="Arial" w:hAnsi="Arial"/>
                <w:sz w:val="9"/>
                <w:szCs w:val="9"/>
                <w:color w:val="auto"/>
              </w:rPr>
              <w:t>29</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sz w:val="20"/>
                <w:szCs w:val="20"/>
                <w:color w:val="auto"/>
              </w:rPr>
            </w:pPr>
            <w:r>
              <w:rPr>
                <w:rFonts w:ascii="Arial" w:cs="Arial" w:eastAsia="Arial" w:hAnsi="Arial"/>
                <w:sz w:val="11"/>
                <w:szCs w:val="11"/>
                <w:color w:val="0000EE"/>
                <w:w w:val="91"/>
              </w:rPr>
              <w:t>5.</w:t>
            </w:r>
            <w:r>
              <w:rPr>
                <w:rFonts w:ascii="Arial" w:cs="Arial" w:eastAsia="Arial" w:hAnsi="Arial"/>
                <w:sz w:val="11"/>
                <w:szCs w:val="11"/>
                <w:u w:val="single" w:color="auto"/>
                <w:color w:val="0000EE"/>
                <w:w w:val="91"/>
              </w:rPr>
              <w:t>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Borders>
              <w:bottom w:val="single" w:sz="8" w:color="0000EE"/>
            </w:tcBorders>
            <w:gridSpan w:val="15"/>
          </w:tcPr>
          <w:p>
            <w:pPr>
              <w:spacing w:after="0" w:line="115" w:lineRule="exact"/>
              <w:rPr>
                <w:sz w:val="20"/>
                <w:szCs w:val="20"/>
                <w:color w:val="auto"/>
              </w:rPr>
            </w:pPr>
            <w:r>
              <w:rPr>
                <w:rFonts w:ascii="Arial" w:cs="Arial" w:eastAsia="Arial" w:hAnsi="Arial"/>
                <w:sz w:val="11"/>
                <w:szCs w:val="11"/>
                <w:color w:val="0000EE"/>
                <w:w w:val="97"/>
              </w:rPr>
              <w:t>Voluntary prepayments</w:t>
            </w:r>
          </w:p>
        </w:tc>
        <w:tc>
          <w:tcPr>
            <w:tcW w:w="3820" w:type="dxa"/>
            <w:vAlign w:val="bottom"/>
            <w:gridSpan w:val="10"/>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29</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line="115" w:lineRule="exact"/>
              <w:rPr>
                <w:sz w:val="20"/>
                <w:szCs w:val="20"/>
                <w:color w:val="auto"/>
              </w:rPr>
            </w:pPr>
            <w:r>
              <w:rPr>
                <w:rFonts w:ascii="Arial" w:cs="Arial" w:eastAsia="Arial" w:hAnsi="Arial"/>
                <w:sz w:val="11"/>
                <w:szCs w:val="11"/>
                <w:color w:val="0000EE"/>
                <w:w w:val="91"/>
              </w:rPr>
              <w:t>5.</w:t>
            </w:r>
            <w:r>
              <w:rPr>
                <w:rFonts w:ascii="Arial" w:cs="Arial" w:eastAsia="Arial" w:hAnsi="Arial"/>
                <w:sz w:val="11"/>
                <w:szCs w:val="11"/>
                <w:u w:val="single" w:color="auto"/>
                <w:color w:val="0000EE"/>
                <w:w w:val="91"/>
              </w:rPr>
              <w:t>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sz w:val="20"/>
                <w:szCs w:val="20"/>
                <w:color w:val="auto"/>
              </w:rPr>
            </w:pPr>
            <w:r>
              <w:rPr>
                <w:rFonts w:ascii="Arial" w:cs="Arial" w:eastAsia="Arial" w:hAnsi="Arial"/>
                <w:sz w:val="11"/>
                <w:szCs w:val="11"/>
                <w:color w:val="0000EE"/>
              </w:rPr>
              <w:t>Indemnity in respect of Bank Guarantees</w:t>
            </w: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30</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top w:val="single" w:sz="8" w:color="0000EE"/>
              <w:bottom w:val="single" w:sz="8" w:color="0000EE"/>
            </w:tcBorders>
          </w:tcPr>
          <w:p>
            <w:pPr>
              <w:spacing w:after="0" w:line="115" w:lineRule="exact"/>
              <w:rPr>
                <w:sz w:val="20"/>
                <w:szCs w:val="20"/>
                <w:color w:val="auto"/>
              </w:rPr>
            </w:pPr>
            <w:r>
              <w:rPr>
                <w:rFonts w:ascii="Arial" w:cs="Arial" w:eastAsia="Arial" w:hAnsi="Arial"/>
                <w:sz w:val="11"/>
                <w:szCs w:val="11"/>
                <w:color w:val="0000EE"/>
                <w:w w:val="91"/>
              </w:rPr>
              <w:t>5.</w:t>
            </w:r>
            <w:r>
              <w:rPr>
                <w:rFonts w:ascii="Arial" w:cs="Arial" w:eastAsia="Arial" w:hAnsi="Arial"/>
                <w:sz w:val="11"/>
                <w:szCs w:val="11"/>
                <w:u w:val="single" w:color="auto"/>
                <w:color w:val="0000EE"/>
                <w:w w:val="91"/>
              </w:rPr>
              <w:t>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0000EE"/>
              <w:bottom w:val="single" w:sz="8" w:color="0000EE"/>
            </w:tcBorders>
            <w:gridSpan w:val="17"/>
          </w:tcPr>
          <w:p>
            <w:pPr>
              <w:spacing w:after="0" w:line="115" w:lineRule="exact"/>
              <w:rPr>
                <w:sz w:val="20"/>
                <w:szCs w:val="20"/>
                <w:color w:val="auto"/>
              </w:rPr>
            </w:pPr>
            <w:r>
              <w:rPr>
                <w:rFonts w:ascii="Arial" w:cs="Arial" w:eastAsia="Arial" w:hAnsi="Arial"/>
                <w:sz w:val="11"/>
                <w:szCs w:val="11"/>
                <w:color w:val="0000EE"/>
                <w:w w:val="97"/>
              </w:rPr>
              <w:t>Mandatory prepayments</w:t>
            </w:r>
          </w:p>
        </w:tc>
        <w:tc>
          <w:tcPr>
            <w:tcW w:w="800" w:type="dxa"/>
            <w:vAlign w:val="bottom"/>
            <w:tcBorders>
              <w:top w:val="single" w:sz="8" w:color="0000EE"/>
            </w:tcBorders>
            <w:gridSpan w:val="4"/>
          </w:tcPr>
          <w:p>
            <w:pPr>
              <w:spacing w:after="0"/>
              <w:rPr>
                <w:sz w:val="10"/>
                <w:szCs w:val="10"/>
                <w:color w:val="auto"/>
              </w:rPr>
            </w:pPr>
          </w:p>
        </w:tc>
        <w:tc>
          <w:tcPr>
            <w:tcW w:w="2960" w:type="dxa"/>
            <w:vAlign w:val="bottom"/>
            <w:gridSpan w:val="4"/>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31</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sz w:val="20"/>
                <w:szCs w:val="20"/>
                <w:color w:val="auto"/>
              </w:rPr>
            </w:pPr>
            <w:r>
              <w:rPr>
                <w:rFonts w:ascii="Arial" w:cs="Arial" w:eastAsia="Arial" w:hAnsi="Arial"/>
                <w:sz w:val="11"/>
                <w:szCs w:val="11"/>
                <w:color w:val="0000EE"/>
                <w:w w:val="91"/>
              </w:rPr>
              <w:t>5.</w:t>
            </w:r>
            <w:r>
              <w:rPr>
                <w:rFonts w:ascii="Arial" w:cs="Arial" w:eastAsia="Arial" w:hAnsi="Arial"/>
                <w:sz w:val="11"/>
                <w:szCs w:val="11"/>
                <w:u w:val="single" w:color="auto"/>
                <w:color w:val="0000EE"/>
                <w:w w:val="91"/>
              </w:rPr>
              <w:t>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bottom w:val="single" w:sz="8" w:color="0000EE"/>
            </w:tcBorders>
            <w:gridSpan w:val="7"/>
          </w:tcPr>
          <w:p>
            <w:pPr>
              <w:spacing w:after="0" w:line="115" w:lineRule="exact"/>
              <w:rPr>
                <w:sz w:val="20"/>
                <w:szCs w:val="20"/>
                <w:color w:val="auto"/>
              </w:rPr>
            </w:pPr>
            <w:r>
              <w:rPr>
                <w:rFonts w:ascii="Arial" w:cs="Arial" w:eastAsia="Arial" w:hAnsi="Arial"/>
                <w:sz w:val="11"/>
                <w:szCs w:val="11"/>
                <w:color w:val="0000EE"/>
                <w:w w:val="92"/>
              </w:rPr>
              <w:t>Repayment</w:t>
            </w:r>
          </w:p>
        </w:tc>
        <w:tc>
          <w:tcPr>
            <w:tcW w:w="4400" w:type="dxa"/>
            <w:vAlign w:val="bottom"/>
            <w:gridSpan w:val="18"/>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31</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line="115" w:lineRule="exact"/>
              <w:rPr>
                <w:sz w:val="20"/>
                <w:szCs w:val="20"/>
                <w:color w:val="auto"/>
              </w:rPr>
            </w:pPr>
            <w:r>
              <w:rPr>
                <w:rFonts w:ascii="Arial" w:cs="Arial" w:eastAsia="Arial" w:hAnsi="Arial"/>
                <w:sz w:val="11"/>
                <w:szCs w:val="11"/>
                <w:color w:val="0000EE"/>
                <w:w w:val="91"/>
              </w:rPr>
              <w:t>5.</w:t>
            </w:r>
            <w:r>
              <w:rPr>
                <w:rFonts w:ascii="Arial" w:cs="Arial" w:eastAsia="Arial" w:hAnsi="Arial"/>
                <w:sz w:val="11"/>
                <w:szCs w:val="11"/>
                <w:u w:val="single" w:color="auto"/>
                <w:color w:val="0000EE"/>
                <w:w w:val="91"/>
              </w:rPr>
              <w:t>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sz w:val="20"/>
                <w:szCs w:val="20"/>
                <w:color w:val="auto"/>
              </w:rPr>
            </w:pPr>
            <w:r>
              <w:rPr>
                <w:rFonts w:ascii="Arial" w:cs="Arial" w:eastAsia="Arial" w:hAnsi="Arial"/>
                <w:sz w:val="11"/>
                <w:szCs w:val="11"/>
                <w:color w:val="0000EE"/>
              </w:rPr>
              <w:t>Tranches</w:t>
            </w: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32</w:t>
            </w:r>
          </w:p>
        </w:tc>
      </w:tr>
      <w:tr>
        <w:trPr>
          <w:trHeight w:val="20"/>
        </w:trPr>
        <w:tc>
          <w:tcPr>
            <w:tcW w:w="82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4"/>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820" w:type="dxa"/>
            <w:vAlign w:val="bottom"/>
            <w:gridSpan w:val="2"/>
          </w:tcPr>
          <w:p>
            <w:pPr>
              <w:spacing w:after="0" w:line="115" w:lineRule="exact"/>
              <w:rPr>
                <w:rFonts w:ascii="Arial" w:cs="Arial" w:eastAsia="Arial" w:hAnsi="Arial"/>
                <w:sz w:val="11"/>
                <w:szCs w:val="11"/>
                <w:color w:val="0000EE"/>
              </w:rPr>
            </w:pPr>
            <w:hyperlink w:anchor="page100">
              <w:r>
                <w:rPr>
                  <w:rFonts w:ascii="Arial" w:cs="Arial" w:eastAsia="Arial" w:hAnsi="Arial"/>
                  <w:sz w:val="11"/>
                  <w:szCs w:val="11"/>
                  <w:color w:val="0000EE"/>
                </w:rPr>
                <w:t>6</w:t>
              </w:r>
              <w:r>
                <w:rPr>
                  <w:rFonts w:ascii="Arial" w:cs="Arial" w:eastAsia="Arial" w:hAnsi="Arial"/>
                  <w:sz w:val="11"/>
                  <w:szCs w:val="11"/>
                  <w:color w:val="000000"/>
                </w:rPr>
                <w:t>​</w:t>
              </w:r>
            </w:hyperlink>
          </w:p>
        </w:tc>
        <w:tc>
          <w:tcPr>
            <w:tcW w:w="5620" w:type="dxa"/>
            <w:vAlign w:val="bottom"/>
            <w:gridSpan w:val="30"/>
          </w:tcPr>
          <w:p>
            <w:pPr>
              <w:spacing w:after="0" w:line="115" w:lineRule="exact"/>
              <w:rPr>
                <w:rFonts w:ascii="Arial" w:cs="Arial" w:eastAsia="Arial" w:hAnsi="Arial"/>
                <w:sz w:val="11"/>
                <w:szCs w:val="11"/>
                <w:color w:val="0000EE"/>
              </w:rPr>
            </w:pPr>
            <w:hyperlink w:anchor="page100">
              <w:r>
                <w:rPr>
                  <w:rFonts w:ascii="Arial" w:cs="Arial" w:eastAsia="Arial" w:hAnsi="Arial"/>
                  <w:sz w:val="11"/>
                  <w:szCs w:val="11"/>
                  <w:color w:val="0000EE"/>
                </w:rPr>
                <w:t>Interest and fees</w:t>
              </w:r>
            </w:hyperlink>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32</w:t>
            </w: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r>
        <w:trPr>
          <w:trHeight w:val="83"/>
        </w:trPr>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Borders>
              <w:bottom w:val="single" w:sz="8" w:color="0000EE"/>
            </w:tcBorders>
          </w:tcPr>
          <w:p>
            <w:pPr>
              <w:spacing w:after="0" w:line="83" w:lineRule="exact"/>
              <w:rPr>
                <w:rFonts w:ascii="Arial" w:cs="Arial" w:eastAsia="Arial" w:hAnsi="Arial"/>
                <w:sz w:val="9"/>
                <w:szCs w:val="9"/>
                <w:color w:val="0000EE"/>
              </w:rPr>
            </w:pPr>
            <w:hyperlink w:anchor="page100">
              <w:r>
                <w:rPr>
                  <w:rFonts w:ascii="Arial" w:cs="Arial" w:eastAsia="Arial" w:hAnsi="Arial"/>
                  <w:sz w:val="9"/>
                  <w:szCs w:val="9"/>
                  <w:color w:val="0000EE"/>
                </w:rPr>
                <w:t>6.</w:t>
              </w:r>
              <w:r>
                <w:rPr>
                  <w:rFonts w:ascii="Arial" w:cs="Arial" w:eastAsia="Arial" w:hAnsi="Arial"/>
                  <w:sz w:val="9"/>
                  <w:szCs w:val="9"/>
                  <w:u w:val="single" w:color="auto"/>
                  <w:color w:val="0000EE"/>
                </w:rPr>
                <w:t>1</w:t>
              </w:r>
            </w:hyperlink>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Borders>
              <w:bottom w:val="single" w:sz="8" w:color="0000EE"/>
            </w:tcBorders>
            <w:gridSpan w:val="10"/>
          </w:tcPr>
          <w:p>
            <w:pPr>
              <w:spacing w:after="0" w:line="83" w:lineRule="exact"/>
              <w:rPr>
                <w:rFonts w:ascii="Arial" w:cs="Arial" w:eastAsia="Arial" w:hAnsi="Arial"/>
                <w:sz w:val="9"/>
                <w:szCs w:val="9"/>
                <w:color w:val="0000EE"/>
              </w:rPr>
            </w:pPr>
            <w:hyperlink w:anchor="page100">
              <w:r>
                <w:rPr>
                  <w:rFonts w:ascii="Arial" w:cs="Arial" w:eastAsia="Arial" w:hAnsi="Arial"/>
                  <w:sz w:val="9"/>
                  <w:szCs w:val="9"/>
                  <w:color w:val="0000EE"/>
                </w:rPr>
                <w:t>Pricing Periods</w:t>
              </w:r>
            </w:hyperlink>
          </w:p>
        </w:tc>
        <w:tc>
          <w:tcPr>
            <w:tcW w:w="4220" w:type="dxa"/>
            <w:vAlign w:val="bottom"/>
            <w:gridSpan w:val="15"/>
          </w:tcPr>
          <w:p>
            <w:pPr>
              <w:spacing w:after="0"/>
              <w:rPr>
                <w:sz w:val="7"/>
                <w:szCs w:val="7"/>
                <w:color w:val="auto"/>
              </w:rPr>
            </w:pPr>
          </w:p>
        </w:tc>
        <w:tc>
          <w:tcPr>
            <w:tcW w:w="2820" w:type="dxa"/>
            <w:vAlign w:val="bottom"/>
          </w:tcPr>
          <w:p>
            <w:pPr>
              <w:ind w:left="2000"/>
              <w:spacing w:after="0" w:line="83" w:lineRule="exact"/>
              <w:rPr>
                <w:sz w:val="20"/>
                <w:szCs w:val="20"/>
                <w:color w:val="auto"/>
              </w:rPr>
            </w:pPr>
            <w:r>
              <w:rPr>
                <w:rFonts w:ascii="Arial" w:cs="Arial" w:eastAsia="Arial" w:hAnsi="Arial"/>
                <w:sz w:val="9"/>
                <w:szCs w:val="9"/>
                <w:color w:val="auto"/>
              </w:rPr>
              <w:t>32</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line="115" w:lineRule="exact"/>
              <w:rPr>
                <w:rFonts w:ascii="Arial" w:cs="Arial" w:eastAsia="Arial" w:hAnsi="Arial"/>
                <w:sz w:val="11"/>
                <w:szCs w:val="11"/>
                <w:color w:val="0000EE"/>
                <w:w w:val="91"/>
              </w:rPr>
            </w:pPr>
            <w:hyperlink w:anchor="page101">
              <w:r>
                <w:rPr>
                  <w:rFonts w:ascii="Arial" w:cs="Arial" w:eastAsia="Arial" w:hAnsi="Arial"/>
                  <w:sz w:val="11"/>
                  <w:szCs w:val="11"/>
                  <w:color w:val="0000EE"/>
                  <w:w w:val="91"/>
                </w:rPr>
                <w:t>6.</w:t>
              </w:r>
              <w:r>
                <w:rPr>
                  <w:rFonts w:ascii="Arial" w:cs="Arial" w:eastAsia="Arial" w:hAnsi="Arial"/>
                  <w:sz w:val="11"/>
                  <w:szCs w:val="11"/>
                  <w:u w:val="single" w:color="auto"/>
                  <w:color w:val="0000EE"/>
                  <w:w w:val="91"/>
                </w:rPr>
                <w:t>2</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rFonts w:ascii="Arial" w:cs="Arial" w:eastAsia="Arial" w:hAnsi="Arial"/>
                <w:sz w:val="11"/>
                <w:szCs w:val="11"/>
                <w:color w:val="0000EE"/>
              </w:rPr>
            </w:pPr>
            <w:hyperlink w:anchor="page101">
              <w:r>
                <w:rPr>
                  <w:rFonts w:ascii="Arial" w:cs="Arial" w:eastAsia="Arial" w:hAnsi="Arial"/>
                  <w:sz w:val="11"/>
                  <w:szCs w:val="11"/>
                  <w:color w:val="0000EE"/>
                </w:rPr>
                <w:t>Payment and rate</w:t>
              </w:r>
            </w:hyperlink>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33</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line="115" w:lineRule="exact"/>
              <w:rPr>
                <w:rFonts w:ascii="Arial" w:cs="Arial" w:eastAsia="Arial" w:hAnsi="Arial"/>
                <w:sz w:val="11"/>
                <w:szCs w:val="11"/>
                <w:color w:val="0000EE"/>
                <w:w w:val="91"/>
              </w:rPr>
            </w:pPr>
            <w:hyperlink w:anchor="page101">
              <w:r>
                <w:rPr>
                  <w:rFonts w:ascii="Arial" w:cs="Arial" w:eastAsia="Arial" w:hAnsi="Arial"/>
                  <w:sz w:val="11"/>
                  <w:szCs w:val="11"/>
                  <w:color w:val="0000EE"/>
                  <w:w w:val="91"/>
                </w:rPr>
                <w:t>6.</w:t>
              </w:r>
              <w:r>
                <w:rPr>
                  <w:rFonts w:ascii="Arial" w:cs="Arial" w:eastAsia="Arial" w:hAnsi="Arial"/>
                  <w:sz w:val="11"/>
                  <w:szCs w:val="11"/>
                  <w:u w:val="single" w:color="auto"/>
                  <w:color w:val="0000EE"/>
                  <w:w w:val="91"/>
                </w:rPr>
                <w:t>3</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rFonts w:ascii="Arial" w:cs="Arial" w:eastAsia="Arial" w:hAnsi="Arial"/>
                <w:sz w:val="11"/>
                <w:szCs w:val="11"/>
                <w:color w:val="0000EE"/>
              </w:rPr>
            </w:pPr>
            <w:hyperlink w:anchor="page101">
              <w:r>
                <w:rPr>
                  <w:rFonts w:ascii="Arial" w:cs="Arial" w:eastAsia="Arial" w:hAnsi="Arial"/>
                  <w:sz w:val="11"/>
                  <w:szCs w:val="11"/>
                  <w:color w:val="0000EE"/>
                </w:rPr>
                <w:t>Computation of interest</w:t>
              </w:r>
            </w:hyperlink>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33</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line="115" w:lineRule="exact"/>
              <w:rPr>
                <w:rFonts w:ascii="Arial" w:cs="Arial" w:eastAsia="Arial" w:hAnsi="Arial"/>
                <w:sz w:val="11"/>
                <w:szCs w:val="11"/>
                <w:color w:val="0000EE"/>
                <w:w w:val="91"/>
              </w:rPr>
            </w:pPr>
            <w:hyperlink w:anchor="page101">
              <w:r>
                <w:rPr>
                  <w:rFonts w:ascii="Arial" w:cs="Arial" w:eastAsia="Arial" w:hAnsi="Arial"/>
                  <w:sz w:val="11"/>
                  <w:szCs w:val="11"/>
                  <w:color w:val="0000EE"/>
                  <w:w w:val="91"/>
                </w:rPr>
                <w:t>6.</w:t>
              </w:r>
              <w:r>
                <w:rPr>
                  <w:rFonts w:ascii="Arial" w:cs="Arial" w:eastAsia="Arial" w:hAnsi="Arial"/>
                  <w:sz w:val="11"/>
                  <w:szCs w:val="11"/>
                  <w:u w:val="single" w:color="auto"/>
                  <w:color w:val="0000EE"/>
                  <w:w w:val="91"/>
                </w:rPr>
                <w:t>4</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rFonts w:ascii="Arial" w:cs="Arial" w:eastAsia="Arial" w:hAnsi="Arial"/>
                <w:sz w:val="11"/>
                <w:szCs w:val="11"/>
                <w:color w:val="0000EE"/>
              </w:rPr>
            </w:pPr>
            <w:hyperlink w:anchor="page101">
              <w:r>
                <w:rPr>
                  <w:rFonts w:ascii="Arial" w:cs="Arial" w:eastAsia="Arial" w:hAnsi="Arial"/>
                  <w:sz w:val="11"/>
                  <w:szCs w:val="11"/>
                  <w:color w:val="0000EE"/>
                </w:rPr>
                <w:t>Capitalisation of interest</w:t>
              </w:r>
            </w:hyperlink>
            <w:r>
              <w:rPr>
                <w:rFonts w:ascii="Arial" w:cs="Arial" w:eastAsia="Arial" w:hAnsi="Arial"/>
                <w:sz w:val="11"/>
                <w:szCs w:val="11"/>
                <w:color w:val="000000"/>
              </w:rPr>
              <w:t>v</w:t>
            </w: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33</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top w:val="single" w:sz="8" w:color="0000EE"/>
              <w:bottom w:val="single" w:sz="8" w:color="0000EE"/>
            </w:tcBorders>
          </w:tcPr>
          <w:p>
            <w:pPr>
              <w:spacing w:after="0" w:line="115" w:lineRule="exact"/>
              <w:rPr>
                <w:rFonts w:ascii="Arial" w:cs="Arial" w:eastAsia="Arial" w:hAnsi="Arial"/>
                <w:sz w:val="11"/>
                <w:szCs w:val="11"/>
                <w:color w:val="0000EE"/>
                <w:w w:val="91"/>
              </w:rPr>
            </w:pPr>
            <w:hyperlink w:anchor="page101">
              <w:r>
                <w:rPr>
                  <w:rFonts w:ascii="Arial" w:cs="Arial" w:eastAsia="Arial" w:hAnsi="Arial"/>
                  <w:sz w:val="11"/>
                  <w:szCs w:val="11"/>
                  <w:color w:val="0000EE"/>
                  <w:w w:val="91"/>
                </w:rPr>
                <w:t>6.</w:t>
              </w:r>
              <w:r>
                <w:rPr>
                  <w:rFonts w:ascii="Arial" w:cs="Arial" w:eastAsia="Arial" w:hAnsi="Arial"/>
                  <w:sz w:val="11"/>
                  <w:szCs w:val="11"/>
                  <w:u w:val="single" w:color="auto"/>
                  <w:color w:val="0000EE"/>
                  <w:w w:val="91"/>
                </w:rPr>
                <w:t>5</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top w:val="single" w:sz="8" w:color="0000EE"/>
              <w:bottom w:val="single" w:sz="8" w:color="0000EE"/>
            </w:tcBorders>
            <w:gridSpan w:val="3"/>
          </w:tcPr>
          <w:p>
            <w:pPr>
              <w:spacing w:after="0" w:line="115" w:lineRule="exact"/>
              <w:rPr>
                <w:rFonts w:ascii="Arial" w:cs="Arial" w:eastAsia="Arial" w:hAnsi="Arial"/>
                <w:sz w:val="11"/>
                <w:szCs w:val="11"/>
                <w:color w:val="0000EE"/>
                <w:w w:val="85"/>
              </w:rPr>
            </w:pPr>
            <w:hyperlink w:anchor="page101">
              <w:r>
                <w:rPr>
                  <w:rFonts w:ascii="Arial" w:cs="Arial" w:eastAsia="Arial" w:hAnsi="Arial"/>
                  <w:sz w:val="11"/>
                  <w:szCs w:val="11"/>
                  <w:color w:val="0000EE"/>
                  <w:w w:val="85"/>
                </w:rPr>
                <w:t>Merger</w:t>
              </w:r>
            </w:hyperlink>
          </w:p>
        </w:tc>
        <w:tc>
          <w:tcPr>
            <w:tcW w:w="840" w:type="dxa"/>
            <w:vAlign w:val="bottom"/>
            <w:tcBorders>
              <w:top w:val="single" w:sz="8" w:color="0000EE"/>
            </w:tcBorders>
            <w:gridSpan w:val="13"/>
          </w:tcPr>
          <w:p>
            <w:pPr>
              <w:spacing w:after="0"/>
              <w:rPr>
                <w:sz w:val="10"/>
                <w:szCs w:val="10"/>
                <w:color w:val="auto"/>
              </w:rPr>
            </w:pPr>
          </w:p>
        </w:tc>
        <w:tc>
          <w:tcPr>
            <w:tcW w:w="3780" w:type="dxa"/>
            <w:vAlign w:val="bottom"/>
            <w:gridSpan w:val="9"/>
          </w:tcPr>
          <w:p>
            <w:pPr>
              <w:spacing w:after="0"/>
              <w:rPr>
                <w:sz w:val="10"/>
                <w:szCs w:val="10"/>
                <w:color w:val="auto"/>
              </w:rPr>
            </w:pPr>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33</w:t>
            </w:r>
          </w:p>
        </w:tc>
      </w:tr>
      <w:tr>
        <w:trPr>
          <w:trHeight w:val="115"/>
        </w:trPr>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line="115" w:lineRule="exact"/>
              <w:rPr>
                <w:rFonts w:ascii="Arial" w:cs="Arial" w:eastAsia="Arial" w:hAnsi="Arial"/>
                <w:sz w:val="11"/>
                <w:szCs w:val="11"/>
                <w:color w:val="0000EE"/>
                <w:w w:val="91"/>
              </w:rPr>
            </w:pPr>
            <w:hyperlink w:anchor="page102">
              <w:r>
                <w:rPr>
                  <w:rFonts w:ascii="Arial" w:cs="Arial" w:eastAsia="Arial" w:hAnsi="Arial"/>
                  <w:sz w:val="11"/>
                  <w:szCs w:val="11"/>
                  <w:color w:val="0000EE"/>
                  <w:w w:val="91"/>
                </w:rPr>
                <w:t>6.</w:t>
              </w:r>
              <w:r>
                <w:rPr>
                  <w:rFonts w:ascii="Arial" w:cs="Arial" w:eastAsia="Arial" w:hAnsi="Arial"/>
                  <w:sz w:val="11"/>
                  <w:szCs w:val="11"/>
                  <w:u w:val="single" w:color="auto"/>
                  <w:color w:val="0000EE"/>
                  <w:w w:val="91"/>
                </w:rPr>
                <w:t>6</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gridSpan w:val="25"/>
          </w:tcPr>
          <w:p>
            <w:pPr>
              <w:spacing w:after="0" w:line="115" w:lineRule="exact"/>
              <w:rPr>
                <w:rFonts w:ascii="Arial" w:cs="Arial" w:eastAsia="Arial" w:hAnsi="Arial"/>
                <w:sz w:val="11"/>
                <w:szCs w:val="11"/>
                <w:color w:val="0000EE"/>
              </w:rPr>
            </w:pPr>
            <w:hyperlink w:anchor="page102">
              <w:r>
                <w:rPr>
                  <w:rFonts w:ascii="Arial" w:cs="Arial" w:eastAsia="Arial" w:hAnsi="Arial"/>
                  <w:sz w:val="11"/>
                  <w:szCs w:val="11"/>
                  <w:color w:val="0000EE"/>
                </w:rPr>
                <w:t>Reset Margin</w:t>
              </w:r>
            </w:hyperlink>
          </w:p>
        </w:tc>
        <w:tc>
          <w:tcPr>
            <w:tcW w:w="2820" w:type="dxa"/>
            <w:vAlign w:val="bottom"/>
          </w:tcPr>
          <w:p>
            <w:pPr>
              <w:ind w:left="2000"/>
              <w:spacing w:after="0" w:line="115" w:lineRule="exact"/>
              <w:rPr>
                <w:sz w:val="20"/>
                <w:szCs w:val="20"/>
                <w:color w:val="auto"/>
              </w:rPr>
            </w:pPr>
            <w:r>
              <w:rPr>
                <w:rFonts w:ascii="Arial" w:cs="Arial" w:eastAsia="Arial" w:hAnsi="Arial"/>
                <w:sz w:val="11"/>
                <w:szCs w:val="11"/>
                <w:color w:val="auto"/>
              </w:rPr>
              <w:t>34</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1333500</wp:posOffset>
            </wp:positionV>
            <wp:extent cx="5891530" cy="50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91530" cy="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2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080" w:type="dxa"/>
            <w:vAlign w:val="bottom"/>
          </w:tcPr>
          <w:p>
            <w:pPr>
              <w:ind w:left="3820"/>
              <w:spacing w:after="0"/>
              <w:rPr>
                <w:sz w:val="20"/>
                <w:szCs w:val="20"/>
                <w:color w:val="auto"/>
              </w:rPr>
            </w:pPr>
            <w:r>
              <w:rPr>
                <w:rFonts w:ascii="Arial" w:cs="Arial" w:eastAsia="Arial" w:hAnsi="Arial"/>
                <w:sz w:val="8"/>
                <w:szCs w:val="8"/>
                <w:color w:val="auto"/>
              </w:rPr>
              <w:t>page ii</w:t>
            </w:r>
          </w:p>
        </w:tc>
      </w:tr>
      <w:tr>
        <w:trPr>
          <w:trHeight w:val="94"/>
        </w:trPr>
        <w:tc>
          <w:tcPr>
            <w:tcW w:w="520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08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20" w:type="dxa"/>
            <w:vAlign w:val="bottom"/>
            <w:tcBorders>
              <w:bottom w:val="single" w:sz="8" w:color="EEEEEE"/>
            </w:tcBorders>
          </w:tcPr>
          <w:p>
            <w:pPr>
              <w:spacing w:after="0"/>
              <w:rPr>
                <w:sz w:val="18"/>
                <w:szCs w:val="18"/>
                <w:color w:val="auto"/>
              </w:rPr>
            </w:pPr>
          </w:p>
        </w:tc>
        <w:tc>
          <w:tcPr>
            <w:tcW w:w="408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35"/>
        </w:trPr>
        <w:tc>
          <w:tcPr>
            <w:tcW w:w="1460" w:type="dxa"/>
            <w:vAlign w:val="bottom"/>
            <w:gridSpan w:val="9"/>
          </w:tcPr>
          <w:p>
            <w:pPr>
              <w:spacing w:after="0"/>
              <w:rPr>
                <w:sz w:val="20"/>
                <w:szCs w:val="20"/>
                <w:color w:val="auto"/>
              </w:rPr>
            </w:pPr>
            <w:r>
              <w:rPr>
                <w:rFonts w:ascii="Arial" w:cs="Arial" w:eastAsia="Arial" w:hAnsi="Arial"/>
                <w:sz w:val="11"/>
                <w:szCs w:val="11"/>
                <w:color w:val="auto"/>
              </w:rPr>
              <w:t>Corrs Chambers Westgarth</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7"/>
        </w:trPr>
        <w:tc>
          <w:tcPr>
            <w:tcW w:w="820" w:type="dxa"/>
            <w:vAlign w:val="bottom"/>
            <w:gridSpan w:val="4"/>
          </w:tcPr>
          <w:p>
            <w:pPr>
              <w:spacing w:after="0" w:line="117" w:lineRule="exact"/>
              <w:rPr>
                <w:rFonts w:ascii="Arial" w:cs="Arial" w:eastAsia="Arial" w:hAnsi="Arial"/>
                <w:sz w:val="11"/>
                <w:szCs w:val="11"/>
                <w:color w:val="0000EE"/>
              </w:rPr>
            </w:pPr>
            <w:hyperlink w:anchor="page102">
              <w:r>
                <w:rPr>
                  <w:rFonts w:ascii="Arial" w:cs="Arial" w:eastAsia="Arial" w:hAnsi="Arial"/>
                  <w:sz w:val="11"/>
                  <w:szCs w:val="11"/>
                  <w:color w:val="0000EE"/>
                </w:rPr>
                <w:t>7</w:t>
              </w:r>
              <w:r>
                <w:rPr>
                  <w:rFonts w:ascii="Arial" w:cs="Arial" w:eastAsia="Arial" w:hAnsi="Arial"/>
                  <w:sz w:val="11"/>
                  <w:szCs w:val="11"/>
                  <w:color w:val="000000"/>
                </w:rPr>
                <w:t>​</w:t>
              </w:r>
            </w:hyperlink>
          </w:p>
        </w:tc>
        <w:tc>
          <w:tcPr>
            <w:tcW w:w="640" w:type="dxa"/>
            <w:vAlign w:val="bottom"/>
            <w:gridSpan w:val="5"/>
          </w:tcPr>
          <w:p>
            <w:pPr>
              <w:spacing w:after="0" w:line="117" w:lineRule="exact"/>
              <w:rPr>
                <w:rFonts w:ascii="Arial" w:cs="Arial" w:eastAsia="Arial" w:hAnsi="Arial"/>
                <w:sz w:val="11"/>
                <w:szCs w:val="11"/>
                <w:color w:val="0000EE"/>
              </w:rPr>
            </w:pPr>
            <w:hyperlink w:anchor="page102">
              <w:r>
                <w:rPr>
                  <w:rFonts w:ascii="Arial" w:cs="Arial" w:eastAsia="Arial" w:hAnsi="Arial"/>
                  <w:sz w:val="11"/>
                  <w:szCs w:val="11"/>
                  <w:color w:val="0000EE"/>
                </w:rPr>
                <w:t>Payments</w:t>
              </w:r>
            </w:hyperlink>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020" w:type="dxa"/>
            <w:vAlign w:val="bottom"/>
          </w:tcPr>
          <w:p>
            <w:pPr>
              <w:jc w:val="right"/>
              <w:ind w:right="646"/>
              <w:spacing w:after="0" w:line="117" w:lineRule="exact"/>
              <w:rPr>
                <w:sz w:val="20"/>
                <w:szCs w:val="20"/>
                <w:color w:val="auto"/>
              </w:rPr>
            </w:pPr>
            <w:r>
              <w:rPr>
                <w:rFonts w:ascii="Arial" w:cs="Arial" w:eastAsia="Arial" w:hAnsi="Arial"/>
                <w:sz w:val="11"/>
                <w:szCs w:val="11"/>
                <w:color w:val="auto"/>
              </w:rPr>
              <w:t>34</w:t>
            </w:r>
          </w:p>
        </w:tc>
        <w:tc>
          <w:tcPr>
            <w:tcW w:w="20" w:type="dxa"/>
            <w:vAlign w:val="bottom"/>
          </w:tcPr>
          <w:p>
            <w:pPr>
              <w:spacing w:after="0"/>
              <w:rPr>
                <w:sz w:val="10"/>
                <w:szCs w:val="10"/>
                <w:color w:val="auto"/>
              </w:rPr>
            </w:pP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line="83" w:lineRule="exact"/>
              <w:rPr>
                <w:sz w:val="20"/>
                <w:szCs w:val="20"/>
                <w:color w:val="auto"/>
              </w:rPr>
            </w:pPr>
            <w:r>
              <w:rPr>
                <w:rFonts w:ascii="Arial" w:cs="Arial" w:eastAsia="Arial" w:hAnsi="Arial"/>
                <w:sz w:val="9"/>
                <w:szCs w:val="9"/>
                <w:color w:val="0000EE"/>
              </w:rPr>
              <w:t>7.</w:t>
            </w:r>
            <w:r>
              <w:rPr>
                <w:rFonts w:ascii="Arial" w:cs="Arial" w:eastAsia="Arial" w:hAnsi="Arial"/>
                <w:sz w:val="9"/>
                <w:szCs w:val="9"/>
                <w:u w:val="single" w:color="auto"/>
                <w:color w:val="0000EE"/>
              </w:rPr>
              <w:t>1</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780" w:type="dxa"/>
            <w:vAlign w:val="bottom"/>
            <w:gridSpan w:val="29"/>
          </w:tcPr>
          <w:p>
            <w:pPr>
              <w:spacing w:after="0" w:line="83" w:lineRule="exact"/>
              <w:rPr>
                <w:sz w:val="20"/>
                <w:szCs w:val="20"/>
                <w:color w:val="auto"/>
              </w:rPr>
            </w:pPr>
            <w:r>
              <w:rPr>
                <w:rFonts w:ascii="Arial" w:cs="Arial" w:eastAsia="Arial" w:hAnsi="Arial"/>
                <w:sz w:val="9"/>
                <w:szCs w:val="9"/>
                <w:color w:val="0000EE"/>
              </w:rPr>
              <w:t>Place, manner and time of payment</w:t>
            </w:r>
          </w:p>
        </w:tc>
        <w:tc>
          <w:tcPr>
            <w:tcW w:w="3020" w:type="dxa"/>
            <w:vAlign w:val="bottom"/>
          </w:tcPr>
          <w:p>
            <w:pPr>
              <w:jc w:val="right"/>
              <w:ind w:right="646"/>
              <w:spacing w:after="0" w:line="83" w:lineRule="exact"/>
              <w:rPr>
                <w:sz w:val="20"/>
                <w:szCs w:val="20"/>
                <w:color w:val="auto"/>
              </w:rPr>
            </w:pPr>
            <w:r>
              <w:rPr>
                <w:rFonts w:ascii="Arial" w:cs="Arial" w:eastAsia="Arial" w:hAnsi="Arial"/>
                <w:sz w:val="9"/>
                <w:szCs w:val="9"/>
                <w:color w:val="auto"/>
              </w:rPr>
              <w:t>34</w:t>
            </w:r>
          </w:p>
        </w:tc>
        <w:tc>
          <w:tcPr>
            <w:tcW w:w="20" w:type="dxa"/>
            <w:vAlign w:val="bottom"/>
          </w:tcPr>
          <w:p>
            <w:pPr>
              <w:spacing w:after="0"/>
              <w:rPr>
                <w:sz w:val="7"/>
                <w:szCs w:val="7"/>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0000EE"/>
            </w:tcBorders>
          </w:tcPr>
          <w:p>
            <w:pPr>
              <w:spacing w:after="0" w:line="115" w:lineRule="exact"/>
              <w:rPr>
                <w:sz w:val="20"/>
                <w:szCs w:val="20"/>
                <w:color w:val="auto"/>
              </w:rPr>
            </w:pPr>
            <w:r>
              <w:rPr>
                <w:rFonts w:ascii="Arial" w:cs="Arial" w:eastAsia="Arial" w:hAnsi="Arial"/>
                <w:sz w:val="11"/>
                <w:szCs w:val="11"/>
                <w:color w:val="0000EE"/>
                <w:w w:val="91"/>
              </w:rPr>
              <w:t>7.</w:t>
            </w:r>
            <w:r>
              <w:rPr>
                <w:rFonts w:ascii="Arial" w:cs="Arial" w:eastAsia="Arial" w:hAnsi="Arial"/>
                <w:sz w:val="11"/>
                <w:szCs w:val="11"/>
                <w:u w:val="single" w:color="auto"/>
                <w:color w:val="0000EE"/>
                <w:w w:val="91"/>
              </w:rPr>
              <w:t>2</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tcBorders>
              <w:top w:val="single" w:sz="8" w:color="0000EE"/>
            </w:tcBorders>
            <w:gridSpan w:val="26"/>
          </w:tcPr>
          <w:p>
            <w:pPr>
              <w:spacing w:after="0" w:line="115" w:lineRule="exact"/>
              <w:rPr>
                <w:sz w:val="20"/>
                <w:szCs w:val="20"/>
                <w:color w:val="auto"/>
              </w:rPr>
            </w:pPr>
            <w:r>
              <w:rPr>
                <w:rFonts w:ascii="Arial" w:cs="Arial" w:eastAsia="Arial" w:hAnsi="Arial"/>
                <w:sz w:val="11"/>
                <w:szCs w:val="11"/>
                <w:color w:val="0000EE"/>
              </w:rPr>
              <w:t>Gross-up</w:t>
            </w:r>
          </w:p>
        </w:tc>
        <w:tc>
          <w:tcPr>
            <w:tcW w:w="3020" w:type="dxa"/>
            <w:vAlign w:val="bottom"/>
            <w:gridSpan w:val="3"/>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35</w:t>
            </w:r>
          </w:p>
        </w:tc>
        <w:tc>
          <w:tcPr>
            <w:tcW w:w="20" w:type="dxa"/>
            <w:vAlign w:val="bottom"/>
          </w:tcPr>
          <w:p>
            <w:pPr>
              <w:spacing w:after="0"/>
              <w:rPr>
                <w:sz w:val="10"/>
                <w:szCs w:val="10"/>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sz w:val="20"/>
                <w:szCs w:val="20"/>
                <w:color w:val="auto"/>
              </w:rPr>
            </w:pPr>
            <w:r>
              <w:rPr>
                <w:rFonts w:ascii="Arial" w:cs="Arial" w:eastAsia="Arial" w:hAnsi="Arial"/>
                <w:sz w:val="11"/>
                <w:szCs w:val="11"/>
                <w:color w:val="0000EE"/>
                <w:w w:val="91"/>
              </w:rPr>
              <w:t>7.</w:t>
            </w:r>
            <w:r>
              <w:rPr>
                <w:rFonts w:ascii="Arial" w:cs="Arial" w:eastAsia="Arial" w:hAnsi="Arial"/>
                <w:sz w:val="11"/>
                <w:szCs w:val="11"/>
                <w:u w:val="single" w:color="auto"/>
                <w:color w:val="0000EE"/>
                <w:w w:val="91"/>
              </w:rPr>
              <w:t>3</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bottom w:val="single" w:sz="8" w:color="0000EE"/>
            </w:tcBorders>
            <w:gridSpan w:val="10"/>
          </w:tcPr>
          <w:p>
            <w:pPr>
              <w:spacing w:after="0" w:line="115" w:lineRule="exact"/>
              <w:rPr>
                <w:sz w:val="20"/>
                <w:szCs w:val="20"/>
                <w:color w:val="auto"/>
              </w:rPr>
            </w:pPr>
            <w:r>
              <w:rPr>
                <w:rFonts w:ascii="Arial" w:cs="Arial" w:eastAsia="Arial" w:hAnsi="Arial"/>
                <w:sz w:val="11"/>
                <w:szCs w:val="11"/>
                <w:color w:val="0000EE"/>
              </w:rPr>
              <w:t>Appropriation</w:t>
            </w:r>
          </w:p>
        </w:tc>
        <w:tc>
          <w:tcPr>
            <w:tcW w:w="4080" w:type="dxa"/>
            <w:vAlign w:val="bottom"/>
            <w:gridSpan w:val="19"/>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35</w:t>
            </w:r>
          </w:p>
        </w:tc>
        <w:tc>
          <w:tcPr>
            <w:tcW w:w="20" w:type="dxa"/>
            <w:vAlign w:val="bottom"/>
          </w:tcPr>
          <w:p>
            <w:pPr>
              <w:spacing w:after="0"/>
              <w:rPr>
                <w:sz w:val="10"/>
                <w:szCs w:val="10"/>
                <w:color w:val="auto"/>
              </w:rPr>
            </w:pPr>
          </w:p>
        </w:tc>
      </w:tr>
      <w:tr>
        <w:trPr>
          <w:trHeight w:val="115"/>
        </w:trPr>
        <w:tc>
          <w:tcPr>
            <w:tcW w:w="820" w:type="dxa"/>
            <w:vAlign w:val="bottom"/>
            <w:gridSpan w:val="4"/>
          </w:tcPr>
          <w:p>
            <w:pPr>
              <w:spacing w:after="0" w:line="115" w:lineRule="exact"/>
              <w:rPr>
                <w:rFonts w:ascii="Arial" w:cs="Arial" w:eastAsia="Arial" w:hAnsi="Arial"/>
                <w:sz w:val="11"/>
                <w:szCs w:val="11"/>
                <w:color w:val="0000EE"/>
              </w:rPr>
            </w:pPr>
            <w:hyperlink w:anchor="page103">
              <w:r>
                <w:rPr>
                  <w:rFonts w:ascii="Arial" w:cs="Arial" w:eastAsia="Arial" w:hAnsi="Arial"/>
                  <w:sz w:val="11"/>
                  <w:szCs w:val="11"/>
                  <w:color w:val="0000EE"/>
                </w:rPr>
                <w:t>8</w:t>
              </w:r>
              <w:r>
                <w:rPr>
                  <w:rFonts w:ascii="Arial" w:cs="Arial" w:eastAsia="Arial" w:hAnsi="Arial"/>
                  <w:sz w:val="11"/>
                  <w:szCs w:val="11"/>
                  <w:color w:val="000000"/>
                </w:rPr>
                <w:t>​</w:t>
              </w:r>
            </w:hyperlink>
          </w:p>
        </w:tc>
        <w:tc>
          <w:tcPr>
            <w:tcW w:w="5420" w:type="dxa"/>
            <w:vAlign w:val="bottom"/>
            <w:gridSpan w:val="34"/>
          </w:tcPr>
          <w:p>
            <w:pPr>
              <w:spacing w:after="0" w:line="115" w:lineRule="exact"/>
              <w:rPr>
                <w:rFonts w:ascii="Arial" w:cs="Arial" w:eastAsia="Arial" w:hAnsi="Arial"/>
                <w:sz w:val="11"/>
                <w:szCs w:val="11"/>
                <w:color w:val="0000EE"/>
              </w:rPr>
            </w:pPr>
            <w:hyperlink w:anchor="page103">
              <w:r>
                <w:rPr>
                  <w:rFonts w:ascii="Arial" w:cs="Arial" w:eastAsia="Arial" w:hAnsi="Arial"/>
                  <w:sz w:val="11"/>
                  <w:szCs w:val="11"/>
                  <w:color w:val="0000EE"/>
                </w:rPr>
                <w:t>Representations and warranties</w:t>
              </w:r>
            </w:hyperlink>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35</w:t>
            </w:r>
          </w:p>
        </w:tc>
        <w:tc>
          <w:tcPr>
            <w:tcW w:w="20" w:type="dxa"/>
            <w:vAlign w:val="bottom"/>
          </w:tcPr>
          <w:p>
            <w:pPr>
              <w:spacing w:after="0"/>
              <w:rPr>
                <w:sz w:val="10"/>
                <w:szCs w:val="10"/>
                <w:color w:val="auto"/>
              </w:rPr>
            </w:pP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820" w:type="dxa"/>
            <w:vAlign w:val="bottom"/>
            <w:gridSpan w:val="4"/>
          </w:tcPr>
          <w:p>
            <w:pPr>
              <w:spacing w:after="0" w:line="83" w:lineRule="exact"/>
              <w:rPr>
                <w:rFonts w:ascii="Arial" w:cs="Arial" w:eastAsia="Arial" w:hAnsi="Arial"/>
                <w:sz w:val="9"/>
                <w:szCs w:val="9"/>
                <w:color w:val="0000EE"/>
              </w:rPr>
            </w:pPr>
            <w:hyperlink w:anchor="page107">
              <w:r>
                <w:rPr>
                  <w:rFonts w:ascii="Arial" w:cs="Arial" w:eastAsia="Arial" w:hAnsi="Arial"/>
                  <w:sz w:val="9"/>
                  <w:szCs w:val="9"/>
                  <w:color w:val="0000EE"/>
                </w:rPr>
                <w:t>9</w:t>
              </w:r>
              <w:r>
                <w:rPr>
                  <w:rFonts w:ascii="Arial" w:cs="Arial" w:eastAsia="Arial" w:hAnsi="Arial"/>
                  <w:sz w:val="9"/>
                  <w:szCs w:val="9"/>
                  <w:color w:val="000000"/>
                </w:rPr>
                <w:t>​</w:t>
              </w:r>
            </w:hyperlink>
          </w:p>
        </w:tc>
        <w:tc>
          <w:tcPr>
            <w:tcW w:w="5420" w:type="dxa"/>
            <w:vAlign w:val="bottom"/>
            <w:gridSpan w:val="34"/>
          </w:tcPr>
          <w:p>
            <w:pPr>
              <w:spacing w:after="0" w:line="83" w:lineRule="exact"/>
              <w:rPr>
                <w:rFonts w:ascii="Arial" w:cs="Arial" w:eastAsia="Arial" w:hAnsi="Arial"/>
                <w:sz w:val="9"/>
                <w:szCs w:val="9"/>
                <w:color w:val="0000EE"/>
              </w:rPr>
            </w:pPr>
            <w:hyperlink w:anchor="page107">
              <w:r>
                <w:rPr>
                  <w:rFonts w:ascii="Arial" w:cs="Arial" w:eastAsia="Arial" w:hAnsi="Arial"/>
                  <w:sz w:val="9"/>
                  <w:szCs w:val="9"/>
                  <w:color w:val="0000EE"/>
                </w:rPr>
                <w:t>General obligations</w:t>
              </w:r>
            </w:hyperlink>
          </w:p>
        </w:tc>
        <w:tc>
          <w:tcPr>
            <w:tcW w:w="3020" w:type="dxa"/>
            <w:vAlign w:val="bottom"/>
          </w:tcPr>
          <w:p>
            <w:pPr>
              <w:jc w:val="right"/>
              <w:ind w:right="646"/>
              <w:spacing w:after="0" w:line="83" w:lineRule="exact"/>
              <w:rPr>
                <w:sz w:val="20"/>
                <w:szCs w:val="20"/>
                <w:color w:val="auto"/>
              </w:rPr>
            </w:pPr>
            <w:r>
              <w:rPr>
                <w:rFonts w:ascii="Arial" w:cs="Arial" w:eastAsia="Arial" w:hAnsi="Arial"/>
                <w:sz w:val="9"/>
                <w:szCs w:val="9"/>
                <w:color w:val="auto"/>
              </w:rPr>
              <w:t>39</w:t>
            </w:r>
          </w:p>
        </w:tc>
        <w:tc>
          <w:tcPr>
            <w:tcW w:w="20" w:type="dxa"/>
            <w:vAlign w:val="bottom"/>
          </w:tcPr>
          <w:p>
            <w:pPr>
              <w:spacing w:after="0"/>
              <w:rPr>
                <w:sz w:val="7"/>
                <w:szCs w:val="7"/>
                <w:color w:val="auto"/>
              </w:rPr>
            </w:pP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line="83" w:lineRule="exact"/>
              <w:rPr>
                <w:rFonts w:ascii="Arial" w:cs="Arial" w:eastAsia="Arial" w:hAnsi="Arial"/>
                <w:sz w:val="9"/>
                <w:szCs w:val="9"/>
                <w:color w:val="0000EE"/>
              </w:rPr>
            </w:pPr>
            <w:hyperlink w:anchor="page107">
              <w:r>
                <w:rPr>
                  <w:rFonts w:ascii="Arial" w:cs="Arial" w:eastAsia="Arial" w:hAnsi="Arial"/>
                  <w:sz w:val="9"/>
                  <w:szCs w:val="9"/>
                  <w:color w:val="0000EE"/>
                </w:rPr>
                <w:t>9.</w:t>
              </w:r>
              <w:r>
                <w:rPr>
                  <w:rFonts w:ascii="Arial" w:cs="Arial" w:eastAsia="Arial" w:hAnsi="Arial"/>
                  <w:sz w:val="9"/>
                  <w:szCs w:val="9"/>
                  <w:u w:val="single" w:color="auto"/>
                  <w:color w:val="0000EE"/>
                </w:rPr>
                <w:t>1</w:t>
              </w:r>
            </w:hyperlink>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780" w:type="dxa"/>
            <w:vAlign w:val="bottom"/>
            <w:gridSpan w:val="29"/>
          </w:tcPr>
          <w:p>
            <w:pPr>
              <w:spacing w:after="0" w:line="83" w:lineRule="exact"/>
              <w:rPr>
                <w:rFonts w:ascii="Arial" w:cs="Arial" w:eastAsia="Arial" w:hAnsi="Arial"/>
                <w:sz w:val="9"/>
                <w:szCs w:val="9"/>
                <w:color w:val="0000EE"/>
              </w:rPr>
            </w:pPr>
            <w:hyperlink w:anchor="page107">
              <w:r>
                <w:rPr>
                  <w:rFonts w:ascii="Arial" w:cs="Arial" w:eastAsia="Arial" w:hAnsi="Arial"/>
                  <w:sz w:val="9"/>
                  <w:szCs w:val="9"/>
                  <w:color w:val="0000EE"/>
                </w:rPr>
                <w:t>Fees</w:t>
              </w:r>
            </w:hyperlink>
          </w:p>
        </w:tc>
        <w:tc>
          <w:tcPr>
            <w:tcW w:w="3020" w:type="dxa"/>
            <w:vAlign w:val="bottom"/>
          </w:tcPr>
          <w:p>
            <w:pPr>
              <w:jc w:val="right"/>
              <w:ind w:right="646"/>
              <w:spacing w:after="0" w:line="83" w:lineRule="exact"/>
              <w:rPr>
                <w:sz w:val="20"/>
                <w:szCs w:val="20"/>
                <w:color w:val="auto"/>
              </w:rPr>
            </w:pPr>
            <w:r>
              <w:rPr>
                <w:rFonts w:ascii="Arial" w:cs="Arial" w:eastAsia="Arial" w:hAnsi="Arial"/>
                <w:sz w:val="9"/>
                <w:szCs w:val="9"/>
                <w:color w:val="auto"/>
              </w:rPr>
              <w:t>39</w:t>
            </w:r>
          </w:p>
        </w:tc>
        <w:tc>
          <w:tcPr>
            <w:tcW w:w="20" w:type="dxa"/>
            <w:vAlign w:val="bottom"/>
          </w:tcPr>
          <w:p>
            <w:pPr>
              <w:spacing w:after="0"/>
              <w:rPr>
                <w:sz w:val="7"/>
                <w:szCs w:val="7"/>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rFonts w:ascii="Arial" w:cs="Arial" w:eastAsia="Arial" w:hAnsi="Arial"/>
                <w:sz w:val="11"/>
                <w:szCs w:val="11"/>
                <w:color w:val="0000EE"/>
                <w:w w:val="91"/>
              </w:rPr>
            </w:pPr>
            <w:hyperlink w:anchor="page108">
              <w:r>
                <w:rPr>
                  <w:rFonts w:ascii="Arial" w:cs="Arial" w:eastAsia="Arial" w:hAnsi="Arial"/>
                  <w:sz w:val="11"/>
                  <w:szCs w:val="11"/>
                  <w:color w:val="0000EE"/>
                  <w:w w:val="91"/>
                </w:rPr>
                <w:t>9.</w:t>
              </w:r>
              <w:r>
                <w:rPr>
                  <w:rFonts w:ascii="Arial" w:cs="Arial" w:eastAsia="Arial" w:hAnsi="Arial"/>
                  <w:sz w:val="11"/>
                  <w:szCs w:val="11"/>
                  <w:u w:val="single" w:color="auto"/>
                  <w:color w:val="0000EE"/>
                  <w:w w:val="91"/>
                </w:rPr>
                <w:t>2</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bottom w:val="single" w:sz="8" w:color="0000EE"/>
            </w:tcBorders>
            <w:gridSpan w:val="4"/>
          </w:tcPr>
          <w:p>
            <w:pPr>
              <w:spacing w:after="0" w:line="115" w:lineRule="exact"/>
              <w:rPr>
                <w:rFonts w:ascii="Arial" w:cs="Arial" w:eastAsia="Arial" w:hAnsi="Arial"/>
                <w:sz w:val="11"/>
                <w:szCs w:val="11"/>
                <w:color w:val="0000EE"/>
                <w:w w:val="92"/>
              </w:rPr>
            </w:pPr>
            <w:hyperlink w:anchor="page108">
              <w:r>
                <w:rPr>
                  <w:rFonts w:ascii="Arial" w:cs="Arial" w:eastAsia="Arial" w:hAnsi="Arial"/>
                  <w:sz w:val="11"/>
                  <w:szCs w:val="11"/>
                  <w:color w:val="0000EE"/>
                  <w:w w:val="92"/>
                </w:rPr>
                <w:t>Records</w:t>
              </w:r>
            </w:hyperlink>
          </w:p>
        </w:tc>
        <w:tc>
          <w:tcPr>
            <w:tcW w:w="4360" w:type="dxa"/>
            <w:vAlign w:val="bottom"/>
            <w:gridSpan w:val="25"/>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40</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line="115" w:lineRule="exact"/>
              <w:rPr>
                <w:rFonts w:ascii="Arial" w:cs="Arial" w:eastAsia="Arial" w:hAnsi="Arial"/>
                <w:sz w:val="11"/>
                <w:szCs w:val="11"/>
                <w:color w:val="0000EE"/>
                <w:w w:val="91"/>
              </w:rPr>
            </w:pPr>
            <w:hyperlink w:anchor="page108">
              <w:r>
                <w:rPr>
                  <w:rFonts w:ascii="Arial" w:cs="Arial" w:eastAsia="Arial" w:hAnsi="Arial"/>
                  <w:sz w:val="11"/>
                  <w:szCs w:val="11"/>
                  <w:color w:val="0000EE"/>
                  <w:w w:val="91"/>
                </w:rPr>
                <w:t>9.</w:t>
              </w:r>
              <w:r>
                <w:rPr>
                  <w:rFonts w:ascii="Arial" w:cs="Arial" w:eastAsia="Arial" w:hAnsi="Arial"/>
                  <w:sz w:val="11"/>
                  <w:szCs w:val="11"/>
                  <w:u w:val="single" w:color="auto"/>
                  <w:color w:val="0000EE"/>
                  <w:w w:val="91"/>
                </w:rPr>
                <w:t>3</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80" w:type="dxa"/>
            <w:vAlign w:val="bottom"/>
            <w:gridSpan w:val="29"/>
          </w:tcPr>
          <w:p>
            <w:pPr>
              <w:spacing w:after="0" w:line="115" w:lineRule="exact"/>
              <w:rPr>
                <w:rFonts w:ascii="Arial" w:cs="Arial" w:eastAsia="Arial" w:hAnsi="Arial"/>
                <w:sz w:val="11"/>
                <w:szCs w:val="11"/>
                <w:color w:val="0000EE"/>
              </w:rPr>
            </w:pPr>
            <w:hyperlink w:anchor="page108">
              <w:r>
                <w:rPr>
                  <w:rFonts w:ascii="Arial" w:cs="Arial" w:eastAsia="Arial" w:hAnsi="Arial"/>
                  <w:sz w:val="11"/>
                  <w:szCs w:val="11"/>
                  <w:color w:val="0000EE"/>
                </w:rPr>
                <w:t>Financial Statements and other financial information</w:t>
              </w:r>
            </w:hyperlink>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40</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0000EE"/>
            </w:tcBorders>
          </w:tcPr>
          <w:p>
            <w:pPr>
              <w:spacing w:after="0" w:line="115" w:lineRule="exact"/>
              <w:rPr>
                <w:rFonts w:ascii="Arial" w:cs="Arial" w:eastAsia="Arial" w:hAnsi="Arial"/>
                <w:sz w:val="11"/>
                <w:szCs w:val="11"/>
                <w:color w:val="0000EE"/>
                <w:w w:val="91"/>
              </w:rPr>
            </w:pPr>
            <w:hyperlink w:anchor="page109">
              <w:r>
                <w:rPr>
                  <w:rFonts w:ascii="Arial" w:cs="Arial" w:eastAsia="Arial" w:hAnsi="Arial"/>
                  <w:sz w:val="11"/>
                  <w:szCs w:val="11"/>
                  <w:color w:val="0000EE"/>
                  <w:w w:val="91"/>
                </w:rPr>
                <w:t>9.</w:t>
              </w:r>
              <w:r>
                <w:rPr>
                  <w:rFonts w:ascii="Arial" w:cs="Arial" w:eastAsia="Arial" w:hAnsi="Arial"/>
                  <w:sz w:val="11"/>
                  <w:szCs w:val="11"/>
                  <w:u w:val="single" w:color="auto"/>
                  <w:color w:val="0000EE"/>
                  <w:w w:val="91"/>
                </w:rPr>
                <w:t>4</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Borders>
              <w:top w:val="single" w:sz="8" w:color="0000EE"/>
            </w:tcBorders>
            <w:gridSpan w:val="28"/>
          </w:tcPr>
          <w:p>
            <w:pPr>
              <w:spacing w:after="0" w:line="115" w:lineRule="exact"/>
              <w:rPr>
                <w:rFonts w:ascii="Arial" w:cs="Arial" w:eastAsia="Arial" w:hAnsi="Arial"/>
                <w:sz w:val="11"/>
                <w:szCs w:val="11"/>
                <w:color w:val="0000EE"/>
              </w:rPr>
            </w:pPr>
            <w:hyperlink w:anchor="page109">
              <w:r>
                <w:rPr>
                  <w:rFonts w:ascii="Arial" w:cs="Arial" w:eastAsia="Arial" w:hAnsi="Arial"/>
                  <w:sz w:val="11"/>
                  <w:szCs w:val="11"/>
                  <w:color w:val="0000EE"/>
                </w:rPr>
                <w:t>Adjustments for AASB 16</w:t>
              </w:r>
            </w:hyperlink>
          </w:p>
        </w:tc>
        <w:tc>
          <w:tcPr>
            <w:tcW w:w="2200" w:type="dxa"/>
            <w:vAlign w:val="bottom"/>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41</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0000EE"/>
            </w:tcBorders>
          </w:tcPr>
          <w:p>
            <w:pPr>
              <w:spacing w:after="0" w:line="115" w:lineRule="exact"/>
              <w:rPr>
                <w:rFonts w:ascii="Arial" w:cs="Arial" w:eastAsia="Arial" w:hAnsi="Arial"/>
                <w:sz w:val="11"/>
                <w:szCs w:val="11"/>
                <w:color w:val="0000EE"/>
                <w:w w:val="91"/>
              </w:rPr>
            </w:pPr>
            <w:hyperlink w:anchor="page110">
              <w:r>
                <w:rPr>
                  <w:rFonts w:ascii="Arial" w:cs="Arial" w:eastAsia="Arial" w:hAnsi="Arial"/>
                  <w:sz w:val="11"/>
                  <w:szCs w:val="11"/>
                  <w:color w:val="0000EE"/>
                  <w:w w:val="91"/>
                </w:rPr>
                <w:t>9.</w:t>
              </w:r>
              <w:r>
                <w:rPr>
                  <w:rFonts w:ascii="Arial" w:cs="Arial" w:eastAsia="Arial" w:hAnsi="Arial"/>
                  <w:sz w:val="11"/>
                  <w:szCs w:val="11"/>
                  <w:u w:val="single" w:color="auto"/>
                  <w:color w:val="0000EE"/>
                  <w:w w:val="91"/>
                </w:rPr>
                <w:t>5</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Borders>
              <w:top w:val="single" w:sz="8" w:color="0000EE"/>
            </w:tcBorders>
            <w:gridSpan w:val="20"/>
          </w:tcPr>
          <w:p>
            <w:pPr>
              <w:spacing w:after="0" w:line="115" w:lineRule="exact"/>
              <w:rPr>
                <w:rFonts w:ascii="Arial" w:cs="Arial" w:eastAsia="Arial" w:hAnsi="Arial"/>
                <w:sz w:val="11"/>
                <w:szCs w:val="11"/>
                <w:color w:val="0000EE"/>
              </w:rPr>
            </w:pPr>
            <w:hyperlink w:anchor="page110">
              <w:r>
                <w:rPr>
                  <w:rFonts w:ascii="Arial" w:cs="Arial" w:eastAsia="Arial" w:hAnsi="Arial"/>
                  <w:sz w:val="11"/>
                  <w:szCs w:val="11"/>
                  <w:color w:val="0000EE"/>
                </w:rPr>
                <w:t>Other information</w:t>
              </w:r>
            </w:hyperlink>
          </w:p>
        </w:tc>
        <w:tc>
          <w:tcPr>
            <w:tcW w:w="3520" w:type="dxa"/>
            <w:vAlign w:val="bottom"/>
            <w:gridSpan w:val="9"/>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42</w:t>
            </w:r>
          </w:p>
        </w:tc>
        <w:tc>
          <w:tcPr>
            <w:tcW w:w="20" w:type="dxa"/>
            <w:vAlign w:val="bottom"/>
          </w:tcPr>
          <w:p>
            <w:pPr>
              <w:spacing w:after="0"/>
              <w:rPr>
                <w:sz w:val="10"/>
                <w:szCs w:val="10"/>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rFonts w:ascii="Arial" w:cs="Arial" w:eastAsia="Arial" w:hAnsi="Arial"/>
                <w:sz w:val="11"/>
                <w:szCs w:val="11"/>
                <w:color w:val="0000EE"/>
                <w:w w:val="91"/>
              </w:rPr>
            </w:pPr>
            <w:hyperlink w:anchor="page111">
              <w:r>
                <w:rPr>
                  <w:rFonts w:ascii="Arial" w:cs="Arial" w:eastAsia="Arial" w:hAnsi="Arial"/>
                  <w:sz w:val="11"/>
                  <w:szCs w:val="11"/>
                  <w:color w:val="0000EE"/>
                  <w:w w:val="91"/>
                </w:rPr>
                <w:t>9.</w:t>
              </w:r>
              <w:r>
                <w:rPr>
                  <w:rFonts w:ascii="Arial" w:cs="Arial" w:eastAsia="Arial" w:hAnsi="Arial"/>
                  <w:sz w:val="11"/>
                  <w:szCs w:val="11"/>
                  <w:u w:val="single" w:color="auto"/>
                  <w:color w:val="0000EE"/>
                  <w:w w:val="91"/>
                </w:rPr>
                <w:t>6</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tcBorders>
              <w:bottom w:val="single" w:sz="8" w:color="0000EE"/>
            </w:tcBorders>
            <w:gridSpan w:val="23"/>
          </w:tcPr>
          <w:p>
            <w:pPr>
              <w:spacing w:after="0" w:line="115" w:lineRule="exact"/>
              <w:rPr>
                <w:sz w:val="20"/>
                <w:szCs w:val="20"/>
                <w:color w:val="auto"/>
              </w:rPr>
            </w:pPr>
            <w:r>
              <w:rPr>
                <w:rFonts w:ascii="Arial" w:cs="Arial" w:eastAsia="Arial" w:hAnsi="Arial"/>
                <w:sz w:val="11"/>
                <w:szCs w:val="11"/>
                <w:color w:val="0000EE"/>
              </w:rPr>
              <w:t>Other financial undertakings</w:t>
            </w:r>
          </w:p>
        </w:tc>
        <w:tc>
          <w:tcPr>
            <w:tcW w:w="3380" w:type="dxa"/>
            <w:vAlign w:val="bottom"/>
            <w:gridSpan w:val="6"/>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43</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rFonts w:ascii="Arial" w:cs="Arial" w:eastAsia="Arial" w:hAnsi="Arial"/>
                <w:sz w:val="11"/>
                <w:szCs w:val="11"/>
                <w:color w:val="0000EE"/>
                <w:w w:val="91"/>
              </w:rPr>
            </w:pPr>
            <w:hyperlink w:anchor="page114">
              <w:r>
                <w:rPr>
                  <w:rFonts w:ascii="Arial" w:cs="Arial" w:eastAsia="Arial" w:hAnsi="Arial"/>
                  <w:sz w:val="11"/>
                  <w:szCs w:val="11"/>
                  <w:color w:val="0000EE"/>
                  <w:w w:val="91"/>
                </w:rPr>
                <w:t>9.</w:t>
              </w:r>
              <w:r>
                <w:rPr>
                  <w:rFonts w:ascii="Arial" w:cs="Arial" w:eastAsia="Arial" w:hAnsi="Arial"/>
                  <w:sz w:val="11"/>
                  <w:szCs w:val="11"/>
                  <w:u w:val="single" w:color="auto"/>
                  <w:color w:val="0000EE"/>
                  <w:w w:val="91"/>
                </w:rPr>
                <w:t>7</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bottom w:val="single" w:sz="8" w:color="0000EE"/>
            </w:tcBorders>
            <w:gridSpan w:val="5"/>
          </w:tcPr>
          <w:p>
            <w:pPr>
              <w:spacing w:after="0" w:line="115" w:lineRule="exact"/>
              <w:rPr>
                <w:rFonts w:ascii="Arial" w:cs="Arial" w:eastAsia="Arial" w:hAnsi="Arial"/>
                <w:sz w:val="11"/>
                <w:szCs w:val="11"/>
                <w:color w:val="0000EE"/>
                <w:w w:val="99"/>
              </w:rPr>
            </w:pPr>
            <w:hyperlink w:anchor="page114">
              <w:r>
                <w:rPr>
                  <w:rFonts w:ascii="Arial" w:cs="Arial" w:eastAsia="Arial" w:hAnsi="Arial"/>
                  <w:sz w:val="11"/>
                  <w:szCs w:val="11"/>
                  <w:color w:val="0000EE"/>
                  <w:w w:val="99"/>
                </w:rPr>
                <w:t>Insurance</w:t>
              </w:r>
            </w:hyperlink>
          </w:p>
        </w:tc>
        <w:tc>
          <w:tcPr>
            <w:tcW w:w="4280" w:type="dxa"/>
            <w:vAlign w:val="bottom"/>
            <w:gridSpan w:val="24"/>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46</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rFonts w:ascii="Arial" w:cs="Arial" w:eastAsia="Arial" w:hAnsi="Arial"/>
                <w:sz w:val="11"/>
                <w:szCs w:val="11"/>
                <w:color w:val="0000EE"/>
                <w:w w:val="91"/>
              </w:rPr>
            </w:pPr>
            <w:hyperlink w:anchor="page114">
              <w:r>
                <w:rPr>
                  <w:rFonts w:ascii="Arial" w:cs="Arial" w:eastAsia="Arial" w:hAnsi="Arial"/>
                  <w:sz w:val="11"/>
                  <w:szCs w:val="11"/>
                  <w:color w:val="0000EE"/>
                  <w:w w:val="91"/>
                </w:rPr>
                <w:t>9.</w:t>
              </w:r>
              <w:r>
                <w:rPr>
                  <w:rFonts w:ascii="Arial" w:cs="Arial" w:eastAsia="Arial" w:hAnsi="Arial"/>
                  <w:sz w:val="11"/>
                  <w:szCs w:val="11"/>
                  <w:u w:val="single" w:color="auto"/>
                  <w:color w:val="0000EE"/>
                  <w:w w:val="91"/>
                </w:rPr>
                <w:t>8</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bottom w:val="single" w:sz="8" w:color="0000EE"/>
            </w:tcBorders>
            <w:gridSpan w:val="13"/>
          </w:tcPr>
          <w:p>
            <w:pPr>
              <w:spacing w:after="0" w:line="115" w:lineRule="exact"/>
              <w:rPr>
                <w:rFonts w:ascii="Arial" w:cs="Arial" w:eastAsia="Arial" w:hAnsi="Arial"/>
                <w:sz w:val="11"/>
                <w:szCs w:val="11"/>
                <w:color w:val="0000EE"/>
              </w:rPr>
            </w:pPr>
            <w:hyperlink w:anchor="page114">
              <w:r>
                <w:rPr>
                  <w:rFonts w:ascii="Arial" w:cs="Arial" w:eastAsia="Arial" w:hAnsi="Arial"/>
                  <w:sz w:val="11"/>
                  <w:szCs w:val="11"/>
                  <w:color w:val="0000EE"/>
                </w:rPr>
                <w:t>Financial ratios</w:t>
              </w:r>
            </w:hyperlink>
          </w:p>
        </w:tc>
        <w:tc>
          <w:tcPr>
            <w:tcW w:w="4000" w:type="dxa"/>
            <w:vAlign w:val="bottom"/>
            <w:gridSpan w:val="16"/>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46</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0000EE"/>
            </w:tcBorders>
          </w:tcPr>
          <w:p>
            <w:pPr>
              <w:spacing w:after="0" w:line="115" w:lineRule="exact"/>
              <w:rPr>
                <w:rFonts w:ascii="Arial" w:cs="Arial" w:eastAsia="Arial" w:hAnsi="Arial"/>
                <w:sz w:val="11"/>
                <w:szCs w:val="11"/>
                <w:color w:val="0000EE"/>
                <w:w w:val="91"/>
              </w:rPr>
            </w:pPr>
            <w:hyperlink w:anchor="page117">
              <w:r>
                <w:rPr>
                  <w:rFonts w:ascii="Arial" w:cs="Arial" w:eastAsia="Arial" w:hAnsi="Arial"/>
                  <w:sz w:val="11"/>
                  <w:szCs w:val="11"/>
                  <w:color w:val="0000EE"/>
                  <w:w w:val="91"/>
                </w:rPr>
                <w:t>9.</w:t>
              </w:r>
              <w:r>
                <w:rPr>
                  <w:rFonts w:ascii="Arial" w:cs="Arial" w:eastAsia="Arial" w:hAnsi="Arial"/>
                  <w:sz w:val="11"/>
                  <w:szCs w:val="11"/>
                  <w:u w:val="single" w:color="auto"/>
                  <w:color w:val="0000EE"/>
                  <w:w w:val="91"/>
                </w:rPr>
                <w:t>9</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bottom w:val="single" w:sz="8" w:color="0000EE"/>
            </w:tcBorders>
            <w:gridSpan w:val="8"/>
          </w:tcPr>
          <w:p>
            <w:pPr>
              <w:spacing w:after="0" w:line="115" w:lineRule="exact"/>
              <w:rPr>
                <w:rFonts w:ascii="Arial" w:cs="Arial" w:eastAsia="Arial" w:hAnsi="Arial"/>
                <w:sz w:val="11"/>
                <w:szCs w:val="11"/>
                <w:color w:val="0000EE"/>
              </w:rPr>
            </w:pPr>
            <w:hyperlink w:anchor="page117">
              <w:r>
                <w:rPr>
                  <w:rFonts w:ascii="Arial" w:cs="Arial" w:eastAsia="Arial" w:hAnsi="Arial"/>
                  <w:sz w:val="11"/>
                  <w:szCs w:val="11"/>
                  <w:color w:val="0000EE"/>
                </w:rPr>
                <w:t>Environment</w:t>
              </w:r>
            </w:hyperlink>
          </w:p>
        </w:tc>
        <w:tc>
          <w:tcPr>
            <w:tcW w:w="4140" w:type="dxa"/>
            <w:vAlign w:val="bottom"/>
            <w:gridSpan w:val="21"/>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49</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0000EE"/>
            </w:tcBorders>
            <w:gridSpan w:val="2"/>
          </w:tcPr>
          <w:p>
            <w:pPr>
              <w:spacing w:after="0" w:line="115" w:lineRule="exact"/>
              <w:rPr>
                <w:rFonts w:ascii="Arial" w:cs="Arial" w:eastAsia="Arial" w:hAnsi="Arial"/>
                <w:sz w:val="11"/>
                <w:szCs w:val="11"/>
                <w:color w:val="0000EE"/>
                <w:w w:val="93"/>
              </w:rPr>
            </w:pPr>
            <w:hyperlink w:anchor="page119">
              <w:r>
                <w:rPr>
                  <w:rFonts w:ascii="Arial" w:cs="Arial" w:eastAsia="Arial" w:hAnsi="Arial"/>
                  <w:sz w:val="11"/>
                  <w:szCs w:val="11"/>
                  <w:color w:val="0000EE"/>
                  <w:w w:val="93"/>
                </w:rPr>
                <w:t>9.</w:t>
              </w:r>
              <w:r>
                <w:rPr>
                  <w:rFonts w:ascii="Arial" w:cs="Arial" w:eastAsia="Arial" w:hAnsi="Arial"/>
                  <w:sz w:val="11"/>
                  <w:szCs w:val="11"/>
                  <w:u w:val="single" w:color="auto"/>
                  <w:color w:val="0000EE"/>
                  <w:w w:val="93"/>
                </w:rPr>
                <w:t>10</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0000EE"/>
            </w:tcBorders>
            <w:gridSpan w:val="6"/>
          </w:tcPr>
          <w:p>
            <w:pPr>
              <w:spacing w:after="0" w:line="115" w:lineRule="exact"/>
              <w:rPr>
                <w:rFonts w:ascii="Arial" w:cs="Arial" w:eastAsia="Arial" w:hAnsi="Arial"/>
                <w:sz w:val="11"/>
                <w:szCs w:val="11"/>
                <w:color w:val="0000EE"/>
                <w:w w:val="99"/>
              </w:rPr>
            </w:pPr>
            <w:hyperlink w:anchor="page119">
              <w:r>
                <w:rPr>
                  <w:rFonts w:ascii="Arial" w:cs="Arial" w:eastAsia="Arial" w:hAnsi="Arial"/>
                  <w:sz w:val="11"/>
                  <w:szCs w:val="11"/>
                  <w:color w:val="0000EE"/>
                  <w:w w:val="99"/>
                </w:rPr>
                <w:t>No default</w:t>
              </w:r>
            </w:hyperlink>
          </w:p>
        </w:tc>
        <w:tc>
          <w:tcPr>
            <w:tcW w:w="4260" w:type="dxa"/>
            <w:vAlign w:val="bottom"/>
            <w:gridSpan w:val="23"/>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51</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gridSpan w:val="2"/>
          </w:tcPr>
          <w:p>
            <w:pPr>
              <w:spacing w:after="0" w:line="115" w:lineRule="exact"/>
              <w:rPr>
                <w:rFonts w:ascii="Arial" w:cs="Arial" w:eastAsia="Arial" w:hAnsi="Arial"/>
                <w:sz w:val="11"/>
                <w:szCs w:val="11"/>
                <w:color w:val="0000EE"/>
                <w:w w:val="93"/>
              </w:rPr>
            </w:pPr>
            <w:hyperlink w:anchor="page119">
              <w:r>
                <w:rPr>
                  <w:rFonts w:ascii="Arial" w:cs="Arial" w:eastAsia="Arial" w:hAnsi="Arial"/>
                  <w:sz w:val="11"/>
                  <w:szCs w:val="11"/>
                  <w:color w:val="0000EE"/>
                  <w:w w:val="93"/>
                </w:rPr>
                <w:t>9.</w:t>
              </w:r>
              <w:r>
                <w:rPr>
                  <w:rFonts w:ascii="Arial" w:cs="Arial" w:eastAsia="Arial" w:hAnsi="Arial"/>
                  <w:sz w:val="11"/>
                  <w:szCs w:val="11"/>
                  <w:u w:val="single" w:color="auto"/>
                  <w:color w:val="0000EE"/>
                  <w:w w:val="93"/>
                </w:rPr>
                <w:t>11</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80" w:type="dxa"/>
            <w:vAlign w:val="bottom"/>
            <w:gridSpan w:val="29"/>
          </w:tcPr>
          <w:p>
            <w:pPr>
              <w:spacing w:after="0" w:line="115" w:lineRule="exact"/>
              <w:rPr>
                <w:rFonts w:ascii="Arial" w:cs="Arial" w:eastAsia="Arial" w:hAnsi="Arial"/>
                <w:sz w:val="11"/>
                <w:szCs w:val="11"/>
                <w:color w:val="0000EE"/>
              </w:rPr>
            </w:pPr>
            <w:hyperlink w:anchor="page119">
              <w:r>
                <w:rPr>
                  <w:rFonts w:ascii="Arial" w:cs="Arial" w:eastAsia="Arial" w:hAnsi="Arial"/>
                  <w:sz w:val="11"/>
                  <w:szCs w:val="11"/>
                  <w:color w:val="0000EE"/>
                </w:rPr>
                <w:t>Obligations of Trustees</w:t>
              </w:r>
            </w:hyperlink>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51</w:t>
            </w:r>
          </w:p>
        </w:tc>
        <w:tc>
          <w:tcPr>
            <w:tcW w:w="20" w:type="dxa"/>
            <w:vAlign w:val="bottom"/>
          </w:tcPr>
          <w:p>
            <w:pPr>
              <w:spacing w:after="0"/>
              <w:rPr>
                <w:sz w:val="10"/>
                <w:szCs w:val="10"/>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gridSpan w:val="2"/>
          </w:tcPr>
          <w:p>
            <w:pPr>
              <w:spacing w:after="0" w:line="115" w:lineRule="exact"/>
              <w:rPr>
                <w:rFonts w:ascii="Arial" w:cs="Arial" w:eastAsia="Arial" w:hAnsi="Arial"/>
                <w:sz w:val="11"/>
                <w:szCs w:val="11"/>
                <w:color w:val="0000EE"/>
                <w:w w:val="93"/>
              </w:rPr>
            </w:pPr>
            <w:hyperlink w:anchor="page120">
              <w:r>
                <w:rPr>
                  <w:rFonts w:ascii="Arial" w:cs="Arial" w:eastAsia="Arial" w:hAnsi="Arial"/>
                  <w:sz w:val="11"/>
                  <w:szCs w:val="11"/>
                  <w:color w:val="0000EE"/>
                  <w:w w:val="93"/>
                </w:rPr>
                <w:t>9.</w:t>
              </w:r>
              <w:r>
                <w:rPr>
                  <w:rFonts w:ascii="Arial" w:cs="Arial" w:eastAsia="Arial" w:hAnsi="Arial"/>
                  <w:sz w:val="11"/>
                  <w:szCs w:val="11"/>
                  <w:u w:val="single" w:color="auto"/>
                  <w:color w:val="0000EE"/>
                  <w:w w:val="93"/>
                </w:rPr>
                <w:t>12</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80" w:type="dxa"/>
            <w:vAlign w:val="bottom"/>
            <w:gridSpan w:val="29"/>
          </w:tcPr>
          <w:p>
            <w:pPr>
              <w:spacing w:after="0" w:line="115" w:lineRule="exact"/>
              <w:rPr>
                <w:rFonts w:ascii="Arial" w:cs="Arial" w:eastAsia="Arial" w:hAnsi="Arial"/>
                <w:sz w:val="11"/>
                <w:szCs w:val="11"/>
                <w:color w:val="0000EE"/>
              </w:rPr>
            </w:pPr>
            <w:hyperlink w:anchor="page120">
              <w:r>
                <w:rPr>
                  <w:rFonts w:ascii="Arial" w:cs="Arial" w:eastAsia="Arial" w:hAnsi="Arial"/>
                  <w:sz w:val="11"/>
                  <w:szCs w:val="11"/>
                  <w:color w:val="0000EE"/>
                </w:rPr>
                <w:t>Release for Permitted Disposals</w:t>
              </w:r>
            </w:hyperlink>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52</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0000EE"/>
            </w:tcBorders>
            <w:gridSpan w:val="2"/>
          </w:tcPr>
          <w:p>
            <w:pPr>
              <w:spacing w:after="0" w:line="115" w:lineRule="exact"/>
              <w:rPr>
                <w:rFonts w:ascii="Arial" w:cs="Arial" w:eastAsia="Arial" w:hAnsi="Arial"/>
                <w:sz w:val="11"/>
                <w:szCs w:val="11"/>
                <w:color w:val="0000EE"/>
                <w:w w:val="93"/>
              </w:rPr>
            </w:pPr>
            <w:hyperlink w:anchor="page120">
              <w:r>
                <w:rPr>
                  <w:rFonts w:ascii="Arial" w:cs="Arial" w:eastAsia="Arial" w:hAnsi="Arial"/>
                  <w:sz w:val="11"/>
                  <w:szCs w:val="11"/>
                  <w:color w:val="0000EE"/>
                  <w:w w:val="93"/>
                </w:rPr>
                <w:t>9.</w:t>
              </w:r>
              <w:r>
                <w:rPr>
                  <w:rFonts w:ascii="Arial" w:cs="Arial" w:eastAsia="Arial" w:hAnsi="Arial"/>
                  <w:sz w:val="11"/>
                  <w:szCs w:val="11"/>
                  <w:u w:val="single" w:color="auto"/>
                  <w:color w:val="0000EE"/>
                  <w:w w:val="93"/>
                </w:rPr>
                <w:t>13</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tcBorders>
              <w:top w:val="single" w:sz="8" w:color="0000EE"/>
            </w:tcBorders>
            <w:gridSpan w:val="25"/>
          </w:tcPr>
          <w:p>
            <w:pPr>
              <w:spacing w:after="0" w:line="115" w:lineRule="exact"/>
              <w:rPr>
                <w:rFonts w:ascii="Arial" w:cs="Arial" w:eastAsia="Arial" w:hAnsi="Arial"/>
                <w:sz w:val="11"/>
                <w:szCs w:val="11"/>
                <w:color w:val="0000EE"/>
              </w:rPr>
            </w:pPr>
            <w:hyperlink w:anchor="page120">
              <w:r>
                <w:rPr>
                  <w:rFonts w:ascii="Arial" w:cs="Arial" w:eastAsia="Arial" w:hAnsi="Arial"/>
                  <w:sz w:val="11"/>
                  <w:szCs w:val="11"/>
                  <w:color w:val="0000EE"/>
                </w:rPr>
                <w:t>Sale Proceeds</w:t>
              </w:r>
            </w:hyperlink>
          </w:p>
        </w:tc>
        <w:tc>
          <w:tcPr>
            <w:tcW w:w="3180" w:type="dxa"/>
            <w:vAlign w:val="bottom"/>
            <w:gridSpan w:val="4"/>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52</w:t>
            </w:r>
          </w:p>
        </w:tc>
        <w:tc>
          <w:tcPr>
            <w:tcW w:w="20" w:type="dxa"/>
            <w:vAlign w:val="bottom"/>
          </w:tcPr>
          <w:p>
            <w:pPr>
              <w:spacing w:after="0"/>
              <w:rPr>
                <w:sz w:val="10"/>
                <w:szCs w:val="10"/>
                <w:color w:val="auto"/>
              </w:rPr>
            </w:pPr>
          </w:p>
        </w:tc>
      </w:tr>
      <w:tr>
        <w:trPr>
          <w:trHeight w:val="20"/>
        </w:trPr>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820" w:type="dxa"/>
            <w:vAlign w:val="bottom"/>
            <w:gridSpan w:val="4"/>
          </w:tcPr>
          <w:p>
            <w:pPr>
              <w:spacing w:after="0" w:line="115" w:lineRule="exact"/>
              <w:rPr>
                <w:rFonts w:ascii="Arial" w:cs="Arial" w:eastAsia="Arial" w:hAnsi="Arial"/>
                <w:sz w:val="11"/>
                <w:szCs w:val="11"/>
                <w:color w:val="0000EE"/>
              </w:rPr>
            </w:pPr>
            <w:hyperlink w:anchor="page120">
              <w:r>
                <w:rPr>
                  <w:rFonts w:ascii="Arial" w:cs="Arial" w:eastAsia="Arial" w:hAnsi="Arial"/>
                  <w:sz w:val="11"/>
                  <w:szCs w:val="11"/>
                  <w:color w:val="0000EE"/>
                </w:rPr>
                <w:t>10</w:t>
              </w:r>
              <w:r>
                <w:rPr>
                  <w:rFonts w:ascii="Arial" w:cs="Arial" w:eastAsia="Arial" w:hAnsi="Arial"/>
                  <w:sz w:val="11"/>
                  <w:szCs w:val="11"/>
                  <w:color w:val="000000"/>
                </w:rPr>
                <w:t>​</w:t>
              </w:r>
            </w:hyperlink>
          </w:p>
        </w:tc>
        <w:tc>
          <w:tcPr>
            <w:tcW w:w="5420" w:type="dxa"/>
            <w:vAlign w:val="bottom"/>
            <w:gridSpan w:val="34"/>
          </w:tcPr>
          <w:p>
            <w:pPr>
              <w:spacing w:after="0" w:line="115" w:lineRule="exact"/>
              <w:rPr>
                <w:rFonts w:ascii="Arial" w:cs="Arial" w:eastAsia="Arial" w:hAnsi="Arial"/>
                <w:sz w:val="11"/>
                <w:szCs w:val="11"/>
                <w:color w:val="0000EE"/>
              </w:rPr>
            </w:pPr>
            <w:hyperlink w:anchor="page120">
              <w:r>
                <w:rPr>
                  <w:rFonts w:ascii="Arial" w:cs="Arial" w:eastAsia="Arial" w:hAnsi="Arial"/>
                  <w:sz w:val="11"/>
                  <w:szCs w:val="11"/>
                  <w:color w:val="0000EE"/>
                </w:rPr>
                <w:t>Events of Default</w:t>
              </w:r>
            </w:hyperlink>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52</w:t>
            </w:r>
          </w:p>
        </w:tc>
        <w:tc>
          <w:tcPr>
            <w:tcW w:w="20" w:type="dxa"/>
            <w:vAlign w:val="bottom"/>
          </w:tcPr>
          <w:p>
            <w:pPr>
              <w:spacing w:after="0"/>
              <w:rPr>
                <w:sz w:val="10"/>
                <w:szCs w:val="10"/>
                <w:color w:val="auto"/>
              </w:rPr>
            </w:pP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bottom w:val="single" w:sz="8" w:color="0000EE"/>
            </w:tcBorders>
            <w:gridSpan w:val="2"/>
          </w:tcPr>
          <w:p>
            <w:pPr>
              <w:spacing w:after="0" w:line="83" w:lineRule="exact"/>
              <w:rPr>
                <w:rFonts w:ascii="Arial" w:cs="Arial" w:eastAsia="Arial" w:hAnsi="Arial"/>
                <w:sz w:val="9"/>
                <w:szCs w:val="9"/>
                <w:color w:val="0000EE"/>
              </w:rPr>
            </w:pPr>
            <w:hyperlink w:anchor="page120">
              <w:r>
                <w:rPr>
                  <w:rFonts w:ascii="Arial" w:cs="Arial" w:eastAsia="Arial" w:hAnsi="Arial"/>
                  <w:sz w:val="9"/>
                  <w:szCs w:val="9"/>
                  <w:color w:val="0000EE"/>
                </w:rPr>
                <w:t>10.</w:t>
              </w:r>
              <w:r>
                <w:rPr>
                  <w:rFonts w:ascii="Arial" w:cs="Arial" w:eastAsia="Arial" w:hAnsi="Arial"/>
                  <w:sz w:val="9"/>
                  <w:szCs w:val="9"/>
                  <w:u w:val="single" w:color="auto"/>
                  <w:color w:val="0000EE"/>
                </w:rPr>
                <w:t>1</w:t>
              </w:r>
            </w:hyperlink>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Borders>
              <w:bottom w:val="single" w:sz="8" w:color="0000EE"/>
            </w:tcBorders>
            <w:gridSpan w:val="3"/>
          </w:tcPr>
          <w:p>
            <w:pPr>
              <w:spacing w:after="0" w:line="83" w:lineRule="exact"/>
              <w:rPr>
                <w:rFonts w:ascii="Arial" w:cs="Arial" w:eastAsia="Arial" w:hAnsi="Arial"/>
                <w:sz w:val="9"/>
                <w:szCs w:val="9"/>
                <w:color w:val="0000EE"/>
              </w:rPr>
            </w:pPr>
            <w:hyperlink w:anchor="page120">
              <w:r>
                <w:rPr>
                  <w:rFonts w:ascii="Arial" w:cs="Arial" w:eastAsia="Arial" w:hAnsi="Arial"/>
                  <w:sz w:val="9"/>
                  <w:szCs w:val="9"/>
                  <w:color w:val="0000EE"/>
                </w:rPr>
                <w:t>Nature</w:t>
              </w:r>
            </w:hyperlink>
          </w:p>
        </w:tc>
        <w:tc>
          <w:tcPr>
            <w:tcW w:w="4440" w:type="dxa"/>
            <w:vAlign w:val="bottom"/>
            <w:gridSpan w:val="26"/>
          </w:tcPr>
          <w:p>
            <w:pPr>
              <w:spacing w:after="0"/>
              <w:rPr>
                <w:sz w:val="7"/>
                <w:szCs w:val="7"/>
                <w:color w:val="auto"/>
              </w:rPr>
            </w:pPr>
          </w:p>
        </w:tc>
        <w:tc>
          <w:tcPr>
            <w:tcW w:w="3020" w:type="dxa"/>
            <w:vAlign w:val="bottom"/>
          </w:tcPr>
          <w:p>
            <w:pPr>
              <w:jc w:val="right"/>
              <w:ind w:right="646"/>
              <w:spacing w:after="0" w:line="83" w:lineRule="exact"/>
              <w:rPr>
                <w:sz w:val="20"/>
                <w:szCs w:val="20"/>
                <w:color w:val="auto"/>
              </w:rPr>
            </w:pPr>
            <w:r>
              <w:rPr>
                <w:rFonts w:ascii="Arial" w:cs="Arial" w:eastAsia="Arial" w:hAnsi="Arial"/>
                <w:sz w:val="9"/>
                <w:szCs w:val="9"/>
                <w:color w:val="auto"/>
              </w:rPr>
              <w:t>52</w:t>
            </w:r>
          </w:p>
        </w:tc>
        <w:tc>
          <w:tcPr>
            <w:tcW w:w="20" w:type="dxa"/>
            <w:vAlign w:val="bottom"/>
          </w:tcPr>
          <w:p>
            <w:pPr>
              <w:spacing w:after="0"/>
              <w:rPr>
                <w:sz w:val="7"/>
                <w:szCs w:val="7"/>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gridSpan w:val="2"/>
          </w:tcPr>
          <w:p>
            <w:pPr>
              <w:spacing w:after="0" w:line="115" w:lineRule="exact"/>
              <w:rPr>
                <w:rFonts w:ascii="Arial" w:cs="Arial" w:eastAsia="Arial" w:hAnsi="Arial"/>
                <w:sz w:val="11"/>
                <w:szCs w:val="11"/>
                <w:color w:val="0000EE"/>
                <w:w w:val="93"/>
              </w:rPr>
            </w:pPr>
            <w:hyperlink w:anchor="page123">
              <w:r>
                <w:rPr>
                  <w:rFonts w:ascii="Arial" w:cs="Arial" w:eastAsia="Arial" w:hAnsi="Arial"/>
                  <w:sz w:val="11"/>
                  <w:szCs w:val="11"/>
                  <w:color w:val="0000EE"/>
                  <w:w w:val="93"/>
                </w:rPr>
                <w:t>10.</w:t>
              </w:r>
              <w:r>
                <w:rPr>
                  <w:rFonts w:ascii="Arial" w:cs="Arial" w:eastAsia="Arial" w:hAnsi="Arial"/>
                  <w:sz w:val="11"/>
                  <w:szCs w:val="11"/>
                  <w:u w:val="single" w:color="auto"/>
                  <w:color w:val="0000EE"/>
                  <w:w w:val="93"/>
                </w:rPr>
                <w:t>2</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80" w:type="dxa"/>
            <w:vAlign w:val="bottom"/>
            <w:gridSpan w:val="29"/>
          </w:tcPr>
          <w:p>
            <w:pPr>
              <w:spacing w:after="0" w:line="115" w:lineRule="exact"/>
              <w:rPr>
                <w:rFonts w:ascii="Arial" w:cs="Arial" w:eastAsia="Arial" w:hAnsi="Arial"/>
                <w:sz w:val="11"/>
                <w:szCs w:val="11"/>
                <w:color w:val="0000EE"/>
              </w:rPr>
            </w:pPr>
            <w:hyperlink w:anchor="page123">
              <w:r>
                <w:rPr>
                  <w:rFonts w:ascii="Arial" w:cs="Arial" w:eastAsia="Arial" w:hAnsi="Arial"/>
                  <w:sz w:val="11"/>
                  <w:szCs w:val="11"/>
                  <w:color w:val="0000EE"/>
                </w:rPr>
                <w:t>Effect of Event of Defaul</w:t>
              </w:r>
            </w:hyperlink>
            <w:r>
              <w:rPr>
                <w:rFonts w:ascii="Arial" w:cs="Arial" w:eastAsia="Arial" w:hAnsi="Arial"/>
                <w:sz w:val="11"/>
                <w:szCs w:val="11"/>
                <w:color w:val="0000EE"/>
              </w:rPr>
              <w:t>t</w:t>
            </w: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55</w:t>
            </w:r>
          </w:p>
        </w:tc>
        <w:tc>
          <w:tcPr>
            <w:tcW w:w="20" w:type="dxa"/>
            <w:vAlign w:val="bottom"/>
          </w:tcPr>
          <w:p>
            <w:pPr>
              <w:spacing w:after="0"/>
              <w:rPr>
                <w:sz w:val="10"/>
                <w:szCs w:val="10"/>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gridSpan w:val="2"/>
          </w:tcPr>
          <w:p>
            <w:pPr>
              <w:spacing w:after="0" w:line="115" w:lineRule="exact"/>
              <w:rPr>
                <w:rFonts w:ascii="Arial" w:cs="Arial" w:eastAsia="Arial" w:hAnsi="Arial"/>
                <w:sz w:val="11"/>
                <w:szCs w:val="11"/>
                <w:color w:val="0000EE"/>
                <w:w w:val="93"/>
              </w:rPr>
            </w:pPr>
            <w:hyperlink w:anchor="page125">
              <w:r>
                <w:rPr>
                  <w:rFonts w:ascii="Arial" w:cs="Arial" w:eastAsia="Arial" w:hAnsi="Arial"/>
                  <w:sz w:val="11"/>
                  <w:szCs w:val="11"/>
                  <w:color w:val="0000EE"/>
                  <w:w w:val="93"/>
                </w:rPr>
                <w:t>10.</w:t>
              </w:r>
              <w:r>
                <w:rPr>
                  <w:rFonts w:ascii="Arial" w:cs="Arial" w:eastAsia="Arial" w:hAnsi="Arial"/>
                  <w:sz w:val="11"/>
                  <w:szCs w:val="11"/>
                  <w:u w:val="single" w:color="auto"/>
                  <w:color w:val="0000EE"/>
                  <w:w w:val="93"/>
                </w:rPr>
                <w:t>3</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80" w:type="dxa"/>
            <w:vAlign w:val="bottom"/>
            <w:gridSpan w:val="29"/>
          </w:tcPr>
          <w:p>
            <w:pPr>
              <w:spacing w:after="0" w:line="115" w:lineRule="exact"/>
              <w:rPr>
                <w:rFonts w:ascii="Arial" w:cs="Arial" w:eastAsia="Arial" w:hAnsi="Arial"/>
                <w:sz w:val="11"/>
                <w:szCs w:val="11"/>
                <w:color w:val="0000EE"/>
              </w:rPr>
            </w:pPr>
            <w:hyperlink w:anchor="page125">
              <w:r>
                <w:rPr>
                  <w:rFonts w:ascii="Arial" w:cs="Arial" w:eastAsia="Arial" w:hAnsi="Arial"/>
                  <w:sz w:val="11"/>
                  <w:szCs w:val="11"/>
                  <w:color w:val="0000EE"/>
                </w:rPr>
                <w:t>Cash Cover Account regarding Bank Guarantees</w:t>
              </w:r>
            </w:hyperlink>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57</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0000EE"/>
            </w:tcBorders>
            <w:gridSpan w:val="2"/>
          </w:tcPr>
          <w:p>
            <w:pPr>
              <w:spacing w:after="0" w:line="115" w:lineRule="exact"/>
              <w:rPr>
                <w:rFonts w:ascii="Arial" w:cs="Arial" w:eastAsia="Arial" w:hAnsi="Arial"/>
                <w:sz w:val="11"/>
                <w:szCs w:val="11"/>
                <w:color w:val="0000EE"/>
                <w:w w:val="93"/>
              </w:rPr>
            </w:pPr>
            <w:hyperlink w:anchor="page125">
              <w:r>
                <w:rPr>
                  <w:rFonts w:ascii="Arial" w:cs="Arial" w:eastAsia="Arial" w:hAnsi="Arial"/>
                  <w:sz w:val="11"/>
                  <w:szCs w:val="11"/>
                  <w:color w:val="0000EE"/>
                  <w:w w:val="93"/>
                </w:rPr>
                <w:t>10.</w:t>
              </w:r>
              <w:r>
                <w:rPr>
                  <w:rFonts w:ascii="Arial" w:cs="Arial" w:eastAsia="Arial" w:hAnsi="Arial"/>
                  <w:sz w:val="11"/>
                  <w:szCs w:val="11"/>
                  <w:u w:val="single" w:color="auto"/>
                  <w:color w:val="0000EE"/>
                  <w:w w:val="93"/>
                </w:rPr>
                <w:t>4</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40" w:type="dxa"/>
            <w:vAlign w:val="bottom"/>
            <w:tcBorders>
              <w:top w:val="single" w:sz="8" w:color="0000EE"/>
            </w:tcBorders>
            <w:gridSpan w:val="27"/>
          </w:tcPr>
          <w:p>
            <w:pPr>
              <w:spacing w:after="0" w:line="115" w:lineRule="exact"/>
              <w:rPr>
                <w:rFonts w:ascii="Arial" w:cs="Arial" w:eastAsia="Arial" w:hAnsi="Arial"/>
                <w:sz w:val="11"/>
                <w:szCs w:val="11"/>
                <w:color w:val="0000EE"/>
              </w:rPr>
            </w:pPr>
            <w:hyperlink w:anchor="page125">
              <w:r>
                <w:rPr>
                  <w:rFonts w:ascii="Arial" w:cs="Arial" w:eastAsia="Arial" w:hAnsi="Arial"/>
                  <w:sz w:val="11"/>
                  <w:szCs w:val="11"/>
                  <w:color w:val="0000EE"/>
                </w:rPr>
                <w:t>Review Events</w:t>
              </w:r>
            </w:hyperlink>
          </w:p>
        </w:tc>
        <w:tc>
          <w:tcPr>
            <w:tcW w:w="2340" w:type="dxa"/>
            <w:vAlign w:val="bottom"/>
            <w:gridSpan w:val="2"/>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57</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0000EE"/>
            </w:tcBorders>
            <w:gridSpan w:val="2"/>
          </w:tcPr>
          <w:p>
            <w:pPr>
              <w:spacing w:after="0" w:line="115" w:lineRule="exact"/>
              <w:rPr>
                <w:rFonts w:ascii="Arial" w:cs="Arial" w:eastAsia="Arial" w:hAnsi="Arial"/>
                <w:sz w:val="11"/>
                <w:szCs w:val="11"/>
                <w:color w:val="0000EE"/>
                <w:w w:val="93"/>
              </w:rPr>
            </w:pPr>
            <w:hyperlink w:anchor="page125">
              <w:r>
                <w:rPr>
                  <w:rFonts w:ascii="Arial" w:cs="Arial" w:eastAsia="Arial" w:hAnsi="Arial"/>
                  <w:sz w:val="11"/>
                  <w:szCs w:val="11"/>
                  <w:color w:val="0000EE"/>
                  <w:w w:val="93"/>
                </w:rPr>
                <w:t>10.</w:t>
              </w:r>
              <w:r>
                <w:rPr>
                  <w:rFonts w:ascii="Arial" w:cs="Arial" w:eastAsia="Arial" w:hAnsi="Arial"/>
                  <w:sz w:val="11"/>
                  <w:szCs w:val="11"/>
                  <w:u w:val="single" w:color="auto"/>
                  <w:color w:val="0000EE"/>
                  <w:w w:val="93"/>
                </w:rPr>
                <w:t>5</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top w:val="single" w:sz="8" w:color="0000EE"/>
            </w:tcBorders>
            <w:gridSpan w:val="11"/>
          </w:tcPr>
          <w:p>
            <w:pPr>
              <w:spacing w:after="0" w:line="115" w:lineRule="exact"/>
              <w:rPr>
                <w:rFonts w:ascii="Arial" w:cs="Arial" w:eastAsia="Arial" w:hAnsi="Arial"/>
                <w:sz w:val="11"/>
                <w:szCs w:val="11"/>
                <w:color w:val="0000EE"/>
              </w:rPr>
            </w:pPr>
            <w:hyperlink w:anchor="page125">
              <w:r>
                <w:rPr>
                  <w:rFonts w:ascii="Arial" w:cs="Arial" w:eastAsia="Arial" w:hAnsi="Arial"/>
                  <w:sz w:val="11"/>
                  <w:szCs w:val="11"/>
                  <w:color w:val="0000EE"/>
                </w:rPr>
                <w:t>Reviews</w:t>
              </w:r>
            </w:hyperlink>
          </w:p>
        </w:tc>
        <w:tc>
          <w:tcPr>
            <w:tcW w:w="4040" w:type="dxa"/>
            <w:vAlign w:val="bottom"/>
            <w:gridSpan w:val="18"/>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57</w:t>
            </w:r>
          </w:p>
        </w:tc>
        <w:tc>
          <w:tcPr>
            <w:tcW w:w="20" w:type="dxa"/>
            <w:vAlign w:val="bottom"/>
          </w:tcPr>
          <w:p>
            <w:pPr>
              <w:spacing w:after="0"/>
              <w:rPr>
                <w:sz w:val="10"/>
                <w:szCs w:val="10"/>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gridSpan w:val="2"/>
          </w:tcPr>
          <w:p>
            <w:pPr>
              <w:spacing w:after="0" w:line="115" w:lineRule="exact"/>
              <w:rPr>
                <w:rFonts w:ascii="Arial" w:cs="Arial" w:eastAsia="Arial" w:hAnsi="Arial"/>
                <w:sz w:val="11"/>
                <w:szCs w:val="11"/>
                <w:color w:val="0000EE"/>
                <w:w w:val="93"/>
              </w:rPr>
            </w:pPr>
            <w:hyperlink w:anchor="page126">
              <w:r>
                <w:rPr>
                  <w:rFonts w:ascii="Arial" w:cs="Arial" w:eastAsia="Arial" w:hAnsi="Arial"/>
                  <w:sz w:val="11"/>
                  <w:szCs w:val="11"/>
                  <w:color w:val="0000EE"/>
                  <w:w w:val="93"/>
                </w:rPr>
                <w:t>10.</w:t>
              </w:r>
              <w:r>
                <w:rPr>
                  <w:rFonts w:ascii="Arial" w:cs="Arial" w:eastAsia="Arial" w:hAnsi="Arial"/>
                  <w:sz w:val="11"/>
                  <w:szCs w:val="11"/>
                  <w:u w:val="single" w:color="auto"/>
                  <w:color w:val="0000EE"/>
                  <w:w w:val="93"/>
                </w:rPr>
                <w:t>6</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80" w:type="dxa"/>
            <w:vAlign w:val="bottom"/>
            <w:gridSpan w:val="29"/>
          </w:tcPr>
          <w:p>
            <w:pPr>
              <w:spacing w:after="0" w:line="115" w:lineRule="exact"/>
              <w:rPr>
                <w:rFonts w:ascii="Arial" w:cs="Arial" w:eastAsia="Arial" w:hAnsi="Arial"/>
                <w:sz w:val="11"/>
                <w:szCs w:val="11"/>
                <w:color w:val="0000EE"/>
              </w:rPr>
            </w:pPr>
            <w:hyperlink w:anchor="page126">
              <w:r>
                <w:rPr>
                  <w:rFonts w:ascii="Arial" w:cs="Arial" w:eastAsia="Arial" w:hAnsi="Arial"/>
                  <w:sz w:val="11"/>
                  <w:szCs w:val="11"/>
                  <w:color w:val="0000EE"/>
                </w:rPr>
                <w:t>Equity Cure</w:t>
              </w:r>
            </w:hyperlink>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58</w:t>
            </w:r>
          </w:p>
        </w:tc>
        <w:tc>
          <w:tcPr>
            <w:tcW w:w="20" w:type="dxa"/>
            <w:vAlign w:val="bottom"/>
          </w:tcPr>
          <w:p>
            <w:pPr>
              <w:spacing w:after="0"/>
              <w:rPr>
                <w:sz w:val="10"/>
                <w:szCs w:val="10"/>
                <w:color w:val="auto"/>
              </w:rPr>
            </w:pPr>
          </w:p>
        </w:tc>
      </w:tr>
      <w:tr>
        <w:trPr>
          <w:trHeight w:val="20"/>
        </w:trPr>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820" w:type="dxa"/>
            <w:vAlign w:val="bottom"/>
            <w:gridSpan w:val="4"/>
          </w:tcPr>
          <w:p>
            <w:pPr>
              <w:spacing w:after="0" w:line="115" w:lineRule="exact"/>
              <w:rPr>
                <w:rFonts w:ascii="Arial" w:cs="Arial" w:eastAsia="Arial" w:hAnsi="Arial"/>
                <w:sz w:val="11"/>
                <w:szCs w:val="11"/>
                <w:color w:val="0000EE"/>
              </w:rPr>
            </w:pPr>
            <w:hyperlink w:anchor="page126">
              <w:r>
                <w:rPr>
                  <w:rFonts w:ascii="Arial" w:cs="Arial" w:eastAsia="Arial" w:hAnsi="Arial"/>
                  <w:sz w:val="11"/>
                  <w:szCs w:val="11"/>
                  <w:color w:val="0000EE"/>
                </w:rPr>
                <w:t>11</w:t>
              </w:r>
              <w:r>
                <w:rPr>
                  <w:rFonts w:ascii="Arial" w:cs="Arial" w:eastAsia="Arial" w:hAnsi="Arial"/>
                  <w:sz w:val="11"/>
                  <w:szCs w:val="11"/>
                  <w:color w:val="000000"/>
                </w:rPr>
                <w:t>​</w:t>
              </w:r>
            </w:hyperlink>
          </w:p>
        </w:tc>
        <w:tc>
          <w:tcPr>
            <w:tcW w:w="5420" w:type="dxa"/>
            <w:vAlign w:val="bottom"/>
            <w:gridSpan w:val="34"/>
          </w:tcPr>
          <w:p>
            <w:pPr>
              <w:spacing w:after="0" w:line="115" w:lineRule="exact"/>
              <w:rPr>
                <w:rFonts w:ascii="Arial" w:cs="Arial" w:eastAsia="Arial" w:hAnsi="Arial"/>
                <w:sz w:val="11"/>
                <w:szCs w:val="11"/>
                <w:color w:val="0000EE"/>
              </w:rPr>
            </w:pPr>
            <w:hyperlink w:anchor="page126">
              <w:r>
                <w:rPr>
                  <w:rFonts w:ascii="Arial" w:cs="Arial" w:eastAsia="Arial" w:hAnsi="Arial"/>
                  <w:sz w:val="11"/>
                  <w:szCs w:val="11"/>
                  <w:color w:val="0000EE"/>
                </w:rPr>
                <w:t>Costs and expenses</w:t>
              </w:r>
            </w:hyperlink>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58</w:t>
            </w:r>
          </w:p>
        </w:tc>
        <w:tc>
          <w:tcPr>
            <w:tcW w:w="20" w:type="dxa"/>
            <w:vAlign w:val="bottom"/>
          </w:tcPr>
          <w:p>
            <w:pPr>
              <w:spacing w:after="0"/>
              <w:rPr>
                <w:sz w:val="10"/>
                <w:szCs w:val="10"/>
                <w:color w:val="auto"/>
              </w:rPr>
            </w:pP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gridSpan w:val="2"/>
          </w:tcPr>
          <w:p>
            <w:pPr>
              <w:spacing w:after="0" w:line="83" w:lineRule="exact"/>
              <w:rPr>
                <w:rFonts w:ascii="Arial" w:cs="Arial" w:eastAsia="Arial" w:hAnsi="Arial"/>
                <w:sz w:val="9"/>
                <w:szCs w:val="9"/>
                <w:color w:val="0000EE"/>
              </w:rPr>
            </w:pPr>
            <w:hyperlink w:anchor="page126">
              <w:r>
                <w:rPr>
                  <w:rFonts w:ascii="Arial" w:cs="Arial" w:eastAsia="Arial" w:hAnsi="Arial"/>
                  <w:sz w:val="9"/>
                  <w:szCs w:val="9"/>
                  <w:color w:val="0000EE"/>
                </w:rPr>
                <w:t>11.</w:t>
              </w:r>
              <w:r>
                <w:rPr>
                  <w:rFonts w:ascii="Arial" w:cs="Arial" w:eastAsia="Arial" w:hAnsi="Arial"/>
                  <w:sz w:val="9"/>
                  <w:szCs w:val="9"/>
                  <w:u w:val="single" w:color="auto"/>
                  <w:color w:val="0000EE"/>
                </w:rPr>
                <w:t>1</w:t>
              </w:r>
            </w:hyperlink>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780" w:type="dxa"/>
            <w:vAlign w:val="bottom"/>
            <w:gridSpan w:val="29"/>
          </w:tcPr>
          <w:p>
            <w:pPr>
              <w:spacing w:after="0" w:line="83" w:lineRule="exact"/>
              <w:rPr>
                <w:rFonts w:ascii="Arial" w:cs="Arial" w:eastAsia="Arial" w:hAnsi="Arial"/>
                <w:sz w:val="9"/>
                <w:szCs w:val="9"/>
                <w:color w:val="0000EE"/>
              </w:rPr>
            </w:pPr>
            <w:hyperlink w:anchor="page126">
              <w:r>
                <w:rPr>
                  <w:rFonts w:ascii="Arial" w:cs="Arial" w:eastAsia="Arial" w:hAnsi="Arial"/>
                  <w:sz w:val="9"/>
                  <w:szCs w:val="9"/>
                  <w:color w:val="0000EE"/>
                </w:rPr>
                <w:t>Interpretation</w:t>
              </w:r>
            </w:hyperlink>
          </w:p>
        </w:tc>
        <w:tc>
          <w:tcPr>
            <w:tcW w:w="3020" w:type="dxa"/>
            <w:vAlign w:val="bottom"/>
          </w:tcPr>
          <w:p>
            <w:pPr>
              <w:jc w:val="right"/>
              <w:ind w:right="646"/>
              <w:spacing w:after="0" w:line="83" w:lineRule="exact"/>
              <w:rPr>
                <w:sz w:val="20"/>
                <w:szCs w:val="20"/>
                <w:color w:val="auto"/>
              </w:rPr>
            </w:pPr>
            <w:r>
              <w:rPr>
                <w:rFonts w:ascii="Arial" w:cs="Arial" w:eastAsia="Arial" w:hAnsi="Arial"/>
                <w:sz w:val="9"/>
                <w:szCs w:val="9"/>
                <w:color w:val="auto"/>
              </w:rPr>
              <w:t>58</w:t>
            </w:r>
          </w:p>
        </w:tc>
        <w:tc>
          <w:tcPr>
            <w:tcW w:w="20" w:type="dxa"/>
            <w:vAlign w:val="bottom"/>
          </w:tcPr>
          <w:p>
            <w:pPr>
              <w:spacing w:after="0"/>
              <w:rPr>
                <w:sz w:val="7"/>
                <w:szCs w:val="7"/>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0000EE"/>
              <w:bottom w:val="single" w:sz="8" w:color="0000EE"/>
            </w:tcBorders>
            <w:gridSpan w:val="2"/>
          </w:tcPr>
          <w:p>
            <w:pPr>
              <w:spacing w:after="0" w:line="115" w:lineRule="exact"/>
              <w:rPr>
                <w:rFonts w:ascii="Arial" w:cs="Arial" w:eastAsia="Arial" w:hAnsi="Arial"/>
                <w:sz w:val="11"/>
                <w:szCs w:val="11"/>
                <w:color w:val="0000EE"/>
                <w:w w:val="93"/>
              </w:rPr>
            </w:pPr>
            <w:hyperlink w:anchor="page126">
              <w:r>
                <w:rPr>
                  <w:rFonts w:ascii="Arial" w:cs="Arial" w:eastAsia="Arial" w:hAnsi="Arial"/>
                  <w:sz w:val="11"/>
                  <w:szCs w:val="11"/>
                  <w:color w:val="0000EE"/>
                  <w:w w:val="93"/>
                </w:rPr>
                <w:t>11.</w:t>
              </w:r>
              <w:r>
                <w:rPr>
                  <w:rFonts w:ascii="Arial" w:cs="Arial" w:eastAsia="Arial" w:hAnsi="Arial"/>
                  <w:sz w:val="11"/>
                  <w:szCs w:val="11"/>
                  <w:u w:val="single" w:color="auto"/>
                  <w:color w:val="0000EE"/>
                  <w:w w:val="93"/>
                </w:rPr>
                <w:t>2</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top w:val="single" w:sz="8" w:color="0000EE"/>
              <w:bottom w:val="single" w:sz="8" w:color="0000EE"/>
            </w:tcBorders>
            <w:gridSpan w:val="3"/>
          </w:tcPr>
          <w:p>
            <w:pPr>
              <w:spacing w:after="0" w:line="115" w:lineRule="exact"/>
              <w:rPr>
                <w:rFonts w:ascii="Arial" w:cs="Arial" w:eastAsia="Arial" w:hAnsi="Arial"/>
                <w:sz w:val="11"/>
                <w:szCs w:val="11"/>
                <w:color w:val="0000EE"/>
                <w:w w:val="96"/>
              </w:rPr>
            </w:pPr>
            <w:hyperlink w:anchor="page126">
              <w:r>
                <w:rPr>
                  <w:rFonts w:ascii="Arial" w:cs="Arial" w:eastAsia="Arial" w:hAnsi="Arial"/>
                  <w:sz w:val="11"/>
                  <w:szCs w:val="11"/>
                  <w:color w:val="0000EE"/>
                  <w:w w:val="96"/>
                </w:rPr>
                <w:t>Nature</w:t>
              </w:r>
            </w:hyperlink>
          </w:p>
        </w:tc>
        <w:tc>
          <w:tcPr>
            <w:tcW w:w="320" w:type="dxa"/>
            <w:vAlign w:val="bottom"/>
            <w:tcBorders>
              <w:top w:val="single" w:sz="8" w:color="0000EE"/>
            </w:tcBorders>
            <w:gridSpan w:val="6"/>
          </w:tcPr>
          <w:p>
            <w:pPr>
              <w:spacing w:after="0"/>
              <w:rPr>
                <w:sz w:val="10"/>
                <w:szCs w:val="10"/>
                <w:color w:val="auto"/>
              </w:rPr>
            </w:pPr>
          </w:p>
        </w:tc>
        <w:tc>
          <w:tcPr>
            <w:tcW w:w="4120" w:type="dxa"/>
            <w:vAlign w:val="bottom"/>
            <w:gridSpan w:val="20"/>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58</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gridSpan w:val="2"/>
          </w:tcPr>
          <w:p>
            <w:pPr>
              <w:spacing w:after="0" w:line="115" w:lineRule="exact"/>
              <w:rPr>
                <w:rFonts w:ascii="Arial" w:cs="Arial" w:eastAsia="Arial" w:hAnsi="Arial"/>
                <w:sz w:val="11"/>
                <w:szCs w:val="11"/>
                <w:color w:val="0000EE"/>
                <w:w w:val="93"/>
              </w:rPr>
            </w:pPr>
            <w:hyperlink w:anchor="page127">
              <w:r>
                <w:rPr>
                  <w:rFonts w:ascii="Arial" w:cs="Arial" w:eastAsia="Arial" w:hAnsi="Arial"/>
                  <w:sz w:val="11"/>
                  <w:szCs w:val="11"/>
                  <w:color w:val="0000EE"/>
                  <w:w w:val="93"/>
                </w:rPr>
                <w:t>11.</w:t>
              </w:r>
              <w:r>
                <w:rPr>
                  <w:rFonts w:ascii="Arial" w:cs="Arial" w:eastAsia="Arial" w:hAnsi="Arial"/>
                  <w:sz w:val="11"/>
                  <w:szCs w:val="11"/>
                  <w:u w:val="single" w:color="auto"/>
                  <w:color w:val="0000EE"/>
                  <w:w w:val="93"/>
                </w:rPr>
                <w:t>3</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80" w:type="dxa"/>
            <w:vAlign w:val="bottom"/>
            <w:gridSpan w:val="29"/>
          </w:tcPr>
          <w:p>
            <w:pPr>
              <w:spacing w:after="0" w:line="115" w:lineRule="exact"/>
              <w:rPr>
                <w:rFonts w:ascii="Arial" w:cs="Arial" w:eastAsia="Arial" w:hAnsi="Arial"/>
                <w:sz w:val="11"/>
                <w:szCs w:val="11"/>
                <w:color w:val="0000EE"/>
              </w:rPr>
            </w:pPr>
            <w:hyperlink w:anchor="page127">
              <w:r>
                <w:rPr>
                  <w:rFonts w:ascii="Arial" w:cs="Arial" w:eastAsia="Arial" w:hAnsi="Arial"/>
                  <w:sz w:val="11"/>
                  <w:szCs w:val="11"/>
                  <w:color w:val="0000EE"/>
                </w:rPr>
                <w:t>Remuneration</w:t>
              </w:r>
            </w:hyperlink>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59</w:t>
            </w:r>
          </w:p>
        </w:tc>
        <w:tc>
          <w:tcPr>
            <w:tcW w:w="20" w:type="dxa"/>
            <w:vAlign w:val="bottom"/>
          </w:tcPr>
          <w:p>
            <w:pPr>
              <w:spacing w:after="0"/>
              <w:rPr>
                <w:sz w:val="10"/>
                <w:szCs w:val="10"/>
                <w:color w:val="auto"/>
              </w:rPr>
            </w:pPr>
          </w:p>
        </w:tc>
      </w:tr>
      <w:tr>
        <w:trPr>
          <w:trHeight w:val="20"/>
        </w:trPr>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820" w:type="dxa"/>
            <w:vAlign w:val="bottom"/>
            <w:gridSpan w:val="4"/>
          </w:tcPr>
          <w:p>
            <w:pPr>
              <w:spacing w:after="0" w:line="115" w:lineRule="exact"/>
              <w:rPr>
                <w:rFonts w:ascii="Arial" w:cs="Arial" w:eastAsia="Arial" w:hAnsi="Arial"/>
                <w:sz w:val="11"/>
                <w:szCs w:val="11"/>
                <w:color w:val="0000EE"/>
              </w:rPr>
            </w:pPr>
            <w:hyperlink w:anchor="page127">
              <w:r>
                <w:rPr>
                  <w:rFonts w:ascii="Arial" w:cs="Arial" w:eastAsia="Arial" w:hAnsi="Arial"/>
                  <w:sz w:val="11"/>
                  <w:szCs w:val="11"/>
                  <w:color w:val="0000EE"/>
                </w:rPr>
                <w:t>12</w:t>
              </w:r>
              <w:r>
                <w:rPr>
                  <w:rFonts w:ascii="Arial" w:cs="Arial" w:eastAsia="Arial" w:hAnsi="Arial"/>
                  <w:sz w:val="11"/>
                  <w:szCs w:val="11"/>
                  <w:color w:val="000000"/>
                </w:rPr>
                <w:t>​</w:t>
              </w:r>
            </w:hyperlink>
          </w:p>
        </w:tc>
        <w:tc>
          <w:tcPr>
            <w:tcW w:w="640" w:type="dxa"/>
            <w:vAlign w:val="bottom"/>
            <w:gridSpan w:val="5"/>
          </w:tcPr>
          <w:p>
            <w:pPr>
              <w:spacing w:after="0" w:line="115" w:lineRule="exact"/>
              <w:rPr>
                <w:rFonts w:ascii="Arial" w:cs="Arial" w:eastAsia="Arial" w:hAnsi="Arial"/>
                <w:sz w:val="11"/>
                <w:szCs w:val="11"/>
                <w:color w:val="0000EE"/>
              </w:rPr>
            </w:pPr>
            <w:hyperlink w:anchor="page127">
              <w:r>
                <w:rPr>
                  <w:rFonts w:ascii="Arial" w:cs="Arial" w:eastAsia="Arial" w:hAnsi="Arial"/>
                  <w:sz w:val="11"/>
                  <w:szCs w:val="11"/>
                  <w:color w:val="0000EE"/>
                </w:rPr>
                <w:t>Indemnities</w:t>
              </w:r>
            </w:hyperlink>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59</w:t>
            </w:r>
          </w:p>
        </w:tc>
        <w:tc>
          <w:tcPr>
            <w:tcW w:w="20" w:type="dxa"/>
            <w:vAlign w:val="bottom"/>
          </w:tcPr>
          <w:p>
            <w:pPr>
              <w:spacing w:after="0"/>
              <w:rPr>
                <w:sz w:val="10"/>
                <w:szCs w:val="10"/>
                <w:color w:val="auto"/>
              </w:rPr>
            </w:pP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bottom w:val="single" w:sz="8" w:color="0000EE"/>
            </w:tcBorders>
            <w:gridSpan w:val="2"/>
          </w:tcPr>
          <w:p>
            <w:pPr>
              <w:spacing w:after="0" w:line="83" w:lineRule="exact"/>
              <w:rPr>
                <w:rFonts w:ascii="Arial" w:cs="Arial" w:eastAsia="Arial" w:hAnsi="Arial"/>
                <w:sz w:val="9"/>
                <w:szCs w:val="9"/>
                <w:color w:val="0000EE"/>
              </w:rPr>
            </w:pPr>
            <w:hyperlink w:anchor="page127">
              <w:r>
                <w:rPr>
                  <w:rFonts w:ascii="Arial" w:cs="Arial" w:eastAsia="Arial" w:hAnsi="Arial"/>
                  <w:sz w:val="9"/>
                  <w:szCs w:val="9"/>
                  <w:color w:val="0000EE"/>
                </w:rPr>
                <w:t>12.</w:t>
              </w:r>
              <w:r>
                <w:rPr>
                  <w:rFonts w:ascii="Arial" w:cs="Arial" w:eastAsia="Arial" w:hAnsi="Arial"/>
                  <w:sz w:val="9"/>
                  <w:szCs w:val="9"/>
                  <w:u w:val="single" w:color="auto"/>
                  <w:color w:val="0000EE"/>
                </w:rPr>
                <w:t>1</w:t>
              </w:r>
            </w:hyperlink>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Borders>
              <w:bottom w:val="single" w:sz="8" w:color="0000EE"/>
            </w:tcBorders>
            <w:gridSpan w:val="3"/>
          </w:tcPr>
          <w:p>
            <w:pPr>
              <w:spacing w:after="0" w:line="83" w:lineRule="exact"/>
              <w:rPr>
                <w:rFonts w:ascii="Arial" w:cs="Arial" w:eastAsia="Arial" w:hAnsi="Arial"/>
                <w:sz w:val="9"/>
                <w:szCs w:val="9"/>
                <w:color w:val="0000EE"/>
              </w:rPr>
            </w:pPr>
            <w:hyperlink w:anchor="page127">
              <w:r>
                <w:rPr>
                  <w:rFonts w:ascii="Arial" w:cs="Arial" w:eastAsia="Arial" w:hAnsi="Arial"/>
                  <w:sz w:val="9"/>
                  <w:szCs w:val="9"/>
                  <w:color w:val="0000EE"/>
                </w:rPr>
                <w:t>Nature</w:t>
              </w:r>
            </w:hyperlink>
          </w:p>
        </w:tc>
        <w:tc>
          <w:tcPr>
            <w:tcW w:w="4440" w:type="dxa"/>
            <w:vAlign w:val="bottom"/>
            <w:gridSpan w:val="26"/>
          </w:tcPr>
          <w:p>
            <w:pPr>
              <w:spacing w:after="0"/>
              <w:rPr>
                <w:sz w:val="7"/>
                <w:szCs w:val="7"/>
                <w:color w:val="auto"/>
              </w:rPr>
            </w:pPr>
          </w:p>
        </w:tc>
        <w:tc>
          <w:tcPr>
            <w:tcW w:w="3020" w:type="dxa"/>
            <w:vAlign w:val="bottom"/>
          </w:tcPr>
          <w:p>
            <w:pPr>
              <w:jc w:val="right"/>
              <w:ind w:right="646"/>
              <w:spacing w:after="0" w:line="83" w:lineRule="exact"/>
              <w:rPr>
                <w:sz w:val="20"/>
                <w:szCs w:val="20"/>
                <w:color w:val="auto"/>
              </w:rPr>
            </w:pPr>
            <w:r>
              <w:rPr>
                <w:rFonts w:ascii="Arial" w:cs="Arial" w:eastAsia="Arial" w:hAnsi="Arial"/>
                <w:sz w:val="9"/>
                <w:szCs w:val="9"/>
                <w:color w:val="auto"/>
              </w:rPr>
              <w:t>59</w:t>
            </w:r>
          </w:p>
        </w:tc>
        <w:tc>
          <w:tcPr>
            <w:tcW w:w="20" w:type="dxa"/>
            <w:vAlign w:val="bottom"/>
          </w:tcPr>
          <w:p>
            <w:pPr>
              <w:spacing w:after="0"/>
              <w:rPr>
                <w:sz w:val="7"/>
                <w:szCs w:val="7"/>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0000EE"/>
            </w:tcBorders>
            <w:gridSpan w:val="2"/>
          </w:tcPr>
          <w:p>
            <w:pPr>
              <w:spacing w:after="0" w:line="115" w:lineRule="exact"/>
              <w:rPr>
                <w:rFonts w:ascii="Arial" w:cs="Arial" w:eastAsia="Arial" w:hAnsi="Arial"/>
                <w:sz w:val="11"/>
                <w:szCs w:val="11"/>
                <w:color w:val="0000EE"/>
                <w:w w:val="93"/>
              </w:rPr>
            </w:pPr>
            <w:hyperlink w:anchor="page128">
              <w:r>
                <w:rPr>
                  <w:rFonts w:ascii="Arial" w:cs="Arial" w:eastAsia="Arial" w:hAnsi="Arial"/>
                  <w:sz w:val="11"/>
                  <w:szCs w:val="11"/>
                  <w:color w:val="0000EE"/>
                  <w:w w:val="93"/>
                </w:rPr>
                <w:t>12.</w:t>
              </w:r>
              <w:r>
                <w:rPr>
                  <w:rFonts w:ascii="Arial" w:cs="Arial" w:eastAsia="Arial" w:hAnsi="Arial"/>
                  <w:sz w:val="11"/>
                  <w:szCs w:val="11"/>
                  <w:u w:val="single" w:color="auto"/>
                  <w:color w:val="0000EE"/>
                  <w:w w:val="93"/>
                </w:rPr>
                <w:t>2</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0000EE"/>
            </w:tcBorders>
            <w:gridSpan w:val="14"/>
          </w:tcPr>
          <w:p>
            <w:pPr>
              <w:spacing w:after="0" w:line="115" w:lineRule="exact"/>
              <w:rPr>
                <w:rFonts w:ascii="Arial" w:cs="Arial" w:eastAsia="Arial" w:hAnsi="Arial"/>
                <w:sz w:val="11"/>
                <w:szCs w:val="11"/>
                <w:color w:val="0000EE"/>
              </w:rPr>
            </w:pPr>
            <w:hyperlink w:anchor="page128">
              <w:r>
                <w:rPr>
                  <w:rFonts w:ascii="Arial" w:cs="Arial" w:eastAsia="Arial" w:hAnsi="Arial"/>
                  <w:sz w:val="11"/>
                  <w:szCs w:val="11"/>
                  <w:color w:val="0000EE"/>
                </w:rPr>
                <w:t>Representatives</w:t>
              </w:r>
            </w:hyperlink>
          </w:p>
        </w:tc>
        <w:tc>
          <w:tcPr>
            <w:tcW w:w="3920" w:type="dxa"/>
            <w:vAlign w:val="bottom"/>
            <w:gridSpan w:val="15"/>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60</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0000EE"/>
            </w:tcBorders>
            <w:gridSpan w:val="2"/>
          </w:tcPr>
          <w:p>
            <w:pPr>
              <w:spacing w:after="0" w:line="115" w:lineRule="exact"/>
              <w:rPr>
                <w:rFonts w:ascii="Arial" w:cs="Arial" w:eastAsia="Arial" w:hAnsi="Arial"/>
                <w:sz w:val="11"/>
                <w:szCs w:val="11"/>
                <w:color w:val="0000EE"/>
                <w:w w:val="93"/>
              </w:rPr>
            </w:pPr>
            <w:hyperlink w:anchor="page128">
              <w:r>
                <w:rPr>
                  <w:rFonts w:ascii="Arial" w:cs="Arial" w:eastAsia="Arial" w:hAnsi="Arial"/>
                  <w:sz w:val="11"/>
                  <w:szCs w:val="11"/>
                  <w:color w:val="0000EE"/>
                  <w:w w:val="93"/>
                </w:rPr>
                <w:t>12.</w:t>
              </w:r>
              <w:r>
                <w:rPr>
                  <w:rFonts w:ascii="Arial" w:cs="Arial" w:eastAsia="Arial" w:hAnsi="Arial"/>
                  <w:sz w:val="11"/>
                  <w:szCs w:val="11"/>
                  <w:u w:val="single" w:color="auto"/>
                  <w:color w:val="0000EE"/>
                  <w:w w:val="93"/>
                </w:rPr>
                <w:t>3</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Borders>
              <w:bottom w:val="single" w:sz="8" w:color="0000EE"/>
            </w:tcBorders>
            <w:gridSpan w:val="17"/>
          </w:tcPr>
          <w:p>
            <w:pPr>
              <w:spacing w:after="0" w:line="115" w:lineRule="exact"/>
              <w:rPr>
                <w:rFonts w:ascii="Arial" w:cs="Arial" w:eastAsia="Arial" w:hAnsi="Arial"/>
                <w:sz w:val="11"/>
                <w:szCs w:val="11"/>
                <w:color w:val="0000EE"/>
              </w:rPr>
            </w:pPr>
            <w:hyperlink w:anchor="page128">
              <w:r>
                <w:rPr>
                  <w:rFonts w:ascii="Arial" w:cs="Arial" w:eastAsia="Arial" w:hAnsi="Arial"/>
                  <w:sz w:val="11"/>
                  <w:szCs w:val="11"/>
                  <w:color w:val="0000EE"/>
                </w:rPr>
                <w:t>Currency deficiency</w:t>
              </w:r>
            </w:hyperlink>
          </w:p>
        </w:tc>
        <w:tc>
          <w:tcPr>
            <w:tcW w:w="3780" w:type="dxa"/>
            <w:vAlign w:val="bottom"/>
            <w:gridSpan w:val="12"/>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60</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gridSpan w:val="2"/>
          </w:tcPr>
          <w:p>
            <w:pPr>
              <w:spacing w:after="0" w:line="115" w:lineRule="exact"/>
              <w:rPr>
                <w:rFonts w:ascii="Arial" w:cs="Arial" w:eastAsia="Arial" w:hAnsi="Arial"/>
                <w:sz w:val="11"/>
                <w:szCs w:val="11"/>
                <w:color w:val="0000EE"/>
                <w:w w:val="93"/>
              </w:rPr>
            </w:pPr>
            <w:hyperlink w:anchor="page128">
              <w:r>
                <w:rPr>
                  <w:rFonts w:ascii="Arial" w:cs="Arial" w:eastAsia="Arial" w:hAnsi="Arial"/>
                  <w:sz w:val="11"/>
                  <w:szCs w:val="11"/>
                  <w:color w:val="0000EE"/>
                  <w:w w:val="93"/>
                </w:rPr>
                <w:t>12.</w:t>
              </w:r>
              <w:r>
                <w:rPr>
                  <w:rFonts w:ascii="Arial" w:cs="Arial" w:eastAsia="Arial" w:hAnsi="Arial"/>
                  <w:sz w:val="11"/>
                  <w:szCs w:val="11"/>
                  <w:u w:val="single" w:color="auto"/>
                  <w:color w:val="0000EE"/>
                  <w:w w:val="93"/>
                </w:rPr>
                <w:t>4</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80" w:type="dxa"/>
            <w:vAlign w:val="bottom"/>
            <w:gridSpan w:val="29"/>
          </w:tcPr>
          <w:p>
            <w:pPr>
              <w:spacing w:after="0" w:line="115" w:lineRule="exact"/>
              <w:rPr>
                <w:rFonts w:ascii="Arial" w:cs="Arial" w:eastAsia="Arial" w:hAnsi="Arial"/>
                <w:sz w:val="11"/>
                <w:szCs w:val="11"/>
                <w:color w:val="0000EE"/>
              </w:rPr>
            </w:pPr>
            <w:hyperlink w:anchor="page128">
              <w:r>
                <w:rPr>
                  <w:rFonts w:ascii="Arial" w:cs="Arial" w:eastAsia="Arial" w:hAnsi="Arial"/>
                  <w:sz w:val="11"/>
                  <w:szCs w:val="11"/>
                  <w:color w:val="0000EE"/>
                </w:rPr>
                <w:t>Independence and survival</w:t>
              </w:r>
            </w:hyperlink>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60</w:t>
            </w:r>
          </w:p>
        </w:tc>
        <w:tc>
          <w:tcPr>
            <w:tcW w:w="20" w:type="dxa"/>
            <w:vAlign w:val="bottom"/>
          </w:tcPr>
          <w:p>
            <w:pPr>
              <w:spacing w:after="0"/>
              <w:rPr>
                <w:sz w:val="10"/>
                <w:szCs w:val="10"/>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0000EE"/>
            </w:tcBorders>
            <w:gridSpan w:val="2"/>
          </w:tcPr>
          <w:p>
            <w:pPr>
              <w:spacing w:after="0" w:line="115" w:lineRule="exact"/>
              <w:rPr>
                <w:rFonts w:ascii="Arial" w:cs="Arial" w:eastAsia="Arial" w:hAnsi="Arial"/>
                <w:sz w:val="11"/>
                <w:szCs w:val="11"/>
                <w:color w:val="0000EE"/>
                <w:w w:val="93"/>
              </w:rPr>
            </w:pPr>
            <w:hyperlink w:anchor="page128">
              <w:r>
                <w:rPr>
                  <w:rFonts w:ascii="Arial" w:cs="Arial" w:eastAsia="Arial" w:hAnsi="Arial"/>
                  <w:sz w:val="11"/>
                  <w:szCs w:val="11"/>
                  <w:color w:val="0000EE"/>
                  <w:w w:val="93"/>
                </w:rPr>
                <w:t>12.</w:t>
              </w:r>
              <w:r>
                <w:rPr>
                  <w:rFonts w:ascii="Arial" w:cs="Arial" w:eastAsia="Arial" w:hAnsi="Arial"/>
                  <w:sz w:val="11"/>
                  <w:szCs w:val="11"/>
                  <w:u w:val="single" w:color="auto"/>
                  <w:color w:val="0000EE"/>
                  <w:w w:val="93"/>
                </w:rPr>
                <w:t>5</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Borders>
              <w:bottom w:val="single" w:sz="8" w:color="0000EE"/>
            </w:tcBorders>
            <w:gridSpan w:val="22"/>
          </w:tcPr>
          <w:p>
            <w:pPr>
              <w:spacing w:after="0" w:line="115" w:lineRule="exact"/>
              <w:rPr>
                <w:rFonts w:ascii="Arial" w:cs="Arial" w:eastAsia="Arial" w:hAnsi="Arial"/>
                <w:sz w:val="11"/>
                <w:szCs w:val="11"/>
                <w:color w:val="0000EE"/>
              </w:rPr>
            </w:pPr>
            <w:hyperlink w:anchor="page128">
              <w:r>
                <w:rPr>
                  <w:rFonts w:ascii="Arial" w:cs="Arial" w:eastAsia="Arial" w:hAnsi="Arial"/>
                  <w:sz w:val="11"/>
                  <w:szCs w:val="11"/>
                  <w:color w:val="0000EE"/>
                </w:rPr>
                <w:t>Accounting for transactions</w:t>
              </w:r>
            </w:hyperlink>
          </w:p>
        </w:tc>
        <w:tc>
          <w:tcPr>
            <w:tcW w:w="3420" w:type="dxa"/>
            <w:vAlign w:val="bottom"/>
            <w:gridSpan w:val="7"/>
          </w:tcPr>
          <w:p>
            <w:pPr>
              <w:spacing w:after="0"/>
              <w:rPr>
                <w:sz w:val="10"/>
                <w:szCs w:val="10"/>
                <w:color w:val="auto"/>
              </w:rPr>
            </w:pPr>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60</w:t>
            </w:r>
          </w:p>
        </w:tc>
        <w:tc>
          <w:tcPr>
            <w:tcW w:w="20" w:type="dxa"/>
            <w:vAlign w:val="bottom"/>
          </w:tcPr>
          <w:p>
            <w:pPr>
              <w:spacing w:after="0"/>
              <w:rPr>
                <w:sz w:val="10"/>
                <w:szCs w:val="10"/>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gridSpan w:val="2"/>
          </w:tcPr>
          <w:p>
            <w:pPr>
              <w:spacing w:after="0" w:line="115" w:lineRule="exact"/>
              <w:rPr>
                <w:rFonts w:ascii="Arial" w:cs="Arial" w:eastAsia="Arial" w:hAnsi="Arial"/>
                <w:sz w:val="11"/>
                <w:szCs w:val="11"/>
                <w:color w:val="0000EE"/>
                <w:w w:val="93"/>
              </w:rPr>
            </w:pPr>
            <w:hyperlink w:anchor="page129">
              <w:r>
                <w:rPr>
                  <w:rFonts w:ascii="Arial" w:cs="Arial" w:eastAsia="Arial" w:hAnsi="Arial"/>
                  <w:sz w:val="11"/>
                  <w:szCs w:val="11"/>
                  <w:color w:val="0000EE"/>
                  <w:w w:val="93"/>
                </w:rPr>
                <w:t>12.</w:t>
              </w:r>
              <w:r>
                <w:rPr>
                  <w:rFonts w:ascii="Arial" w:cs="Arial" w:eastAsia="Arial" w:hAnsi="Arial"/>
                  <w:sz w:val="11"/>
                  <w:szCs w:val="11"/>
                  <w:u w:val="single" w:color="auto"/>
                  <w:color w:val="0000EE"/>
                  <w:w w:val="93"/>
                </w:rPr>
                <w:t>6</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80" w:type="dxa"/>
            <w:vAlign w:val="bottom"/>
            <w:gridSpan w:val="29"/>
          </w:tcPr>
          <w:p>
            <w:pPr>
              <w:spacing w:after="0" w:line="115" w:lineRule="exact"/>
              <w:rPr>
                <w:rFonts w:ascii="Arial" w:cs="Arial" w:eastAsia="Arial" w:hAnsi="Arial"/>
                <w:sz w:val="11"/>
                <w:szCs w:val="11"/>
                <w:color w:val="0000EE"/>
              </w:rPr>
            </w:pPr>
            <w:hyperlink w:anchor="page129">
              <w:r>
                <w:rPr>
                  <w:rFonts w:ascii="Arial" w:cs="Arial" w:eastAsia="Arial" w:hAnsi="Arial"/>
                  <w:sz w:val="11"/>
                  <w:szCs w:val="11"/>
                  <w:color w:val="0000EE"/>
                </w:rPr>
                <w:t>Liability for Regulatory Events</w:t>
              </w:r>
            </w:hyperlink>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61</w:t>
            </w:r>
          </w:p>
        </w:tc>
        <w:tc>
          <w:tcPr>
            <w:tcW w:w="20" w:type="dxa"/>
            <w:vAlign w:val="bottom"/>
          </w:tcPr>
          <w:p>
            <w:pPr>
              <w:spacing w:after="0"/>
              <w:rPr>
                <w:sz w:val="10"/>
                <w:szCs w:val="10"/>
                <w:color w:val="auto"/>
              </w:rPr>
            </w:pPr>
          </w:p>
        </w:tc>
      </w:tr>
      <w:tr>
        <w:trPr>
          <w:trHeight w:val="20"/>
        </w:trPr>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60" w:type="dxa"/>
            <w:vAlign w:val="bottom"/>
            <w:gridSpan w:val="9"/>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820" w:type="dxa"/>
            <w:vAlign w:val="bottom"/>
            <w:gridSpan w:val="4"/>
          </w:tcPr>
          <w:p>
            <w:pPr>
              <w:spacing w:after="0" w:line="115" w:lineRule="exact"/>
              <w:rPr>
                <w:rFonts w:ascii="Arial" w:cs="Arial" w:eastAsia="Arial" w:hAnsi="Arial"/>
                <w:sz w:val="11"/>
                <w:szCs w:val="11"/>
                <w:color w:val="0000EE"/>
              </w:rPr>
            </w:pPr>
            <w:hyperlink w:anchor="page130">
              <w:r>
                <w:rPr>
                  <w:rFonts w:ascii="Arial" w:cs="Arial" w:eastAsia="Arial" w:hAnsi="Arial"/>
                  <w:sz w:val="11"/>
                  <w:szCs w:val="11"/>
                  <w:color w:val="0000EE"/>
                </w:rPr>
                <w:t>13</w:t>
              </w:r>
              <w:r>
                <w:rPr>
                  <w:rFonts w:ascii="Arial" w:cs="Arial" w:eastAsia="Arial" w:hAnsi="Arial"/>
                  <w:sz w:val="11"/>
                  <w:szCs w:val="11"/>
                  <w:color w:val="000000"/>
                </w:rPr>
                <w:t>​</w:t>
              </w:r>
            </w:hyperlink>
          </w:p>
        </w:tc>
        <w:tc>
          <w:tcPr>
            <w:tcW w:w="5420" w:type="dxa"/>
            <w:vAlign w:val="bottom"/>
            <w:gridSpan w:val="34"/>
          </w:tcPr>
          <w:p>
            <w:pPr>
              <w:spacing w:after="0" w:line="115" w:lineRule="exact"/>
              <w:rPr>
                <w:rFonts w:ascii="Arial" w:cs="Arial" w:eastAsia="Arial" w:hAnsi="Arial"/>
                <w:sz w:val="11"/>
                <w:szCs w:val="11"/>
                <w:color w:val="0000EE"/>
              </w:rPr>
            </w:pPr>
            <w:hyperlink w:anchor="page130">
              <w:r>
                <w:rPr>
                  <w:rFonts w:ascii="Arial" w:cs="Arial" w:eastAsia="Arial" w:hAnsi="Arial"/>
                  <w:sz w:val="11"/>
                  <w:szCs w:val="11"/>
                  <w:color w:val="0000EE"/>
                </w:rPr>
                <w:t>Goods and Services Tax</w:t>
              </w:r>
            </w:hyperlink>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62</w:t>
            </w:r>
          </w:p>
        </w:tc>
        <w:tc>
          <w:tcPr>
            <w:tcW w:w="20" w:type="dxa"/>
            <w:vAlign w:val="bottom"/>
          </w:tcPr>
          <w:p>
            <w:pPr>
              <w:spacing w:after="0"/>
              <w:rPr>
                <w:sz w:val="10"/>
                <w:szCs w:val="10"/>
                <w:color w:val="auto"/>
              </w:rPr>
            </w:pP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bottom w:val="single" w:sz="8" w:color="0000EE"/>
            </w:tcBorders>
            <w:gridSpan w:val="2"/>
          </w:tcPr>
          <w:p>
            <w:pPr>
              <w:spacing w:after="0" w:line="83" w:lineRule="exact"/>
              <w:rPr>
                <w:rFonts w:ascii="Arial" w:cs="Arial" w:eastAsia="Arial" w:hAnsi="Arial"/>
                <w:sz w:val="9"/>
                <w:szCs w:val="9"/>
                <w:color w:val="0000EE"/>
              </w:rPr>
            </w:pPr>
            <w:hyperlink w:anchor="page130">
              <w:r>
                <w:rPr>
                  <w:rFonts w:ascii="Arial" w:cs="Arial" w:eastAsia="Arial" w:hAnsi="Arial"/>
                  <w:sz w:val="9"/>
                  <w:szCs w:val="9"/>
                  <w:color w:val="0000EE"/>
                </w:rPr>
                <w:t>13.</w:t>
              </w:r>
              <w:r>
                <w:rPr>
                  <w:rFonts w:ascii="Arial" w:cs="Arial" w:eastAsia="Arial" w:hAnsi="Arial"/>
                  <w:sz w:val="9"/>
                  <w:szCs w:val="9"/>
                  <w:u w:val="single" w:color="auto"/>
                  <w:color w:val="0000EE"/>
                </w:rPr>
                <w:t>1</w:t>
              </w:r>
            </w:hyperlink>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bottom w:val="single" w:sz="8" w:color="0000EE"/>
            </w:tcBorders>
            <w:gridSpan w:val="12"/>
          </w:tcPr>
          <w:p>
            <w:pPr>
              <w:spacing w:after="0" w:line="83" w:lineRule="exact"/>
              <w:rPr>
                <w:rFonts w:ascii="Arial" w:cs="Arial" w:eastAsia="Arial" w:hAnsi="Arial"/>
                <w:sz w:val="9"/>
                <w:szCs w:val="9"/>
                <w:color w:val="0000EE"/>
              </w:rPr>
            </w:pPr>
            <w:hyperlink w:anchor="page130">
              <w:r>
                <w:rPr>
                  <w:rFonts w:ascii="Arial" w:cs="Arial" w:eastAsia="Arial" w:hAnsi="Arial"/>
                  <w:sz w:val="9"/>
                  <w:szCs w:val="9"/>
                  <w:color w:val="0000EE"/>
                </w:rPr>
                <w:t>Taxable supply</w:t>
              </w:r>
            </w:hyperlink>
          </w:p>
        </w:tc>
        <w:tc>
          <w:tcPr>
            <w:tcW w:w="4020" w:type="dxa"/>
            <w:vAlign w:val="bottom"/>
            <w:gridSpan w:val="17"/>
          </w:tcPr>
          <w:p>
            <w:pPr>
              <w:spacing w:after="0"/>
              <w:rPr>
                <w:sz w:val="7"/>
                <w:szCs w:val="7"/>
                <w:color w:val="auto"/>
              </w:rPr>
            </w:pPr>
          </w:p>
        </w:tc>
        <w:tc>
          <w:tcPr>
            <w:tcW w:w="3020" w:type="dxa"/>
            <w:vAlign w:val="bottom"/>
          </w:tcPr>
          <w:p>
            <w:pPr>
              <w:jc w:val="right"/>
              <w:ind w:right="646"/>
              <w:spacing w:after="0" w:line="83" w:lineRule="exact"/>
              <w:rPr>
                <w:sz w:val="20"/>
                <w:szCs w:val="20"/>
                <w:color w:val="auto"/>
              </w:rPr>
            </w:pPr>
            <w:r>
              <w:rPr>
                <w:rFonts w:ascii="Arial" w:cs="Arial" w:eastAsia="Arial" w:hAnsi="Arial"/>
                <w:sz w:val="9"/>
                <w:szCs w:val="9"/>
                <w:color w:val="auto"/>
              </w:rPr>
              <w:t>62</w:t>
            </w:r>
          </w:p>
        </w:tc>
        <w:tc>
          <w:tcPr>
            <w:tcW w:w="20" w:type="dxa"/>
            <w:vAlign w:val="bottom"/>
          </w:tcPr>
          <w:p>
            <w:pPr>
              <w:spacing w:after="0"/>
              <w:rPr>
                <w:sz w:val="7"/>
                <w:szCs w:val="7"/>
                <w:color w:val="auto"/>
              </w:rPr>
            </w:pPr>
          </w:p>
        </w:tc>
      </w:tr>
      <w:tr>
        <w:trPr>
          <w:trHeight w:val="115"/>
        </w:trPr>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gridSpan w:val="2"/>
          </w:tcPr>
          <w:p>
            <w:pPr>
              <w:spacing w:after="0" w:line="115" w:lineRule="exact"/>
              <w:rPr>
                <w:rFonts w:ascii="Arial" w:cs="Arial" w:eastAsia="Arial" w:hAnsi="Arial"/>
                <w:sz w:val="11"/>
                <w:szCs w:val="11"/>
                <w:color w:val="0000EE"/>
                <w:w w:val="93"/>
              </w:rPr>
            </w:pPr>
            <w:hyperlink w:anchor="page130">
              <w:r>
                <w:rPr>
                  <w:rFonts w:ascii="Arial" w:cs="Arial" w:eastAsia="Arial" w:hAnsi="Arial"/>
                  <w:sz w:val="11"/>
                  <w:szCs w:val="11"/>
                  <w:color w:val="0000EE"/>
                  <w:w w:val="93"/>
                </w:rPr>
                <w:t>13.</w:t>
              </w:r>
              <w:r>
                <w:rPr>
                  <w:rFonts w:ascii="Arial" w:cs="Arial" w:eastAsia="Arial" w:hAnsi="Arial"/>
                  <w:sz w:val="11"/>
                  <w:szCs w:val="11"/>
                  <w:u w:val="single" w:color="auto"/>
                  <w:color w:val="0000EE"/>
                  <w:w w:val="93"/>
                </w:rPr>
                <w:t>2</w:t>
              </w:r>
            </w:hyperlink>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80" w:type="dxa"/>
            <w:vAlign w:val="bottom"/>
            <w:gridSpan w:val="29"/>
          </w:tcPr>
          <w:p>
            <w:pPr>
              <w:spacing w:after="0" w:line="115" w:lineRule="exact"/>
              <w:rPr>
                <w:rFonts w:ascii="Arial" w:cs="Arial" w:eastAsia="Arial" w:hAnsi="Arial"/>
                <w:sz w:val="11"/>
                <w:szCs w:val="11"/>
                <w:color w:val="0000EE"/>
              </w:rPr>
            </w:pPr>
            <w:hyperlink w:anchor="page130">
              <w:r>
                <w:rPr>
                  <w:rFonts w:ascii="Arial" w:cs="Arial" w:eastAsia="Arial" w:hAnsi="Arial"/>
                  <w:sz w:val="11"/>
                  <w:szCs w:val="11"/>
                  <w:color w:val="0000EE"/>
                </w:rPr>
                <w:t>Adjustment events</w:t>
              </w:r>
            </w:hyperlink>
          </w:p>
        </w:tc>
        <w:tc>
          <w:tcPr>
            <w:tcW w:w="3020" w:type="dxa"/>
            <w:vAlign w:val="bottom"/>
          </w:tcPr>
          <w:p>
            <w:pPr>
              <w:jc w:val="right"/>
              <w:ind w:right="646"/>
              <w:spacing w:after="0" w:line="115" w:lineRule="exact"/>
              <w:rPr>
                <w:sz w:val="20"/>
                <w:szCs w:val="20"/>
                <w:color w:val="auto"/>
              </w:rPr>
            </w:pPr>
            <w:r>
              <w:rPr>
                <w:rFonts w:ascii="Arial" w:cs="Arial" w:eastAsia="Arial" w:hAnsi="Arial"/>
                <w:sz w:val="11"/>
                <w:szCs w:val="11"/>
                <w:color w:val="auto"/>
              </w:rPr>
              <w:t>62</w:t>
            </w:r>
          </w:p>
        </w:tc>
        <w:tc>
          <w:tcPr>
            <w:tcW w:w="20" w:type="dxa"/>
            <w:vAlign w:val="bottom"/>
          </w:tcPr>
          <w:p>
            <w:pPr>
              <w:spacing w:after="0"/>
              <w:rPr>
                <w:sz w:val="10"/>
                <w:szCs w:val="10"/>
                <w:color w:val="auto"/>
              </w:rPr>
            </w:pPr>
          </w:p>
        </w:tc>
      </w:tr>
      <w:tr>
        <w:trPr>
          <w:trHeight w:val="528"/>
        </w:trPr>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680" w:type="dxa"/>
            <w:vAlign w:val="bottom"/>
            <w:tcBorders>
              <w:bottom w:val="single" w:sz="8" w:color="8BD8FF"/>
            </w:tcBorders>
            <w:gridSpan w:val="3"/>
          </w:tcPr>
          <w:p>
            <w:pPr>
              <w:spacing w:after="0"/>
              <w:rPr>
                <w:sz w:val="20"/>
                <w:szCs w:val="20"/>
                <w:color w:val="auto"/>
              </w:rPr>
            </w:pPr>
            <w:r>
              <w:rPr>
                <w:rFonts w:ascii="Arial" w:cs="Arial" w:eastAsia="Arial" w:hAnsi="Arial"/>
                <w:sz w:val="8"/>
                <w:szCs w:val="8"/>
                <w:color w:val="8BD8FF"/>
                <w:w w:val="98"/>
              </w:rPr>
              <w:t>3468-7174-2245v7</w:t>
            </w:r>
          </w:p>
        </w:tc>
        <w:tc>
          <w:tcPr>
            <w:tcW w:w="720" w:type="dxa"/>
            <w:vAlign w:val="bottom"/>
            <w:gridSpan w:val="5"/>
          </w:tcPr>
          <w:p>
            <w:pPr>
              <w:spacing w:after="0"/>
              <w:rPr>
                <w:sz w:val="20"/>
                <w:szCs w:val="20"/>
                <w:color w:val="auto"/>
              </w:rPr>
            </w:pPr>
            <w:r>
              <w:rPr>
                <w:rFonts w:ascii="Arial" w:cs="Arial" w:eastAsia="Arial" w:hAnsi="Arial"/>
                <w:sz w:val="8"/>
                <w:szCs w:val="8"/>
                <w:color w:val="FF0000"/>
                <w:strike w:val="1"/>
              </w:rPr>
              <w:t>3468-7174-2245v2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40" w:type="dxa"/>
            <w:vAlign w:val="bottom"/>
            <w:gridSpan w:val="2"/>
          </w:tcPr>
          <w:p>
            <w:pPr>
              <w:ind w:left="2780"/>
              <w:spacing w:after="0"/>
              <w:rPr>
                <w:sz w:val="20"/>
                <w:szCs w:val="20"/>
                <w:color w:val="auto"/>
              </w:rPr>
            </w:pPr>
            <w:r>
              <w:rPr>
                <w:rFonts w:ascii="Arial" w:cs="Arial" w:eastAsia="Arial" w:hAnsi="Arial"/>
                <w:sz w:val="8"/>
                <w:szCs w:val="8"/>
                <w:color w:val="auto"/>
              </w:rPr>
              <w:t>page ii</w:t>
            </w:r>
          </w:p>
        </w:tc>
      </w:tr>
      <w:tr>
        <w:trPr>
          <w:trHeight w:val="94"/>
        </w:trPr>
        <w:tc>
          <w:tcPr>
            <w:tcW w:w="820" w:type="dxa"/>
            <w:vAlign w:val="bottom"/>
            <w:gridSpan w:val="4"/>
          </w:tcPr>
          <w:p>
            <w:pPr>
              <w:spacing w:after="0"/>
              <w:rPr>
                <w:sz w:val="20"/>
                <w:szCs w:val="20"/>
                <w:color w:val="auto"/>
              </w:rPr>
            </w:pPr>
            <w:r>
              <w:rPr>
                <w:rFonts w:ascii="Arial" w:cs="Arial" w:eastAsia="Arial" w:hAnsi="Arial"/>
                <w:sz w:val="8"/>
                <w:szCs w:val="8"/>
                <w:color w:val="auto"/>
              </w:rPr>
              <w:t>Facility Agreement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8"/>
        </w:trPr>
        <w:tc>
          <w:tcPr>
            <w:tcW w:w="6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6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200" w:type="dxa"/>
            <w:vAlign w:val="bottom"/>
            <w:tcBorders>
              <w:bottom w:val="single" w:sz="8" w:color="EEEEEE"/>
            </w:tcBorders>
          </w:tcPr>
          <w:p>
            <w:pPr>
              <w:spacing w:after="0"/>
              <w:rPr>
                <w:sz w:val="18"/>
                <w:szCs w:val="18"/>
                <w:color w:val="auto"/>
              </w:rPr>
            </w:pPr>
          </w:p>
        </w:tc>
        <w:tc>
          <w:tcPr>
            <w:tcW w:w="30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66" w:name="page67"/>
    <w:bookmarkEnd w:id="66"/>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rFonts w:ascii="Arial" w:cs="Arial" w:eastAsia="Arial" w:hAnsi="Arial"/>
                <w:sz w:val="11"/>
                <w:szCs w:val="11"/>
                <w:color w:val="0000EE"/>
                <w:w w:val="93"/>
              </w:rPr>
            </w:pPr>
            <w:hyperlink w:anchor="page130">
              <w:r>
                <w:rPr>
                  <w:rFonts w:ascii="Arial" w:cs="Arial" w:eastAsia="Arial" w:hAnsi="Arial"/>
                  <w:sz w:val="11"/>
                  <w:szCs w:val="11"/>
                  <w:color w:val="0000EE"/>
                  <w:w w:val="93"/>
                </w:rPr>
                <w:t>13.</w:t>
              </w:r>
              <w:r>
                <w:rPr>
                  <w:rFonts w:ascii="Arial" w:cs="Arial" w:eastAsia="Arial" w:hAnsi="Arial"/>
                  <w:sz w:val="11"/>
                  <w:szCs w:val="11"/>
                  <w:u w:val="single" w:color="auto"/>
                  <w:color w:val="0000EE"/>
                  <w:w w:val="93"/>
                </w:rPr>
                <w:t>3</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rPr>
                <w:rFonts w:ascii="Arial" w:cs="Arial" w:eastAsia="Arial" w:hAnsi="Arial"/>
                <w:sz w:val="11"/>
                <w:szCs w:val="11"/>
                <w:color w:val="0000EE"/>
              </w:rPr>
            </w:pPr>
            <w:hyperlink w:anchor="page130">
              <w:r>
                <w:rPr>
                  <w:rFonts w:ascii="Arial" w:cs="Arial" w:eastAsia="Arial" w:hAnsi="Arial"/>
                  <w:sz w:val="11"/>
                  <w:szCs w:val="11"/>
                  <w:color w:val="0000EE"/>
                </w:rPr>
                <w:t>Payments~</w:t>
              </w:r>
            </w:hyperlink>
          </w:p>
        </w:tc>
        <w:tc>
          <w:tcPr>
            <w:tcW w:w="3480" w:type="dxa"/>
            <w:vAlign w:val="bottom"/>
          </w:tcPr>
          <w:p>
            <w:pPr>
              <w:jc w:val="right"/>
              <w:ind w:right="645"/>
              <w:spacing w:after="0"/>
              <w:rPr>
                <w:sz w:val="20"/>
                <w:szCs w:val="20"/>
                <w:color w:val="auto"/>
              </w:rPr>
            </w:pPr>
            <w:r>
              <w:rPr>
                <w:rFonts w:ascii="Arial" w:cs="Arial" w:eastAsia="Arial" w:hAnsi="Arial"/>
                <w:sz w:val="11"/>
                <w:szCs w:val="11"/>
                <w:color w:val="auto"/>
              </w:rPr>
              <w:t>62</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820" w:type="dxa"/>
            <w:vAlign w:val="bottom"/>
            <w:gridSpan w:val="3"/>
          </w:tcPr>
          <w:p>
            <w:pPr>
              <w:spacing w:after="0" w:line="115" w:lineRule="exact"/>
              <w:rPr>
                <w:rFonts w:ascii="Arial" w:cs="Arial" w:eastAsia="Arial" w:hAnsi="Arial"/>
                <w:sz w:val="11"/>
                <w:szCs w:val="11"/>
                <w:color w:val="0000EE"/>
              </w:rPr>
            </w:pPr>
            <w:hyperlink w:anchor="page130">
              <w:r>
                <w:rPr>
                  <w:rFonts w:ascii="Arial" w:cs="Arial" w:eastAsia="Arial" w:hAnsi="Arial"/>
                  <w:sz w:val="11"/>
                  <w:szCs w:val="11"/>
                  <w:color w:val="0000EE"/>
                </w:rPr>
                <w:t>14</w:t>
              </w:r>
              <w:r>
                <w:rPr>
                  <w:rFonts w:ascii="Arial" w:cs="Arial" w:eastAsia="Arial" w:hAnsi="Arial"/>
                  <w:sz w:val="11"/>
                  <w:szCs w:val="11"/>
                  <w:color w:val="000000"/>
                </w:rPr>
                <w:t>​</w:t>
              </w:r>
            </w:hyperlink>
          </w:p>
        </w:tc>
        <w:tc>
          <w:tcPr>
            <w:tcW w:w="4960" w:type="dxa"/>
            <w:vAlign w:val="bottom"/>
            <w:gridSpan w:val="30"/>
          </w:tcPr>
          <w:p>
            <w:pPr>
              <w:spacing w:after="0" w:line="115" w:lineRule="exact"/>
              <w:rPr>
                <w:rFonts w:ascii="Arial" w:cs="Arial" w:eastAsia="Arial" w:hAnsi="Arial"/>
                <w:sz w:val="11"/>
                <w:szCs w:val="11"/>
                <w:color w:val="0000EE"/>
              </w:rPr>
            </w:pPr>
            <w:hyperlink w:anchor="page130">
              <w:r>
                <w:rPr>
                  <w:rFonts w:ascii="Arial" w:cs="Arial" w:eastAsia="Arial" w:hAnsi="Arial"/>
                  <w:sz w:val="11"/>
                  <w:szCs w:val="11"/>
                  <w:color w:val="0000EE"/>
                </w:rPr>
                <w:t>Increased costs</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62</w:t>
            </w:r>
          </w:p>
        </w:tc>
        <w:tc>
          <w:tcPr>
            <w:tcW w:w="20" w:type="dxa"/>
            <w:vAlign w:val="bottom"/>
          </w:tcPr>
          <w:p>
            <w:pPr>
              <w:spacing w:after="0"/>
              <w:rPr>
                <w:sz w:val="10"/>
                <w:szCs w:val="10"/>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820" w:type="dxa"/>
            <w:vAlign w:val="bottom"/>
            <w:gridSpan w:val="3"/>
          </w:tcPr>
          <w:p>
            <w:pPr>
              <w:spacing w:after="0" w:line="83" w:lineRule="exact"/>
              <w:rPr>
                <w:rFonts w:ascii="Arial" w:cs="Arial" w:eastAsia="Arial" w:hAnsi="Arial"/>
                <w:sz w:val="9"/>
                <w:szCs w:val="9"/>
                <w:color w:val="0000EE"/>
              </w:rPr>
            </w:pPr>
            <w:hyperlink w:anchor="page131">
              <w:r>
                <w:rPr>
                  <w:rFonts w:ascii="Arial" w:cs="Arial" w:eastAsia="Arial" w:hAnsi="Arial"/>
                  <w:sz w:val="9"/>
                  <w:szCs w:val="9"/>
                  <w:color w:val="0000EE"/>
                </w:rPr>
                <w:t>15</w:t>
              </w:r>
              <w:r>
                <w:rPr>
                  <w:rFonts w:ascii="Arial" w:cs="Arial" w:eastAsia="Arial" w:hAnsi="Arial"/>
                  <w:sz w:val="9"/>
                  <w:szCs w:val="9"/>
                  <w:color w:val="000000"/>
                </w:rPr>
                <w:t>​</w:t>
              </w:r>
            </w:hyperlink>
          </w:p>
        </w:tc>
        <w:tc>
          <w:tcPr>
            <w:tcW w:w="640" w:type="dxa"/>
            <w:vAlign w:val="bottom"/>
            <w:gridSpan w:val="5"/>
          </w:tcPr>
          <w:p>
            <w:pPr>
              <w:spacing w:after="0" w:line="83" w:lineRule="exact"/>
              <w:rPr>
                <w:rFonts w:ascii="Arial" w:cs="Arial" w:eastAsia="Arial" w:hAnsi="Arial"/>
                <w:sz w:val="9"/>
                <w:szCs w:val="9"/>
                <w:color w:val="0000EE"/>
              </w:rPr>
            </w:pPr>
            <w:hyperlink w:anchor="page131">
              <w:r>
                <w:rPr>
                  <w:rFonts w:ascii="Arial" w:cs="Arial" w:eastAsia="Arial" w:hAnsi="Arial"/>
                  <w:sz w:val="9"/>
                  <w:szCs w:val="9"/>
                  <w:color w:val="0000EE"/>
                </w:rPr>
                <w:t>Illegality</w:t>
              </w:r>
            </w:hyperlink>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3480" w:type="dxa"/>
            <w:vAlign w:val="bottom"/>
          </w:tcPr>
          <w:p>
            <w:pPr>
              <w:jc w:val="right"/>
              <w:ind w:right="645"/>
              <w:spacing w:after="0" w:line="83" w:lineRule="exact"/>
              <w:rPr>
                <w:sz w:val="20"/>
                <w:szCs w:val="20"/>
                <w:color w:val="auto"/>
              </w:rPr>
            </w:pPr>
            <w:r>
              <w:rPr>
                <w:rFonts w:ascii="Arial" w:cs="Arial" w:eastAsia="Arial" w:hAnsi="Arial"/>
                <w:sz w:val="9"/>
                <w:szCs w:val="9"/>
                <w:color w:val="auto"/>
              </w:rPr>
              <w:t>63</w:t>
            </w:r>
          </w:p>
        </w:tc>
        <w:tc>
          <w:tcPr>
            <w:tcW w:w="20" w:type="dxa"/>
            <w:vAlign w:val="bottom"/>
          </w:tcPr>
          <w:p>
            <w:pPr>
              <w:spacing w:after="0"/>
              <w:rPr>
                <w:sz w:val="7"/>
                <w:szCs w:val="7"/>
                <w:color w:val="auto"/>
              </w:rPr>
            </w:pPr>
          </w:p>
        </w:tc>
      </w:tr>
      <w:tr>
        <w:trPr>
          <w:trHeight w:val="20"/>
        </w:trPr>
        <w:tc>
          <w:tcPr>
            <w:tcW w:w="1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line="83" w:lineRule="exact"/>
              <w:rPr>
                <w:rFonts w:ascii="Arial" w:cs="Arial" w:eastAsia="Arial" w:hAnsi="Arial"/>
                <w:sz w:val="9"/>
                <w:szCs w:val="9"/>
                <w:color w:val="0000EE"/>
              </w:rPr>
            </w:pPr>
            <w:hyperlink w:anchor="page131">
              <w:r>
                <w:rPr>
                  <w:rFonts w:ascii="Arial" w:cs="Arial" w:eastAsia="Arial" w:hAnsi="Arial"/>
                  <w:sz w:val="9"/>
                  <w:szCs w:val="9"/>
                  <w:color w:val="0000EE"/>
                </w:rPr>
                <w:t>15.</w:t>
              </w:r>
              <w:r>
                <w:rPr>
                  <w:rFonts w:ascii="Arial" w:cs="Arial" w:eastAsia="Arial" w:hAnsi="Arial"/>
                  <w:sz w:val="9"/>
                  <w:szCs w:val="9"/>
                  <w:u w:val="single" w:color="auto"/>
                  <w:color w:val="0000EE"/>
                </w:rPr>
                <w:t>1</w:t>
              </w:r>
            </w:hyperlink>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320" w:type="dxa"/>
            <w:vAlign w:val="bottom"/>
            <w:gridSpan w:val="25"/>
          </w:tcPr>
          <w:p>
            <w:pPr>
              <w:spacing w:after="0" w:line="83" w:lineRule="exact"/>
              <w:rPr>
                <w:rFonts w:ascii="Arial" w:cs="Arial" w:eastAsia="Arial" w:hAnsi="Arial"/>
                <w:sz w:val="9"/>
                <w:szCs w:val="9"/>
                <w:color w:val="0000EE"/>
              </w:rPr>
            </w:pPr>
            <w:hyperlink w:anchor="page131">
              <w:r>
                <w:rPr>
                  <w:rFonts w:ascii="Arial" w:cs="Arial" w:eastAsia="Arial" w:hAnsi="Arial"/>
                  <w:sz w:val="9"/>
                  <w:szCs w:val="9"/>
                  <w:color w:val="0000EE"/>
                </w:rPr>
                <w:t>Prepayment</w:t>
              </w:r>
            </w:hyperlink>
          </w:p>
        </w:tc>
        <w:tc>
          <w:tcPr>
            <w:tcW w:w="3480" w:type="dxa"/>
            <w:vAlign w:val="bottom"/>
          </w:tcPr>
          <w:p>
            <w:pPr>
              <w:jc w:val="right"/>
              <w:ind w:right="645"/>
              <w:spacing w:after="0" w:line="83" w:lineRule="exact"/>
              <w:rPr>
                <w:sz w:val="20"/>
                <w:szCs w:val="20"/>
                <w:color w:val="auto"/>
              </w:rPr>
            </w:pPr>
            <w:r>
              <w:rPr>
                <w:rFonts w:ascii="Arial" w:cs="Arial" w:eastAsia="Arial" w:hAnsi="Arial"/>
                <w:sz w:val="9"/>
                <w:szCs w:val="9"/>
                <w:color w:val="auto"/>
              </w:rPr>
              <w:t>63</w:t>
            </w:r>
          </w:p>
        </w:tc>
        <w:tc>
          <w:tcPr>
            <w:tcW w:w="20" w:type="dxa"/>
            <w:vAlign w:val="bottom"/>
          </w:tcPr>
          <w:p>
            <w:pPr>
              <w:spacing w:after="0"/>
              <w:rPr>
                <w:sz w:val="7"/>
                <w:szCs w:val="7"/>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0000EE"/>
            </w:tcBorders>
          </w:tcPr>
          <w:p>
            <w:pPr>
              <w:spacing w:after="0" w:line="115" w:lineRule="exact"/>
              <w:rPr>
                <w:rFonts w:ascii="Arial" w:cs="Arial" w:eastAsia="Arial" w:hAnsi="Arial"/>
                <w:sz w:val="11"/>
                <w:szCs w:val="11"/>
                <w:color w:val="0000EE"/>
                <w:w w:val="93"/>
              </w:rPr>
            </w:pPr>
            <w:hyperlink w:anchor="page131">
              <w:r>
                <w:rPr>
                  <w:rFonts w:ascii="Arial" w:cs="Arial" w:eastAsia="Arial" w:hAnsi="Arial"/>
                  <w:sz w:val="11"/>
                  <w:szCs w:val="11"/>
                  <w:color w:val="0000EE"/>
                  <w:w w:val="93"/>
                </w:rPr>
                <w:t>15.</w:t>
              </w:r>
              <w:r>
                <w:rPr>
                  <w:rFonts w:ascii="Arial" w:cs="Arial" w:eastAsia="Arial" w:hAnsi="Arial"/>
                  <w:sz w:val="11"/>
                  <w:szCs w:val="11"/>
                  <w:u w:val="single" w:color="auto"/>
                  <w:color w:val="0000EE"/>
                  <w:w w:val="93"/>
                </w:rPr>
                <w:t>2</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0000EE"/>
            </w:tcBorders>
            <w:gridSpan w:val="14"/>
          </w:tcPr>
          <w:p>
            <w:pPr>
              <w:spacing w:after="0" w:line="115" w:lineRule="exact"/>
              <w:rPr>
                <w:rFonts w:ascii="Arial" w:cs="Arial" w:eastAsia="Arial" w:hAnsi="Arial"/>
                <w:sz w:val="11"/>
                <w:szCs w:val="11"/>
                <w:color w:val="0000EE"/>
              </w:rPr>
            </w:pPr>
            <w:hyperlink w:anchor="page131">
              <w:r>
                <w:rPr>
                  <w:rFonts w:ascii="Arial" w:cs="Arial" w:eastAsia="Arial" w:hAnsi="Arial"/>
                  <w:sz w:val="11"/>
                  <w:szCs w:val="11"/>
                  <w:color w:val="0000EE"/>
                </w:rPr>
                <w:t>Facility terminated</w:t>
              </w:r>
            </w:hyperlink>
          </w:p>
        </w:tc>
        <w:tc>
          <w:tcPr>
            <w:tcW w:w="3400" w:type="dxa"/>
            <w:vAlign w:val="bottom"/>
            <w:gridSpan w:val="11"/>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63</w:t>
            </w:r>
          </w:p>
        </w:tc>
        <w:tc>
          <w:tcPr>
            <w:tcW w:w="20" w:type="dxa"/>
            <w:vAlign w:val="bottom"/>
          </w:tcPr>
          <w:p>
            <w:pPr>
              <w:spacing w:after="0"/>
              <w:rPr>
                <w:sz w:val="10"/>
                <w:szCs w:val="10"/>
                <w:color w:val="auto"/>
              </w:rPr>
            </w:pPr>
          </w:p>
        </w:tc>
      </w:tr>
      <w:tr>
        <w:trPr>
          <w:trHeight w:val="115"/>
        </w:trPr>
        <w:tc>
          <w:tcPr>
            <w:tcW w:w="820" w:type="dxa"/>
            <w:vAlign w:val="bottom"/>
            <w:gridSpan w:val="3"/>
          </w:tcPr>
          <w:p>
            <w:pPr>
              <w:spacing w:after="0" w:line="115" w:lineRule="exact"/>
              <w:rPr>
                <w:rFonts w:ascii="Arial" w:cs="Arial" w:eastAsia="Arial" w:hAnsi="Arial"/>
                <w:sz w:val="11"/>
                <w:szCs w:val="11"/>
                <w:color w:val="0000EE"/>
              </w:rPr>
            </w:pPr>
            <w:hyperlink w:anchor="page131">
              <w:r>
                <w:rPr>
                  <w:rFonts w:ascii="Arial" w:cs="Arial" w:eastAsia="Arial" w:hAnsi="Arial"/>
                  <w:sz w:val="11"/>
                  <w:szCs w:val="11"/>
                  <w:color w:val="0000EE"/>
                </w:rPr>
                <w:t>16</w:t>
              </w:r>
              <w:r>
                <w:rPr>
                  <w:rFonts w:ascii="Arial" w:cs="Arial" w:eastAsia="Arial" w:hAnsi="Arial"/>
                  <w:sz w:val="11"/>
                  <w:szCs w:val="11"/>
                  <w:color w:val="000000"/>
                </w:rPr>
                <w:t>​</w:t>
              </w:r>
            </w:hyperlink>
          </w:p>
        </w:tc>
        <w:tc>
          <w:tcPr>
            <w:tcW w:w="4960" w:type="dxa"/>
            <w:vAlign w:val="bottom"/>
            <w:gridSpan w:val="30"/>
          </w:tcPr>
          <w:p>
            <w:pPr>
              <w:spacing w:after="0" w:line="115" w:lineRule="exact"/>
              <w:rPr>
                <w:rFonts w:ascii="Arial" w:cs="Arial" w:eastAsia="Arial" w:hAnsi="Arial"/>
                <w:sz w:val="11"/>
                <w:szCs w:val="11"/>
                <w:color w:val="0000EE"/>
              </w:rPr>
            </w:pPr>
            <w:hyperlink w:anchor="page131">
              <w:r>
                <w:rPr>
                  <w:rFonts w:ascii="Arial" w:cs="Arial" w:eastAsia="Arial" w:hAnsi="Arial"/>
                  <w:sz w:val="11"/>
                  <w:szCs w:val="11"/>
                  <w:color w:val="0000EE"/>
                </w:rPr>
                <w:t>Guarantee and indemnity</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63</w:t>
            </w:r>
          </w:p>
        </w:tc>
        <w:tc>
          <w:tcPr>
            <w:tcW w:w="20" w:type="dxa"/>
            <w:vAlign w:val="bottom"/>
          </w:tcPr>
          <w:p>
            <w:pPr>
              <w:spacing w:after="0"/>
              <w:rPr>
                <w:sz w:val="10"/>
                <w:szCs w:val="10"/>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bottom w:val="single" w:sz="8" w:color="0000EE"/>
            </w:tcBorders>
          </w:tcPr>
          <w:p>
            <w:pPr>
              <w:spacing w:after="0" w:line="83" w:lineRule="exact"/>
              <w:rPr>
                <w:rFonts w:ascii="Arial" w:cs="Arial" w:eastAsia="Arial" w:hAnsi="Arial"/>
                <w:sz w:val="9"/>
                <w:szCs w:val="9"/>
                <w:color w:val="0000EE"/>
              </w:rPr>
            </w:pPr>
            <w:hyperlink w:anchor="page131">
              <w:r>
                <w:rPr>
                  <w:rFonts w:ascii="Arial" w:cs="Arial" w:eastAsia="Arial" w:hAnsi="Arial"/>
                  <w:sz w:val="9"/>
                  <w:szCs w:val="9"/>
                  <w:color w:val="0000EE"/>
                </w:rPr>
                <w:t>16.</w:t>
              </w:r>
              <w:r>
                <w:rPr>
                  <w:rFonts w:ascii="Arial" w:cs="Arial" w:eastAsia="Arial" w:hAnsi="Arial"/>
                  <w:sz w:val="9"/>
                  <w:szCs w:val="9"/>
                  <w:u w:val="single" w:color="auto"/>
                  <w:color w:val="0000EE"/>
                </w:rPr>
                <w:t>1</w:t>
              </w:r>
            </w:hyperlink>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bottom w:val="single" w:sz="8" w:color="0000EE"/>
            </w:tcBorders>
            <w:gridSpan w:val="5"/>
          </w:tcPr>
          <w:p>
            <w:pPr>
              <w:spacing w:after="0" w:line="83" w:lineRule="exact"/>
              <w:rPr>
                <w:rFonts w:ascii="Arial" w:cs="Arial" w:eastAsia="Arial" w:hAnsi="Arial"/>
                <w:sz w:val="9"/>
                <w:szCs w:val="9"/>
                <w:color w:val="0000EE"/>
              </w:rPr>
            </w:pPr>
            <w:hyperlink w:anchor="page131">
              <w:r>
                <w:rPr>
                  <w:rFonts w:ascii="Arial" w:cs="Arial" w:eastAsia="Arial" w:hAnsi="Arial"/>
                  <w:sz w:val="9"/>
                  <w:szCs w:val="9"/>
                  <w:color w:val="0000EE"/>
                </w:rPr>
                <w:t>Guarantee</w:t>
              </w:r>
            </w:hyperlink>
          </w:p>
        </w:tc>
        <w:tc>
          <w:tcPr>
            <w:tcW w:w="3760" w:type="dxa"/>
            <w:vAlign w:val="bottom"/>
            <w:gridSpan w:val="20"/>
          </w:tcPr>
          <w:p>
            <w:pPr>
              <w:spacing w:after="0"/>
              <w:rPr>
                <w:sz w:val="7"/>
                <w:szCs w:val="7"/>
                <w:color w:val="auto"/>
              </w:rPr>
            </w:pPr>
          </w:p>
        </w:tc>
        <w:tc>
          <w:tcPr>
            <w:tcW w:w="3480" w:type="dxa"/>
            <w:vAlign w:val="bottom"/>
          </w:tcPr>
          <w:p>
            <w:pPr>
              <w:jc w:val="right"/>
              <w:ind w:right="645"/>
              <w:spacing w:after="0" w:line="83" w:lineRule="exact"/>
              <w:rPr>
                <w:sz w:val="20"/>
                <w:szCs w:val="20"/>
                <w:color w:val="auto"/>
              </w:rPr>
            </w:pPr>
            <w:r>
              <w:rPr>
                <w:rFonts w:ascii="Arial" w:cs="Arial" w:eastAsia="Arial" w:hAnsi="Arial"/>
                <w:sz w:val="9"/>
                <w:szCs w:val="9"/>
                <w:color w:val="auto"/>
              </w:rPr>
              <w:t>63</w:t>
            </w:r>
          </w:p>
        </w:tc>
        <w:tc>
          <w:tcPr>
            <w:tcW w:w="20" w:type="dxa"/>
            <w:vAlign w:val="bottom"/>
          </w:tcPr>
          <w:p>
            <w:pPr>
              <w:spacing w:after="0"/>
              <w:rPr>
                <w:sz w:val="7"/>
                <w:szCs w:val="7"/>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0000EE"/>
            </w:tcBorders>
          </w:tcPr>
          <w:p>
            <w:pPr>
              <w:spacing w:after="0" w:line="115" w:lineRule="exact"/>
              <w:rPr>
                <w:rFonts w:ascii="Arial" w:cs="Arial" w:eastAsia="Arial" w:hAnsi="Arial"/>
                <w:sz w:val="11"/>
                <w:szCs w:val="11"/>
                <w:color w:val="0000EE"/>
                <w:w w:val="93"/>
              </w:rPr>
            </w:pPr>
            <w:hyperlink w:anchor="page132">
              <w:r>
                <w:rPr>
                  <w:rFonts w:ascii="Arial" w:cs="Arial" w:eastAsia="Arial" w:hAnsi="Arial"/>
                  <w:sz w:val="11"/>
                  <w:szCs w:val="11"/>
                  <w:color w:val="0000EE"/>
                  <w:w w:val="93"/>
                </w:rPr>
                <w:t>16.</w:t>
              </w:r>
              <w:r>
                <w:rPr>
                  <w:rFonts w:ascii="Arial" w:cs="Arial" w:eastAsia="Arial" w:hAnsi="Arial"/>
                  <w:sz w:val="11"/>
                  <w:szCs w:val="11"/>
                  <w:u w:val="single" w:color="auto"/>
                  <w:color w:val="0000EE"/>
                  <w:w w:val="93"/>
                </w:rPr>
                <w:t>2</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0000EE"/>
            </w:tcBorders>
            <w:gridSpan w:val="16"/>
          </w:tcPr>
          <w:p>
            <w:pPr>
              <w:spacing w:after="0" w:line="115" w:lineRule="exact"/>
              <w:rPr>
                <w:rFonts w:ascii="Arial" w:cs="Arial" w:eastAsia="Arial" w:hAnsi="Arial"/>
                <w:sz w:val="11"/>
                <w:szCs w:val="11"/>
                <w:color w:val="0000EE"/>
              </w:rPr>
            </w:pPr>
            <w:hyperlink w:anchor="page132">
              <w:r>
                <w:rPr>
                  <w:rFonts w:ascii="Arial" w:cs="Arial" w:eastAsia="Arial" w:hAnsi="Arial"/>
                  <w:sz w:val="11"/>
                  <w:szCs w:val="11"/>
                  <w:color w:val="0000EE"/>
                </w:rPr>
                <w:t>Nature of guarantee</w:t>
              </w:r>
            </w:hyperlink>
          </w:p>
        </w:tc>
        <w:tc>
          <w:tcPr>
            <w:tcW w:w="3320" w:type="dxa"/>
            <w:vAlign w:val="bottom"/>
            <w:gridSpan w:val="9"/>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64</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line="115" w:lineRule="exact"/>
              <w:rPr>
                <w:rFonts w:ascii="Arial" w:cs="Arial" w:eastAsia="Arial" w:hAnsi="Arial"/>
                <w:sz w:val="11"/>
                <w:szCs w:val="11"/>
                <w:color w:val="0000EE"/>
                <w:w w:val="93"/>
              </w:rPr>
            </w:pPr>
            <w:hyperlink w:anchor="page132">
              <w:r>
                <w:rPr>
                  <w:rFonts w:ascii="Arial" w:cs="Arial" w:eastAsia="Arial" w:hAnsi="Arial"/>
                  <w:sz w:val="11"/>
                  <w:szCs w:val="11"/>
                  <w:color w:val="0000EE"/>
                  <w:w w:val="93"/>
                </w:rPr>
                <w:t>16.</w:t>
              </w:r>
              <w:r>
                <w:rPr>
                  <w:rFonts w:ascii="Arial" w:cs="Arial" w:eastAsia="Arial" w:hAnsi="Arial"/>
                  <w:sz w:val="11"/>
                  <w:szCs w:val="11"/>
                  <w:u w:val="single" w:color="auto"/>
                  <w:color w:val="0000EE"/>
                  <w:w w:val="93"/>
                </w:rPr>
                <w:t>3</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32">
              <w:r>
                <w:rPr>
                  <w:rFonts w:ascii="Arial" w:cs="Arial" w:eastAsia="Arial" w:hAnsi="Arial"/>
                  <w:sz w:val="11"/>
                  <w:szCs w:val="11"/>
                  <w:color w:val="0000EE"/>
                </w:rPr>
                <w:t>Indemnity</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64</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0000EE"/>
            </w:tcBorders>
          </w:tcPr>
          <w:p>
            <w:pPr>
              <w:spacing w:after="0" w:line="115" w:lineRule="exact"/>
              <w:rPr>
                <w:rFonts w:ascii="Arial" w:cs="Arial" w:eastAsia="Arial" w:hAnsi="Arial"/>
                <w:sz w:val="11"/>
                <w:szCs w:val="11"/>
                <w:color w:val="0000EE"/>
                <w:w w:val="93"/>
              </w:rPr>
            </w:pPr>
            <w:hyperlink w:anchor="page132">
              <w:r>
                <w:rPr>
                  <w:rFonts w:ascii="Arial" w:cs="Arial" w:eastAsia="Arial" w:hAnsi="Arial"/>
                  <w:sz w:val="11"/>
                  <w:szCs w:val="11"/>
                  <w:color w:val="0000EE"/>
                  <w:w w:val="93"/>
                </w:rPr>
                <w:t>16.</w:t>
              </w:r>
              <w:r>
                <w:rPr>
                  <w:rFonts w:ascii="Arial" w:cs="Arial" w:eastAsia="Arial" w:hAnsi="Arial"/>
                  <w:sz w:val="11"/>
                  <w:szCs w:val="11"/>
                  <w:u w:val="single" w:color="auto"/>
                  <w:color w:val="0000EE"/>
                  <w:w w:val="93"/>
                </w:rPr>
                <w:t>4</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bottom w:val="single" w:sz="8" w:color="0000EE"/>
            </w:tcBorders>
            <w:gridSpan w:val="20"/>
          </w:tcPr>
          <w:p>
            <w:pPr>
              <w:spacing w:after="0" w:line="115" w:lineRule="exact"/>
              <w:rPr>
                <w:rFonts w:ascii="Arial" w:cs="Arial" w:eastAsia="Arial" w:hAnsi="Arial"/>
                <w:sz w:val="11"/>
                <w:szCs w:val="11"/>
                <w:color w:val="0000EE"/>
              </w:rPr>
            </w:pPr>
            <w:hyperlink w:anchor="page132">
              <w:r>
                <w:rPr>
                  <w:rFonts w:ascii="Arial" w:cs="Arial" w:eastAsia="Arial" w:hAnsi="Arial"/>
                  <w:sz w:val="11"/>
                  <w:szCs w:val="11"/>
                  <w:color w:val="0000EE"/>
                </w:rPr>
                <w:t>Reinstatement of rights</w:t>
              </w:r>
            </w:hyperlink>
          </w:p>
        </w:tc>
        <w:tc>
          <w:tcPr>
            <w:tcW w:w="3160" w:type="dxa"/>
            <w:vAlign w:val="bottom"/>
            <w:gridSpan w:val="5"/>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64</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0000EE"/>
            </w:tcBorders>
          </w:tcPr>
          <w:p>
            <w:pPr>
              <w:spacing w:after="0" w:line="115" w:lineRule="exact"/>
              <w:rPr>
                <w:rFonts w:ascii="Arial" w:cs="Arial" w:eastAsia="Arial" w:hAnsi="Arial"/>
                <w:sz w:val="11"/>
                <w:szCs w:val="11"/>
                <w:color w:val="0000EE"/>
                <w:w w:val="93"/>
              </w:rPr>
            </w:pPr>
            <w:hyperlink w:anchor="page133">
              <w:r>
                <w:rPr>
                  <w:rFonts w:ascii="Arial" w:cs="Arial" w:eastAsia="Arial" w:hAnsi="Arial"/>
                  <w:sz w:val="11"/>
                  <w:szCs w:val="11"/>
                  <w:color w:val="0000EE"/>
                  <w:w w:val="93"/>
                </w:rPr>
                <w:t>16.</w:t>
              </w:r>
              <w:r>
                <w:rPr>
                  <w:rFonts w:ascii="Arial" w:cs="Arial" w:eastAsia="Arial" w:hAnsi="Arial"/>
                  <w:sz w:val="11"/>
                  <w:szCs w:val="11"/>
                  <w:u w:val="single" w:color="auto"/>
                  <w:color w:val="0000EE"/>
                  <w:w w:val="93"/>
                </w:rPr>
                <w:t>5</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Borders>
              <w:bottom w:val="single" w:sz="8" w:color="0000EE"/>
            </w:tcBorders>
            <w:gridSpan w:val="23"/>
          </w:tcPr>
          <w:p>
            <w:pPr>
              <w:spacing w:after="0" w:line="115" w:lineRule="exact"/>
              <w:rPr>
                <w:rFonts w:ascii="Arial" w:cs="Arial" w:eastAsia="Arial" w:hAnsi="Arial"/>
                <w:sz w:val="11"/>
                <w:szCs w:val="11"/>
                <w:color w:val="0000EE"/>
                <w:w w:val="98"/>
              </w:rPr>
            </w:pPr>
            <w:hyperlink w:anchor="page133">
              <w:r>
                <w:rPr>
                  <w:rFonts w:ascii="Arial" w:cs="Arial" w:eastAsia="Arial" w:hAnsi="Arial"/>
                  <w:sz w:val="11"/>
                  <w:szCs w:val="11"/>
                  <w:color w:val="0000EE"/>
                  <w:w w:val="98"/>
                </w:rPr>
                <w:t>Rights of the Bank are protected</w:t>
              </w:r>
            </w:hyperlink>
          </w:p>
        </w:tc>
        <w:tc>
          <w:tcPr>
            <w:tcW w:w="2720" w:type="dxa"/>
            <w:vAlign w:val="bottom"/>
            <w:gridSpan w:val="2"/>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65</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line="115" w:lineRule="exact"/>
              <w:rPr>
                <w:rFonts w:ascii="Arial" w:cs="Arial" w:eastAsia="Arial" w:hAnsi="Arial"/>
                <w:sz w:val="11"/>
                <w:szCs w:val="11"/>
                <w:color w:val="0000EE"/>
                <w:w w:val="93"/>
              </w:rPr>
            </w:pPr>
            <w:hyperlink w:anchor="page133">
              <w:r>
                <w:rPr>
                  <w:rFonts w:ascii="Arial" w:cs="Arial" w:eastAsia="Arial" w:hAnsi="Arial"/>
                  <w:sz w:val="11"/>
                  <w:szCs w:val="11"/>
                  <w:color w:val="0000EE"/>
                  <w:w w:val="93"/>
                </w:rPr>
                <w:t>16.</w:t>
              </w:r>
              <w:r>
                <w:rPr>
                  <w:rFonts w:ascii="Arial" w:cs="Arial" w:eastAsia="Arial" w:hAnsi="Arial"/>
                  <w:sz w:val="11"/>
                  <w:szCs w:val="11"/>
                  <w:u w:val="single" w:color="auto"/>
                  <w:color w:val="0000EE"/>
                  <w:w w:val="93"/>
                </w:rPr>
                <w:t>6</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33">
              <w:r>
                <w:rPr>
                  <w:rFonts w:ascii="Arial" w:cs="Arial" w:eastAsia="Arial" w:hAnsi="Arial"/>
                  <w:sz w:val="11"/>
                  <w:szCs w:val="11"/>
                  <w:color w:val="0000EE"/>
                </w:rPr>
                <w:t>No merger</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65</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line="115" w:lineRule="exact"/>
              <w:rPr>
                <w:rFonts w:ascii="Arial" w:cs="Arial" w:eastAsia="Arial" w:hAnsi="Arial"/>
                <w:sz w:val="11"/>
                <w:szCs w:val="11"/>
                <w:color w:val="0000EE"/>
                <w:w w:val="93"/>
              </w:rPr>
            </w:pPr>
            <w:hyperlink w:anchor="page134">
              <w:r>
                <w:rPr>
                  <w:rFonts w:ascii="Arial" w:cs="Arial" w:eastAsia="Arial" w:hAnsi="Arial"/>
                  <w:sz w:val="11"/>
                  <w:szCs w:val="11"/>
                  <w:color w:val="0000EE"/>
                  <w:w w:val="93"/>
                </w:rPr>
                <w:t>16.</w:t>
              </w:r>
              <w:r>
                <w:rPr>
                  <w:rFonts w:ascii="Arial" w:cs="Arial" w:eastAsia="Arial" w:hAnsi="Arial"/>
                  <w:sz w:val="11"/>
                  <w:szCs w:val="11"/>
                  <w:u w:val="single" w:color="auto"/>
                  <w:color w:val="0000EE"/>
                  <w:w w:val="93"/>
                </w:rPr>
                <w:t>7</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34">
              <w:r>
                <w:rPr>
                  <w:rFonts w:ascii="Arial" w:cs="Arial" w:eastAsia="Arial" w:hAnsi="Arial"/>
                  <w:sz w:val="11"/>
                  <w:szCs w:val="11"/>
                  <w:color w:val="0000EE"/>
                </w:rPr>
                <w:t>Extent of Guarantor’s obligations</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66</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line="115" w:lineRule="exact"/>
              <w:rPr>
                <w:rFonts w:ascii="Arial" w:cs="Arial" w:eastAsia="Arial" w:hAnsi="Arial"/>
                <w:sz w:val="11"/>
                <w:szCs w:val="11"/>
                <w:color w:val="0000EE"/>
                <w:w w:val="93"/>
              </w:rPr>
            </w:pPr>
            <w:hyperlink w:anchor="page134">
              <w:r>
                <w:rPr>
                  <w:rFonts w:ascii="Arial" w:cs="Arial" w:eastAsia="Arial" w:hAnsi="Arial"/>
                  <w:sz w:val="11"/>
                  <w:szCs w:val="11"/>
                  <w:color w:val="0000EE"/>
                  <w:w w:val="93"/>
                </w:rPr>
                <w:t>16.</w:t>
              </w:r>
              <w:r>
                <w:rPr>
                  <w:rFonts w:ascii="Arial" w:cs="Arial" w:eastAsia="Arial" w:hAnsi="Arial"/>
                  <w:sz w:val="11"/>
                  <w:szCs w:val="11"/>
                  <w:u w:val="single" w:color="auto"/>
                  <w:color w:val="0000EE"/>
                  <w:w w:val="93"/>
                </w:rPr>
                <w:t>8</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34">
              <w:r>
                <w:rPr>
                  <w:rFonts w:ascii="Arial" w:cs="Arial" w:eastAsia="Arial" w:hAnsi="Arial"/>
                  <w:sz w:val="11"/>
                  <w:szCs w:val="11"/>
                  <w:color w:val="0000EE"/>
                </w:rPr>
                <w:t>Guarantor’s rights are suspended</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66</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0000EE"/>
            </w:tcBorders>
          </w:tcPr>
          <w:p>
            <w:pPr>
              <w:spacing w:after="0" w:line="115" w:lineRule="exact"/>
              <w:rPr>
                <w:rFonts w:ascii="Arial" w:cs="Arial" w:eastAsia="Arial" w:hAnsi="Arial"/>
                <w:sz w:val="11"/>
                <w:szCs w:val="11"/>
                <w:color w:val="0000EE"/>
                <w:w w:val="93"/>
              </w:rPr>
            </w:pPr>
            <w:hyperlink w:anchor="page134">
              <w:r>
                <w:rPr>
                  <w:rFonts w:ascii="Arial" w:cs="Arial" w:eastAsia="Arial" w:hAnsi="Arial"/>
                  <w:sz w:val="11"/>
                  <w:szCs w:val="11"/>
                  <w:color w:val="0000EE"/>
                  <w:w w:val="93"/>
                </w:rPr>
                <w:t>16.</w:t>
              </w:r>
              <w:r>
                <w:rPr>
                  <w:rFonts w:ascii="Arial" w:cs="Arial" w:eastAsia="Arial" w:hAnsi="Arial"/>
                  <w:sz w:val="11"/>
                  <w:szCs w:val="11"/>
                  <w:u w:val="single" w:color="auto"/>
                  <w:color w:val="0000EE"/>
                  <w:w w:val="93"/>
                </w:rPr>
                <w:t>9</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Borders>
              <w:top w:val="single" w:sz="8" w:color="0000EE"/>
            </w:tcBorders>
            <w:gridSpan w:val="24"/>
          </w:tcPr>
          <w:p>
            <w:pPr>
              <w:spacing w:after="0" w:line="115" w:lineRule="exact"/>
              <w:rPr>
                <w:rFonts w:ascii="Arial" w:cs="Arial" w:eastAsia="Arial" w:hAnsi="Arial"/>
                <w:sz w:val="11"/>
                <w:szCs w:val="11"/>
                <w:color w:val="0000EE"/>
              </w:rPr>
            </w:pPr>
            <w:hyperlink w:anchor="page134">
              <w:r>
                <w:rPr>
                  <w:rFonts w:ascii="Arial" w:cs="Arial" w:eastAsia="Arial" w:hAnsi="Arial"/>
                  <w:sz w:val="11"/>
                  <w:szCs w:val="11"/>
                  <w:color w:val="0000EE"/>
                </w:rPr>
                <w:t>Guarantor’s right of proof limited</w:t>
              </w:r>
            </w:hyperlink>
          </w:p>
        </w:tc>
        <w:tc>
          <w:tcPr>
            <w:tcW w:w="2660" w:type="dxa"/>
            <w:vAlign w:val="bottom"/>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66</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bottom w:val="single" w:sz="8" w:color="0000EE"/>
            </w:tcBorders>
            <w:gridSpan w:val="2"/>
          </w:tcPr>
          <w:p>
            <w:pPr>
              <w:spacing w:after="0" w:line="115" w:lineRule="exact"/>
              <w:rPr>
                <w:rFonts w:ascii="Arial" w:cs="Arial" w:eastAsia="Arial" w:hAnsi="Arial"/>
                <w:sz w:val="11"/>
                <w:szCs w:val="11"/>
                <w:color w:val="0000EE"/>
                <w:w w:val="94"/>
              </w:rPr>
            </w:pPr>
            <w:hyperlink w:anchor="page134">
              <w:r>
                <w:rPr>
                  <w:rFonts w:ascii="Arial" w:cs="Arial" w:eastAsia="Arial" w:hAnsi="Arial"/>
                  <w:sz w:val="11"/>
                  <w:szCs w:val="11"/>
                  <w:color w:val="0000EE"/>
                  <w:w w:val="94"/>
                </w:rPr>
                <w:t>16.</w:t>
              </w:r>
              <w:r>
                <w:rPr>
                  <w:rFonts w:ascii="Arial" w:cs="Arial" w:eastAsia="Arial" w:hAnsi="Arial"/>
                  <w:sz w:val="11"/>
                  <w:szCs w:val="11"/>
                  <w:u w:val="single" w:color="auto"/>
                  <w:color w:val="0000EE"/>
                  <w:w w:val="94"/>
                </w:rPr>
                <w:t>10</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bottom w:val="single" w:sz="8" w:color="0000EE"/>
            </w:tcBorders>
            <w:gridSpan w:val="21"/>
          </w:tcPr>
          <w:p>
            <w:pPr>
              <w:spacing w:after="0" w:line="115" w:lineRule="exact"/>
              <w:rPr>
                <w:rFonts w:ascii="Arial" w:cs="Arial" w:eastAsia="Arial" w:hAnsi="Arial"/>
                <w:sz w:val="11"/>
                <w:szCs w:val="11"/>
                <w:color w:val="0000EE"/>
              </w:rPr>
            </w:pPr>
            <w:hyperlink w:anchor="page134">
              <w:r>
                <w:rPr>
                  <w:rFonts w:ascii="Arial" w:cs="Arial" w:eastAsia="Arial" w:hAnsi="Arial"/>
                  <w:sz w:val="11"/>
                  <w:szCs w:val="11"/>
                  <w:color w:val="0000EE"/>
                </w:rPr>
                <w:t>No set-off against assignees</w:t>
              </w:r>
            </w:hyperlink>
          </w:p>
        </w:tc>
        <w:tc>
          <w:tcPr>
            <w:tcW w:w="2900" w:type="dxa"/>
            <w:vAlign w:val="bottom"/>
            <w:gridSpan w:val="4"/>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66</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spacing w:after="0" w:line="115" w:lineRule="exact"/>
              <w:rPr>
                <w:rFonts w:ascii="Arial" w:cs="Arial" w:eastAsia="Arial" w:hAnsi="Arial"/>
                <w:sz w:val="11"/>
                <w:szCs w:val="11"/>
                <w:color w:val="0000EE"/>
                <w:w w:val="94"/>
              </w:rPr>
            </w:pPr>
            <w:hyperlink w:anchor="page134">
              <w:r>
                <w:rPr>
                  <w:rFonts w:ascii="Arial" w:cs="Arial" w:eastAsia="Arial" w:hAnsi="Arial"/>
                  <w:sz w:val="11"/>
                  <w:szCs w:val="11"/>
                  <w:color w:val="0000EE"/>
                  <w:w w:val="94"/>
                </w:rPr>
                <w:t>16.</w:t>
              </w:r>
              <w:r>
                <w:rPr>
                  <w:rFonts w:ascii="Arial" w:cs="Arial" w:eastAsia="Arial" w:hAnsi="Arial"/>
                  <w:sz w:val="11"/>
                  <w:szCs w:val="11"/>
                  <w:u w:val="single" w:color="auto"/>
                  <w:color w:val="0000EE"/>
                  <w:w w:val="94"/>
                </w:rPr>
                <w:t>11</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34">
              <w:r>
                <w:rPr>
                  <w:rFonts w:ascii="Arial" w:cs="Arial" w:eastAsia="Arial" w:hAnsi="Arial"/>
                  <w:sz w:val="11"/>
                  <w:szCs w:val="11"/>
                  <w:color w:val="0000EE"/>
                </w:rPr>
                <w:t>Suspense account</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66</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top w:val="single" w:sz="8" w:color="0000EE"/>
              <w:bottom w:val="single" w:sz="8" w:color="0000EE"/>
            </w:tcBorders>
            <w:gridSpan w:val="2"/>
          </w:tcPr>
          <w:p>
            <w:pPr>
              <w:spacing w:after="0" w:line="115" w:lineRule="exact"/>
              <w:rPr>
                <w:rFonts w:ascii="Arial" w:cs="Arial" w:eastAsia="Arial" w:hAnsi="Arial"/>
                <w:sz w:val="11"/>
                <w:szCs w:val="11"/>
                <w:color w:val="0000EE"/>
                <w:w w:val="94"/>
              </w:rPr>
            </w:pPr>
            <w:hyperlink w:anchor="page135">
              <w:r>
                <w:rPr>
                  <w:rFonts w:ascii="Arial" w:cs="Arial" w:eastAsia="Arial" w:hAnsi="Arial"/>
                  <w:sz w:val="11"/>
                  <w:szCs w:val="11"/>
                  <w:color w:val="0000EE"/>
                  <w:w w:val="94"/>
                </w:rPr>
                <w:t>16.</w:t>
              </w:r>
              <w:r>
                <w:rPr>
                  <w:rFonts w:ascii="Arial" w:cs="Arial" w:eastAsia="Arial" w:hAnsi="Arial"/>
                  <w:sz w:val="11"/>
                  <w:szCs w:val="11"/>
                  <w:u w:val="single" w:color="auto"/>
                  <w:color w:val="0000EE"/>
                  <w:w w:val="94"/>
                </w:rPr>
                <w:t>12</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0000EE"/>
              <w:bottom w:val="single" w:sz="8" w:color="0000EE"/>
            </w:tcBorders>
            <w:gridSpan w:val="9"/>
          </w:tcPr>
          <w:p>
            <w:pPr>
              <w:spacing w:after="0" w:line="115" w:lineRule="exact"/>
              <w:rPr>
                <w:rFonts w:ascii="Arial" w:cs="Arial" w:eastAsia="Arial" w:hAnsi="Arial"/>
                <w:sz w:val="11"/>
                <w:szCs w:val="11"/>
                <w:color w:val="0000EE"/>
                <w:w w:val="96"/>
              </w:rPr>
            </w:pPr>
            <w:hyperlink w:anchor="page135">
              <w:r>
                <w:rPr>
                  <w:rFonts w:ascii="Arial" w:cs="Arial" w:eastAsia="Arial" w:hAnsi="Arial"/>
                  <w:sz w:val="11"/>
                  <w:szCs w:val="11"/>
                  <w:color w:val="0000EE"/>
                  <w:w w:val="96"/>
                </w:rPr>
                <w:t>Right to prove</w:t>
              </w:r>
            </w:hyperlink>
          </w:p>
        </w:tc>
        <w:tc>
          <w:tcPr>
            <w:tcW w:w="220" w:type="dxa"/>
            <w:vAlign w:val="bottom"/>
            <w:tcBorders>
              <w:top w:val="single" w:sz="8" w:color="0000EE"/>
            </w:tcBorders>
            <w:gridSpan w:val="5"/>
          </w:tcPr>
          <w:p>
            <w:pPr>
              <w:spacing w:after="0"/>
              <w:rPr>
                <w:sz w:val="10"/>
                <w:szCs w:val="10"/>
                <w:color w:val="auto"/>
              </w:rPr>
            </w:pPr>
          </w:p>
        </w:tc>
        <w:tc>
          <w:tcPr>
            <w:tcW w:w="3400" w:type="dxa"/>
            <w:vAlign w:val="bottom"/>
            <w:gridSpan w:val="11"/>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67</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spacing w:after="0" w:line="115" w:lineRule="exact"/>
              <w:rPr>
                <w:rFonts w:ascii="Arial" w:cs="Arial" w:eastAsia="Arial" w:hAnsi="Arial"/>
                <w:sz w:val="11"/>
                <w:szCs w:val="11"/>
                <w:color w:val="0000EE"/>
                <w:w w:val="94"/>
              </w:rPr>
            </w:pPr>
            <w:hyperlink w:anchor="page135">
              <w:r>
                <w:rPr>
                  <w:rFonts w:ascii="Arial" w:cs="Arial" w:eastAsia="Arial" w:hAnsi="Arial"/>
                  <w:sz w:val="11"/>
                  <w:szCs w:val="11"/>
                  <w:color w:val="0000EE"/>
                  <w:w w:val="94"/>
                </w:rPr>
                <w:t>16.</w:t>
              </w:r>
              <w:r>
                <w:rPr>
                  <w:rFonts w:ascii="Arial" w:cs="Arial" w:eastAsia="Arial" w:hAnsi="Arial"/>
                  <w:sz w:val="11"/>
                  <w:szCs w:val="11"/>
                  <w:u w:val="single" w:color="auto"/>
                  <w:color w:val="0000EE"/>
                  <w:w w:val="94"/>
                </w:rPr>
                <w:t>13</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35">
              <w:r>
                <w:rPr>
                  <w:rFonts w:ascii="Arial" w:cs="Arial" w:eastAsia="Arial" w:hAnsi="Arial"/>
                  <w:sz w:val="11"/>
                  <w:szCs w:val="11"/>
                  <w:color w:val="0000EE"/>
                </w:rPr>
                <w:t>Release of Guarantors</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67</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top w:val="single" w:sz="8" w:color="0000EE"/>
              <w:bottom w:val="single" w:sz="8" w:color="0000EE"/>
            </w:tcBorders>
            <w:gridSpan w:val="2"/>
          </w:tcPr>
          <w:p>
            <w:pPr>
              <w:spacing w:after="0" w:line="115" w:lineRule="exact"/>
              <w:rPr>
                <w:rFonts w:ascii="Arial" w:cs="Arial" w:eastAsia="Arial" w:hAnsi="Arial"/>
                <w:sz w:val="11"/>
                <w:szCs w:val="11"/>
                <w:color w:val="0000EE"/>
                <w:w w:val="94"/>
              </w:rPr>
            </w:pPr>
            <w:hyperlink w:anchor="page135">
              <w:r>
                <w:rPr>
                  <w:rFonts w:ascii="Arial" w:cs="Arial" w:eastAsia="Arial" w:hAnsi="Arial"/>
                  <w:sz w:val="11"/>
                  <w:szCs w:val="11"/>
                  <w:color w:val="0000EE"/>
                  <w:w w:val="94"/>
                </w:rPr>
                <w:t>16.</w:t>
              </w:r>
              <w:r>
                <w:rPr>
                  <w:rFonts w:ascii="Arial" w:cs="Arial" w:eastAsia="Arial" w:hAnsi="Arial"/>
                  <w:sz w:val="11"/>
                  <w:szCs w:val="11"/>
                  <w:u w:val="single" w:color="auto"/>
                  <w:color w:val="0000EE"/>
                  <w:w w:val="94"/>
                </w:rPr>
                <w:t>14</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top w:val="single" w:sz="8" w:color="0000EE"/>
              <w:bottom w:val="single" w:sz="8" w:color="0000EE"/>
            </w:tcBorders>
            <w:gridSpan w:val="11"/>
          </w:tcPr>
          <w:p>
            <w:pPr>
              <w:spacing w:after="0" w:line="115" w:lineRule="exact"/>
              <w:rPr>
                <w:rFonts w:ascii="Arial" w:cs="Arial" w:eastAsia="Arial" w:hAnsi="Arial"/>
                <w:sz w:val="11"/>
                <w:szCs w:val="11"/>
                <w:color w:val="0000EE"/>
                <w:w w:val="99"/>
              </w:rPr>
            </w:pPr>
            <w:hyperlink w:anchor="page135">
              <w:r>
                <w:rPr>
                  <w:rFonts w:ascii="Arial" w:cs="Arial" w:eastAsia="Arial" w:hAnsi="Arial"/>
                  <w:sz w:val="11"/>
                  <w:szCs w:val="11"/>
                  <w:color w:val="0000EE"/>
                  <w:w w:val="99"/>
                </w:rPr>
                <w:t>New Guarantors</w:t>
              </w:r>
            </w:hyperlink>
          </w:p>
        </w:tc>
        <w:tc>
          <w:tcPr>
            <w:tcW w:w="300" w:type="dxa"/>
            <w:vAlign w:val="bottom"/>
            <w:tcBorders>
              <w:top w:val="single" w:sz="8" w:color="0000EE"/>
            </w:tcBorders>
            <w:gridSpan w:val="8"/>
          </w:tcPr>
          <w:p>
            <w:pPr>
              <w:spacing w:after="0"/>
              <w:rPr>
                <w:sz w:val="10"/>
                <w:szCs w:val="10"/>
                <w:color w:val="auto"/>
              </w:rPr>
            </w:pPr>
          </w:p>
        </w:tc>
        <w:tc>
          <w:tcPr>
            <w:tcW w:w="3200" w:type="dxa"/>
            <w:vAlign w:val="bottom"/>
            <w:gridSpan w:val="6"/>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67</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bottom w:val="single" w:sz="8" w:color="0000EE"/>
            </w:tcBorders>
            <w:gridSpan w:val="2"/>
          </w:tcPr>
          <w:p>
            <w:pPr>
              <w:spacing w:after="0" w:line="115" w:lineRule="exact"/>
              <w:rPr>
                <w:rFonts w:ascii="Arial" w:cs="Arial" w:eastAsia="Arial" w:hAnsi="Arial"/>
                <w:sz w:val="11"/>
                <w:szCs w:val="11"/>
                <w:color w:val="0000EE"/>
                <w:w w:val="94"/>
              </w:rPr>
            </w:pPr>
            <w:hyperlink w:anchor="page135">
              <w:r>
                <w:rPr>
                  <w:rFonts w:ascii="Arial" w:cs="Arial" w:eastAsia="Arial" w:hAnsi="Arial"/>
                  <w:sz w:val="11"/>
                  <w:szCs w:val="11"/>
                  <w:color w:val="0000EE"/>
                  <w:w w:val="94"/>
                </w:rPr>
                <w:t>16.</w:t>
              </w:r>
              <w:r>
                <w:rPr>
                  <w:rFonts w:ascii="Arial" w:cs="Arial" w:eastAsia="Arial" w:hAnsi="Arial"/>
                  <w:sz w:val="11"/>
                  <w:szCs w:val="11"/>
                  <w:u w:val="single" w:color="auto"/>
                  <w:color w:val="0000EE"/>
                  <w:w w:val="94"/>
                </w:rPr>
                <w:t>15</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bottom w:val="single" w:sz="8" w:color="0000EE"/>
            </w:tcBorders>
            <w:gridSpan w:val="9"/>
          </w:tcPr>
          <w:p>
            <w:pPr>
              <w:spacing w:after="0" w:line="115" w:lineRule="exact"/>
              <w:rPr>
                <w:rFonts w:ascii="Arial" w:cs="Arial" w:eastAsia="Arial" w:hAnsi="Arial"/>
                <w:sz w:val="11"/>
                <w:szCs w:val="11"/>
                <w:color w:val="0000EE"/>
                <w:w w:val="97"/>
              </w:rPr>
            </w:pPr>
            <w:hyperlink w:anchor="page135">
              <w:r>
                <w:rPr>
                  <w:rFonts w:ascii="Arial" w:cs="Arial" w:eastAsia="Arial" w:hAnsi="Arial"/>
                  <w:sz w:val="11"/>
                  <w:szCs w:val="11"/>
                  <w:color w:val="0000EE"/>
                  <w:w w:val="97"/>
                </w:rPr>
                <w:t>Consideration</w:t>
              </w:r>
            </w:hyperlink>
          </w:p>
        </w:tc>
        <w:tc>
          <w:tcPr>
            <w:tcW w:w="3620" w:type="dxa"/>
            <w:vAlign w:val="bottom"/>
            <w:gridSpan w:val="16"/>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67</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bottom w:val="single" w:sz="8" w:color="0000EE"/>
            </w:tcBorders>
            <w:gridSpan w:val="2"/>
          </w:tcPr>
          <w:p>
            <w:pPr>
              <w:spacing w:after="0" w:line="115" w:lineRule="exact"/>
              <w:rPr>
                <w:rFonts w:ascii="Arial" w:cs="Arial" w:eastAsia="Arial" w:hAnsi="Arial"/>
                <w:sz w:val="11"/>
                <w:szCs w:val="11"/>
                <w:color w:val="0000EE"/>
                <w:w w:val="94"/>
              </w:rPr>
            </w:pPr>
            <w:hyperlink w:anchor="page136">
              <w:r>
                <w:rPr>
                  <w:rFonts w:ascii="Arial" w:cs="Arial" w:eastAsia="Arial" w:hAnsi="Arial"/>
                  <w:sz w:val="11"/>
                  <w:szCs w:val="11"/>
                  <w:color w:val="0000EE"/>
                  <w:w w:val="94"/>
                </w:rPr>
                <w:t>16.</w:t>
              </w:r>
              <w:r>
                <w:rPr>
                  <w:rFonts w:ascii="Arial" w:cs="Arial" w:eastAsia="Arial" w:hAnsi="Arial"/>
                  <w:sz w:val="11"/>
                  <w:szCs w:val="11"/>
                  <w:u w:val="single" w:color="auto"/>
                  <w:color w:val="0000EE"/>
                  <w:w w:val="94"/>
                </w:rPr>
                <w:t>16</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bottom w:val="single" w:sz="8" w:color="0000EE"/>
            </w:tcBorders>
            <w:gridSpan w:val="11"/>
          </w:tcPr>
          <w:p>
            <w:pPr>
              <w:spacing w:after="0" w:line="115" w:lineRule="exact"/>
              <w:rPr>
                <w:rFonts w:ascii="Arial" w:cs="Arial" w:eastAsia="Arial" w:hAnsi="Arial"/>
                <w:sz w:val="11"/>
                <w:szCs w:val="11"/>
                <w:color w:val="0000EE"/>
                <w:w w:val="99"/>
              </w:rPr>
            </w:pPr>
            <w:hyperlink w:anchor="page136">
              <w:r>
                <w:rPr>
                  <w:rFonts w:ascii="Arial" w:cs="Arial" w:eastAsia="Arial" w:hAnsi="Arial"/>
                  <w:sz w:val="11"/>
                  <w:szCs w:val="11"/>
                  <w:color w:val="0000EE"/>
                  <w:w w:val="99"/>
                </w:rPr>
                <w:t>New Guarantors</w:t>
              </w:r>
            </w:hyperlink>
          </w:p>
        </w:tc>
        <w:tc>
          <w:tcPr>
            <w:tcW w:w="3500" w:type="dxa"/>
            <w:vAlign w:val="bottom"/>
            <w:gridSpan w:val="14"/>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68</w:t>
            </w:r>
          </w:p>
        </w:tc>
        <w:tc>
          <w:tcPr>
            <w:tcW w:w="20" w:type="dxa"/>
            <w:vAlign w:val="bottom"/>
          </w:tcPr>
          <w:p>
            <w:pPr>
              <w:spacing w:after="0"/>
              <w:rPr>
                <w:sz w:val="10"/>
                <w:szCs w:val="10"/>
                <w:color w:val="auto"/>
              </w:rPr>
            </w:pPr>
          </w:p>
        </w:tc>
      </w:tr>
      <w:tr>
        <w:trPr>
          <w:trHeight w:val="115"/>
        </w:trPr>
        <w:tc>
          <w:tcPr>
            <w:tcW w:w="820" w:type="dxa"/>
            <w:vAlign w:val="bottom"/>
            <w:gridSpan w:val="3"/>
          </w:tcPr>
          <w:p>
            <w:pPr>
              <w:spacing w:after="0" w:line="115" w:lineRule="exact"/>
              <w:rPr>
                <w:rFonts w:ascii="Arial" w:cs="Arial" w:eastAsia="Arial" w:hAnsi="Arial"/>
                <w:sz w:val="11"/>
                <w:szCs w:val="11"/>
                <w:color w:val="0000EE"/>
              </w:rPr>
            </w:pPr>
            <w:hyperlink w:anchor="page136">
              <w:r>
                <w:rPr>
                  <w:rFonts w:ascii="Arial" w:cs="Arial" w:eastAsia="Arial" w:hAnsi="Arial"/>
                  <w:sz w:val="11"/>
                  <w:szCs w:val="11"/>
                  <w:color w:val="0000EE"/>
                </w:rPr>
                <w:t>17</w:t>
              </w:r>
              <w:r>
                <w:rPr>
                  <w:rFonts w:ascii="Arial" w:cs="Arial" w:eastAsia="Arial" w:hAnsi="Arial"/>
                  <w:sz w:val="11"/>
                  <w:szCs w:val="11"/>
                  <w:color w:val="000000"/>
                </w:rPr>
                <w:t>​</w:t>
              </w:r>
            </w:hyperlink>
          </w:p>
        </w:tc>
        <w:tc>
          <w:tcPr>
            <w:tcW w:w="640" w:type="dxa"/>
            <w:vAlign w:val="bottom"/>
            <w:gridSpan w:val="5"/>
          </w:tcPr>
          <w:p>
            <w:pPr>
              <w:spacing w:after="0" w:line="115" w:lineRule="exact"/>
              <w:rPr>
                <w:rFonts w:ascii="Arial" w:cs="Arial" w:eastAsia="Arial" w:hAnsi="Arial"/>
                <w:sz w:val="11"/>
                <w:szCs w:val="11"/>
                <w:color w:val="0000EE"/>
              </w:rPr>
            </w:pPr>
            <w:hyperlink w:anchor="page136">
              <w:r>
                <w:rPr>
                  <w:rFonts w:ascii="Arial" w:cs="Arial" w:eastAsia="Arial" w:hAnsi="Arial"/>
                  <w:sz w:val="11"/>
                  <w:szCs w:val="11"/>
                  <w:color w:val="0000EE"/>
                </w:rPr>
                <w:t>Attorney</w:t>
              </w:r>
            </w:hyperlink>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68</w:t>
            </w:r>
          </w:p>
        </w:tc>
        <w:tc>
          <w:tcPr>
            <w:tcW w:w="20" w:type="dxa"/>
            <w:vAlign w:val="bottom"/>
          </w:tcPr>
          <w:p>
            <w:pPr>
              <w:spacing w:after="0"/>
              <w:rPr>
                <w:sz w:val="10"/>
                <w:szCs w:val="10"/>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bottom w:val="single" w:sz="8" w:color="0000EE"/>
            </w:tcBorders>
          </w:tcPr>
          <w:p>
            <w:pPr>
              <w:spacing w:after="0" w:line="83" w:lineRule="exact"/>
              <w:rPr>
                <w:rFonts w:ascii="Arial" w:cs="Arial" w:eastAsia="Arial" w:hAnsi="Arial"/>
                <w:sz w:val="9"/>
                <w:szCs w:val="9"/>
                <w:color w:val="0000EE"/>
              </w:rPr>
            </w:pPr>
            <w:hyperlink w:anchor="page136">
              <w:r>
                <w:rPr>
                  <w:rFonts w:ascii="Arial" w:cs="Arial" w:eastAsia="Arial" w:hAnsi="Arial"/>
                  <w:sz w:val="9"/>
                  <w:szCs w:val="9"/>
                  <w:color w:val="0000EE"/>
                </w:rPr>
                <w:t>17.</w:t>
              </w:r>
              <w:r>
                <w:rPr>
                  <w:rFonts w:ascii="Arial" w:cs="Arial" w:eastAsia="Arial" w:hAnsi="Arial"/>
                  <w:sz w:val="9"/>
                  <w:szCs w:val="9"/>
                  <w:u w:val="single" w:color="auto"/>
                  <w:color w:val="0000EE"/>
                </w:rPr>
                <w:t>1</w:t>
              </w:r>
            </w:hyperlink>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Borders>
              <w:bottom w:val="single" w:sz="8" w:color="0000EE"/>
            </w:tcBorders>
            <w:gridSpan w:val="8"/>
          </w:tcPr>
          <w:p>
            <w:pPr>
              <w:spacing w:after="0" w:line="83" w:lineRule="exact"/>
              <w:rPr>
                <w:rFonts w:ascii="Arial" w:cs="Arial" w:eastAsia="Arial" w:hAnsi="Arial"/>
                <w:sz w:val="9"/>
                <w:szCs w:val="9"/>
                <w:color w:val="0000EE"/>
              </w:rPr>
            </w:pPr>
            <w:hyperlink w:anchor="page136">
              <w:r>
                <w:rPr>
                  <w:rFonts w:ascii="Arial" w:cs="Arial" w:eastAsia="Arial" w:hAnsi="Arial"/>
                  <w:sz w:val="9"/>
                  <w:szCs w:val="9"/>
                  <w:color w:val="0000EE"/>
                </w:rPr>
                <w:t>Appointment</w:t>
              </w:r>
            </w:hyperlink>
          </w:p>
        </w:tc>
        <w:tc>
          <w:tcPr>
            <w:tcW w:w="3680" w:type="dxa"/>
            <w:vAlign w:val="bottom"/>
            <w:gridSpan w:val="17"/>
          </w:tcPr>
          <w:p>
            <w:pPr>
              <w:spacing w:after="0"/>
              <w:rPr>
                <w:sz w:val="7"/>
                <w:szCs w:val="7"/>
                <w:color w:val="auto"/>
              </w:rPr>
            </w:pPr>
          </w:p>
        </w:tc>
        <w:tc>
          <w:tcPr>
            <w:tcW w:w="3480" w:type="dxa"/>
            <w:vAlign w:val="bottom"/>
          </w:tcPr>
          <w:p>
            <w:pPr>
              <w:jc w:val="right"/>
              <w:ind w:right="645"/>
              <w:spacing w:after="0" w:line="83" w:lineRule="exact"/>
              <w:rPr>
                <w:sz w:val="20"/>
                <w:szCs w:val="20"/>
                <w:color w:val="auto"/>
              </w:rPr>
            </w:pPr>
            <w:r>
              <w:rPr>
                <w:rFonts w:ascii="Arial" w:cs="Arial" w:eastAsia="Arial" w:hAnsi="Arial"/>
                <w:sz w:val="9"/>
                <w:szCs w:val="9"/>
                <w:color w:val="auto"/>
              </w:rPr>
              <w:t>68</w:t>
            </w:r>
          </w:p>
        </w:tc>
        <w:tc>
          <w:tcPr>
            <w:tcW w:w="20" w:type="dxa"/>
            <w:vAlign w:val="bottom"/>
          </w:tcPr>
          <w:p>
            <w:pPr>
              <w:spacing w:after="0"/>
              <w:rPr>
                <w:sz w:val="7"/>
                <w:szCs w:val="7"/>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line="115" w:lineRule="exact"/>
              <w:rPr>
                <w:rFonts w:ascii="Arial" w:cs="Arial" w:eastAsia="Arial" w:hAnsi="Arial"/>
                <w:sz w:val="11"/>
                <w:szCs w:val="11"/>
                <w:color w:val="0000EE"/>
                <w:w w:val="93"/>
              </w:rPr>
            </w:pPr>
            <w:hyperlink w:anchor="page136">
              <w:r>
                <w:rPr>
                  <w:rFonts w:ascii="Arial" w:cs="Arial" w:eastAsia="Arial" w:hAnsi="Arial"/>
                  <w:sz w:val="11"/>
                  <w:szCs w:val="11"/>
                  <w:color w:val="0000EE"/>
                  <w:w w:val="93"/>
                </w:rPr>
                <w:t>17.</w:t>
              </w:r>
              <w:r>
                <w:rPr>
                  <w:rFonts w:ascii="Arial" w:cs="Arial" w:eastAsia="Arial" w:hAnsi="Arial"/>
                  <w:sz w:val="11"/>
                  <w:szCs w:val="11"/>
                  <w:u w:val="single" w:color="auto"/>
                  <w:color w:val="0000EE"/>
                  <w:w w:val="93"/>
                </w:rPr>
                <w:t>2</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36">
              <w:r>
                <w:rPr>
                  <w:rFonts w:ascii="Arial" w:cs="Arial" w:eastAsia="Arial" w:hAnsi="Arial"/>
                  <w:sz w:val="11"/>
                  <w:szCs w:val="11"/>
                  <w:color w:val="0000EE"/>
                </w:rPr>
                <w:t>Not used</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68</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0000EE"/>
              <w:bottom w:val="single" w:sz="8" w:color="0000EE"/>
            </w:tcBorders>
          </w:tcPr>
          <w:p>
            <w:pPr>
              <w:spacing w:after="0" w:line="115" w:lineRule="exact"/>
              <w:rPr>
                <w:rFonts w:ascii="Arial" w:cs="Arial" w:eastAsia="Arial" w:hAnsi="Arial"/>
                <w:sz w:val="11"/>
                <w:szCs w:val="11"/>
                <w:color w:val="0000EE"/>
                <w:w w:val="93"/>
              </w:rPr>
            </w:pPr>
            <w:hyperlink w:anchor="page136">
              <w:r>
                <w:rPr>
                  <w:rFonts w:ascii="Arial" w:cs="Arial" w:eastAsia="Arial" w:hAnsi="Arial"/>
                  <w:sz w:val="11"/>
                  <w:szCs w:val="11"/>
                  <w:color w:val="0000EE"/>
                  <w:w w:val="93"/>
                </w:rPr>
                <w:t>17.</w:t>
              </w:r>
              <w:r>
                <w:rPr>
                  <w:rFonts w:ascii="Arial" w:cs="Arial" w:eastAsia="Arial" w:hAnsi="Arial"/>
                  <w:sz w:val="11"/>
                  <w:szCs w:val="11"/>
                  <w:u w:val="single" w:color="auto"/>
                  <w:color w:val="0000EE"/>
                  <w:w w:val="93"/>
                </w:rPr>
                <w:t>3</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top w:val="single" w:sz="8" w:color="0000EE"/>
              <w:bottom w:val="single" w:sz="8" w:color="0000EE"/>
            </w:tcBorders>
            <w:gridSpan w:val="3"/>
          </w:tcPr>
          <w:p>
            <w:pPr>
              <w:spacing w:after="0" w:line="115" w:lineRule="exact"/>
              <w:rPr>
                <w:rFonts w:ascii="Arial" w:cs="Arial" w:eastAsia="Arial" w:hAnsi="Arial"/>
                <w:sz w:val="11"/>
                <w:szCs w:val="11"/>
                <w:color w:val="0000EE"/>
                <w:w w:val="96"/>
              </w:rPr>
            </w:pPr>
            <w:hyperlink w:anchor="page136">
              <w:r>
                <w:rPr>
                  <w:rFonts w:ascii="Arial" w:cs="Arial" w:eastAsia="Arial" w:hAnsi="Arial"/>
                  <w:sz w:val="11"/>
                  <w:szCs w:val="11"/>
                  <w:color w:val="0000EE"/>
                  <w:w w:val="96"/>
                </w:rPr>
                <w:t>General</w:t>
              </w:r>
            </w:hyperlink>
          </w:p>
        </w:tc>
        <w:tc>
          <w:tcPr>
            <w:tcW w:w="80" w:type="dxa"/>
            <w:vAlign w:val="bottom"/>
            <w:tcBorders>
              <w:top w:val="single" w:sz="8" w:color="0000EE"/>
            </w:tcBorders>
          </w:tcPr>
          <w:p>
            <w:pPr>
              <w:spacing w:after="0"/>
              <w:rPr>
                <w:sz w:val="10"/>
                <w:szCs w:val="10"/>
                <w:color w:val="auto"/>
              </w:rPr>
            </w:pPr>
          </w:p>
        </w:tc>
        <w:tc>
          <w:tcPr>
            <w:tcW w:w="3840" w:type="dxa"/>
            <w:vAlign w:val="bottom"/>
            <w:gridSpan w:val="21"/>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68</w:t>
            </w:r>
          </w:p>
        </w:tc>
        <w:tc>
          <w:tcPr>
            <w:tcW w:w="20" w:type="dxa"/>
            <w:vAlign w:val="bottom"/>
          </w:tcPr>
          <w:p>
            <w:pPr>
              <w:spacing w:after="0"/>
              <w:rPr>
                <w:sz w:val="10"/>
                <w:szCs w:val="10"/>
                <w:color w:val="auto"/>
              </w:rPr>
            </w:pPr>
          </w:p>
        </w:tc>
      </w:tr>
      <w:tr>
        <w:trPr>
          <w:trHeight w:val="115"/>
        </w:trPr>
        <w:tc>
          <w:tcPr>
            <w:tcW w:w="820" w:type="dxa"/>
            <w:vAlign w:val="bottom"/>
            <w:gridSpan w:val="3"/>
          </w:tcPr>
          <w:p>
            <w:pPr>
              <w:spacing w:after="0" w:line="115" w:lineRule="exact"/>
              <w:rPr>
                <w:rFonts w:ascii="Arial" w:cs="Arial" w:eastAsia="Arial" w:hAnsi="Arial"/>
                <w:sz w:val="11"/>
                <w:szCs w:val="11"/>
                <w:color w:val="0000EE"/>
              </w:rPr>
            </w:pPr>
            <w:hyperlink w:anchor="page137">
              <w:r>
                <w:rPr>
                  <w:rFonts w:ascii="Arial" w:cs="Arial" w:eastAsia="Arial" w:hAnsi="Arial"/>
                  <w:sz w:val="11"/>
                  <w:szCs w:val="11"/>
                  <w:color w:val="0000EE"/>
                </w:rPr>
                <w:t>18</w:t>
              </w:r>
              <w:r>
                <w:rPr>
                  <w:rFonts w:ascii="Arial" w:cs="Arial" w:eastAsia="Arial" w:hAnsi="Arial"/>
                  <w:sz w:val="11"/>
                  <w:szCs w:val="11"/>
                  <w:color w:val="000000"/>
                </w:rPr>
                <w:t>​</w:t>
              </w:r>
            </w:hyperlink>
          </w:p>
        </w:tc>
        <w:tc>
          <w:tcPr>
            <w:tcW w:w="640" w:type="dxa"/>
            <w:vAlign w:val="bottom"/>
            <w:gridSpan w:val="5"/>
          </w:tcPr>
          <w:p>
            <w:pPr>
              <w:spacing w:after="0" w:line="115" w:lineRule="exact"/>
              <w:rPr>
                <w:rFonts w:ascii="Arial" w:cs="Arial" w:eastAsia="Arial" w:hAnsi="Arial"/>
                <w:sz w:val="11"/>
                <w:szCs w:val="11"/>
                <w:color w:val="0000EE"/>
              </w:rPr>
            </w:pPr>
            <w:hyperlink w:anchor="page137">
              <w:r>
                <w:rPr>
                  <w:rFonts w:ascii="Arial" w:cs="Arial" w:eastAsia="Arial" w:hAnsi="Arial"/>
                  <w:sz w:val="11"/>
                  <w:szCs w:val="11"/>
                  <w:color w:val="0000EE"/>
                </w:rPr>
                <w:t>General</w:t>
              </w:r>
            </w:hyperlink>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69</w:t>
            </w:r>
          </w:p>
        </w:tc>
        <w:tc>
          <w:tcPr>
            <w:tcW w:w="20" w:type="dxa"/>
            <w:vAlign w:val="bottom"/>
          </w:tcPr>
          <w:p>
            <w:pPr>
              <w:spacing w:after="0"/>
              <w:rPr>
                <w:sz w:val="10"/>
                <w:szCs w:val="10"/>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bottom w:val="single" w:sz="8" w:color="0000EE"/>
            </w:tcBorders>
          </w:tcPr>
          <w:p>
            <w:pPr>
              <w:spacing w:after="0" w:line="83" w:lineRule="exact"/>
              <w:rPr>
                <w:rFonts w:ascii="Arial" w:cs="Arial" w:eastAsia="Arial" w:hAnsi="Arial"/>
                <w:sz w:val="9"/>
                <w:szCs w:val="9"/>
                <w:color w:val="0000EE"/>
              </w:rPr>
            </w:pPr>
            <w:hyperlink w:anchor="page137">
              <w:r>
                <w:rPr>
                  <w:rFonts w:ascii="Arial" w:cs="Arial" w:eastAsia="Arial" w:hAnsi="Arial"/>
                  <w:sz w:val="9"/>
                  <w:szCs w:val="9"/>
                  <w:color w:val="0000EE"/>
                </w:rPr>
                <w:t>18.</w:t>
              </w:r>
              <w:r>
                <w:rPr>
                  <w:rFonts w:ascii="Arial" w:cs="Arial" w:eastAsia="Arial" w:hAnsi="Arial"/>
                  <w:sz w:val="9"/>
                  <w:szCs w:val="9"/>
                  <w:u w:val="single" w:color="auto"/>
                  <w:color w:val="0000EE"/>
                </w:rPr>
                <w:t>1</w:t>
              </w:r>
            </w:hyperlink>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Borders>
              <w:bottom w:val="single" w:sz="8" w:color="0000EE"/>
            </w:tcBorders>
            <w:gridSpan w:val="2"/>
          </w:tcPr>
          <w:p>
            <w:pPr>
              <w:spacing w:after="0" w:line="83" w:lineRule="exact"/>
              <w:rPr>
                <w:rFonts w:ascii="Arial" w:cs="Arial" w:eastAsia="Arial" w:hAnsi="Arial"/>
                <w:sz w:val="9"/>
                <w:szCs w:val="9"/>
                <w:color w:val="0000EE"/>
              </w:rPr>
            </w:pPr>
            <w:hyperlink w:anchor="page137">
              <w:r>
                <w:rPr>
                  <w:rFonts w:ascii="Arial" w:cs="Arial" w:eastAsia="Arial" w:hAnsi="Arial"/>
                  <w:sz w:val="9"/>
                  <w:szCs w:val="9"/>
                  <w:color w:val="0000EE"/>
                </w:rPr>
                <w:t>Set-off</w:t>
              </w:r>
            </w:hyperlink>
          </w:p>
        </w:tc>
        <w:tc>
          <w:tcPr>
            <w:tcW w:w="3980" w:type="dxa"/>
            <w:vAlign w:val="bottom"/>
            <w:gridSpan w:val="23"/>
          </w:tcPr>
          <w:p>
            <w:pPr>
              <w:spacing w:after="0"/>
              <w:rPr>
                <w:sz w:val="7"/>
                <w:szCs w:val="7"/>
                <w:color w:val="auto"/>
              </w:rPr>
            </w:pPr>
          </w:p>
        </w:tc>
        <w:tc>
          <w:tcPr>
            <w:tcW w:w="3480" w:type="dxa"/>
            <w:vAlign w:val="bottom"/>
          </w:tcPr>
          <w:p>
            <w:pPr>
              <w:jc w:val="right"/>
              <w:ind w:right="645"/>
              <w:spacing w:after="0" w:line="83" w:lineRule="exact"/>
              <w:rPr>
                <w:sz w:val="20"/>
                <w:szCs w:val="20"/>
                <w:color w:val="auto"/>
              </w:rPr>
            </w:pPr>
            <w:r>
              <w:rPr>
                <w:rFonts w:ascii="Arial" w:cs="Arial" w:eastAsia="Arial" w:hAnsi="Arial"/>
                <w:sz w:val="9"/>
                <w:szCs w:val="9"/>
                <w:color w:val="auto"/>
              </w:rPr>
              <w:t>69</w:t>
            </w:r>
          </w:p>
        </w:tc>
        <w:tc>
          <w:tcPr>
            <w:tcW w:w="20" w:type="dxa"/>
            <w:vAlign w:val="bottom"/>
          </w:tcPr>
          <w:p>
            <w:pPr>
              <w:spacing w:after="0"/>
              <w:rPr>
                <w:sz w:val="7"/>
                <w:szCs w:val="7"/>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line="115" w:lineRule="exact"/>
              <w:rPr>
                <w:rFonts w:ascii="Arial" w:cs="Arial" w:eastAsia="Arial" w:hAnsi="Arial"/>
                <w:sz w:val="11"/>
                <w:szCs w:val="11"/>
                <w:color w:val="0000EE"/>
                <w:w w:val="93"/>
              </w:rPr>
            </w:pPr>
            <w:hyperlink w:anchor="page137">
              <w:r>
                <w:rPr>
                  <w:rFonts w:ascii="Arial" w:cs="Arial" w:eastAsia="Arial" w:hAnsi="Arial"/>
                  <w:sz w:val="11"/>
                  <w:szCs w:val="11"/>
                  <w:color w:val="0000EE"/>
                  <w:w w:val="93"/>
                </w:rPr>
                <w:t>18.</w:t>
              </w:r>
              <w:r>
                <w:rPr>
                  <w:rFonts w:ascii="Arial" w:cs="Arial" w:eastAsia="Arial" w:hAnsi="Arial"/>
                  <w:sz w:val="11"/>
                  <w:szCs w:val="11"/>
                  <w:u w:val="single" w:color="auto"/>
                  <w:color w:val="0000EE"/>
                  <w:w w:val="93"/>
                </w:rPr>
                <w:t>2</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37">
              <w:r>
                <w:rPr>
                  <w:rFonts w:ascii="Arial" w:cs="Arial" w:eastAsia="Arial" w:hAnsi="Arial"/>
                  <w:sz w:val="11"/>
                  <w:szCs w:val="11"/>
                  <w:color w:val="0000EE"/>
                </w:rPr>
                <w:t>Bank’s certificate</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69</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line="115" w:lineRule="exact"/>
              <w:rPr>
                <w:rFonts w:ascii="Arial" w:cs="Arial" w:eastAsia="Arial" w:hAnsi="Arial"/>
                <w:sz w:val="11"/>
                <w:szCs w:val="11"/>
                <w:color w:val="0000EE"/>
                <w:w w:val="93"/>
              </w:rPr>
            </w:pPr>
            <w:hyperlink w:anchor="page137">
              <w:r>
                <w:rPr>
                  <w:rFonts w:ascii="Arial" w:cs="Arial" w:eastAsia="Arial" w:hAnsi="Arial"/>
                  <w:sz w:val="11"/>
                  <w:szCs w:val="11"/>
                  <w:color w:val="0000EE"/>
                  <w:w w:val="93"/>
                </w:rPr>
                <w:t>18.</w:t>
              </w:r>
              <w:r>
                <w:rPr>
                  <w:rFonts w:ascii="Arial" w:cs="Arial" w:eastAsia="Arial" w:hAnsi="Arial"/>
                  <w:sz w:val="11"/>
                  <w:szCs w:val="11"/>
                  <w:u w:val="single" w:color="auto"/>
                  <w:color w:val="0000EE"/>
                  <w:w w:val="93"/>
                </w:rPr>
                <w:t>3</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37">
              <w:r>
                <w:rPr>
                  <w:rFonts w:ascii="Arial" w:cs="Arial" w:eastAsia="Arial" w:hAnsi="Arial"/>
                  <w:sz w:val="11"/>
                  <w:szCs w:val="11"/>
                  <w:color w:val="0000EE"/>
                </w:rPr>
                <w:t>Supervening legislation</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69</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0000EE"/>
            </w:tcBorders>
          </w:tcPr>
          <w:p>
            <w:pPr>
              <w:spacing w:after="0" w:line="115" w:lineRule="exact"/>
              <w:rPr>
                <w:rFonts w:ascii="Arial" w:cs="Arial" w:eastAsia="Arial" w:hAnsi="Arial"/>
                <w:sz w:val="11"/>
                <w:szCs w:val="11"/>
                <w:color w:val="0000EE"/>
                <w:w w:val="93"/>
              </w:rPr>
            </w:pPr>
            <w:hyperlink w:anchor="page137">
              <w:r>
                <w:rPr>
                  <w:rFonts w:ascii="Arial" w:cs="Arial" w:eastAsia="Arial" w:hAnsi="Arial"/>
                  <w:sz w:val="11"/>
                  <w:szCs w:val="11"/>
                  <w:color w:val="0000EE"/>
                  <w:w w:val="93"/>
                </w:rPr>
                <w:t>18.</w:t>
              </w:r>
              <w:r>
                <w:rPr>
                  <w:rFonts w:ascii="Arial" w:cs="Arial" w:eastAsia="Arial" w:hAnsi="Arial"/>
                  <w:sz w:val="11"/>
                  <w:szCs w:val="11"/>
                  <w:u w:val="single" w:color="auto"/>
                  <w:color w:val="0000EE"/>
                  <w:w w:val="93"/>
                </w:rPr>
                <w:t>4</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0000EE"/>
            </w:tcBorders>
            <w:gridSpan w:val="20"/>
          </w:tcPr>
          <w:p>
            <w:pPr>
              <w:spacing w:after="0" w:line="115" w:lineRule="exact"/>
              <w:rPr>
                <w:rFonts w:ascii="Arial" w:cs="Arial" w:eastAsia="Arial" w:hAnsi="Arial"/>
                <w:sz w:val="11"/>
                <w:szCs w:val="11"/>
                <w:color w:val="0000EE"/>
              </w:rPr>
            </w:pPr>
            <w:hyperlink w:anchor="page137">
              <w:r>
                <w:rPr>
                  <w:rFonts w:ascii="Arial" w:cs="Arial" w:eastAsia="Arial" w:hAnsi="Arial"/>
                  <w:sz w:val="11"/>
                  <w:szCs w:val="11"/>
                  <w:color w:val="0000EE"/>
                </w:rPr>
                <w:t>Time of the essence</w:t>
              </w:r>
            </w:hyperlink>
          </w:p>
        </w:tc>
        <w:tc>
          <w:tcPr>
            <w:tcW w:w="3160" w:type="dxa"/>
            <w:vAlign w:val="bottom"/>
            <w:gridSpan w:val="5"/>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69</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0000EE"/>
            </w:tcBorders>
          </w:tcPr>
          <w:p>
            <w:pPr>
              <w:spacing w:after="0" w:line="115" w:lineRule="exact"/>
              <w:rPr>
                <w:rFonts w:ascii="Arial" w:cs="Arial" w:eastAsia="Arial" w:hAnsi="Arial"/>
                <w:sz w:val="11"/>
                <w:szCs w:val="11"/>
                <w:color w:val="0000EE"/>
                <w:w w:val="93"/>
              </w:rPr>
            </w:pPr>
            <w:hyperlink w:anchor="page138">
              <w:r>
                <w:rPr>
                  <w:rFonts w:ascii="Arial" w:cs="Arial" w:eastAsia="Arial" w:hAnsi="Arial"/>
                  <w:sz w:val="11"/>
                  <w:szCs w:val="11"/>
                  <w:color w:val="0000EE"/>
                  <w:w w:val="93"/>
                </w:rPr>
                <w:t>18.</w:t>
              </w:r>
              <w:r>
                <w:rPr>
                  <w:rFonts w:ascii="Arial" w:cs="Arial" w:eastAsia="Arial" w:hAnsi="Arial"/>
                  <w:sz w:val="11"/>
                  <w:szCs w:val="11"/>
                  <w:u w:val="single" w:color="auto"/>
                  <w:color w:val="0000EE"/>
                  <w:w w:val="93"/>
                </w:rPr>
                <w:t>5</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top w:val="single" w:sz="8" w:color="0000EE"/>
            </w:tcBorders>
            <w:gridSpan w:val="16"/>
          </w:tcPr>
          <w:p>
            <w:pPr>
              <w:spacing w:after="0" w:line="115" w:lineRule="exact"/>
              <w:rPr>
                <w:rFonts w:ascii="Arial" w:cs="Arial" w:eastAsia="Arial" w:hAnsi="Arial"/>
                <w:sz w:val="11"/>
                <w:szCs w:val="11"/>
                <w:color w:val="0000EE"/>
              </w:rPr>
            </w:pPr>
            <w:hyperlink w:anchor="page138">
              <w:r>
                <w:rPr>
                  <w:rFonts w:ascii="Arial" w:cs="Arial" w:eastAsia="Arial" w:hAnsi="Arial"/>
                  <w:sz w:val="11"/>
                  <w:szCs w:val="11"/>
                  <w:color w:val="0000EE"/>
                </w:rPr>
                <w:t>Business Days</w:t>
              </w:r>
            </w:hyperlink>
          </w:p>
        </w:tc>
        <w:tc>
          <w:tcPr>
            <w:tcW w:w="3320" w:type="dxa"/>
            <w:vAlign w:val="bottom"/>
            <w:gridSpan w:val="9"/>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70</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0000EE"/>
            </w:tcBorders>
          </w:tcPr>
          <w:p>
            <w:pPr>
              <w:spacing w:after="0" w:line="115" w:lineRule="exact"/>
              <w:rPr>
                <w:rFonts w:ascii="Arial" w:cs="Arial" w:eastAsia="Arial" w:hAnsi="Arial"/>
                <w:sz w:val="11"/>
                <w:szCs w:val="11"/>
                <w:color w:val="0000EE"/>
                <w:w w:val="93"/>
              </w:rPr>
            </w:pPr>
            <w:hyperlink w:anchor="page138">
              <w:r>
                <w:rPr>
                  <w:rFonts w:ascii="Arial" w:cs="Arial" w:eastAsia="Arial" w:hAnsi="Arial"/>
                  <w:sz w:val="11"/>
                  <w:szCs w:val="11"/>
                  <w:color w:val="0000EE"/>
                  <w:w w:val="93"/>
                </w:rPr>
                <w:t>18.</w:t>
              </w:r>
              <w:r>
                <w:rPr>
                  <w:rFonts w:ascii="Arial" w:cs="Arial" w:eastAsia="Arial" w:hAnsi="Arial"/>
                  <w:sz w:val="11"/>
                  <w:szCs w:val="11"/>
                  <w:u w:val="single" w:color="auto"/>
                  <w:color w:val="0000EE"/>
                  <w:w w:val="93"/>
                </w:rPr>
                <w:t>6</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top w:val="single" w:sz="8" w:color="0000EE"/>
            </w:tcBorders>
            <w:gridSpan w:val="10"/>
          </w:tcPr>
          <w:p>
            <w:pPr>
              <w:spacing w:after="0" w:line="115" w:lineRule="exact"/>
              <w:rPr>
                <w:rFonts w:ascii="Arial" w:cs="Arial" w:eastAsia="Arial" w:hAnsi="Arial"/>
                <w:sz w:val="11"/>
                <w:szCs w:val="11"/>
                <w:color w:val="0000EE"/>
              </w:rPr>
            </w:pPr>
            <w:hyperlink w:anchor="page138">
              <w:r>
                <w:rPr>
                  <w:rFonts w:ascii="Arial" w:cs="Arial" w:eastAsia="Arial" w:hAnsi="Arial"/>
                  <w:sz w:val="11"/>
                  <w:szCs w:val="11"/>
                  <w:color w:val="0000EE"/>
                </w:rPr>
                <w:t>Confidentiality</w:t>
              </w:r>
            </w:hyperlink>
          </w:p>
        </w:tc>
        <w:tc>
          <w:tcPr>
            <w:tcW w:w="3580" w:type="dxa"/>
            <w:vAlign w:val="bottom"/>
            <w:gridSpan w:val="15"/>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70</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line="115" w:lineRule="exact"/>
              <w:rPr>
                <w:rFonts w:ascii="Arial" w:cs="Arial" w:eastAsia="Arial" w:hAnsi="Arial"/>
                <w:sz w:val="11"/>
                <w:szCs w:val="11"/>
                <w:color w:val="0000EE"/>
                <w:w w:val="93"/>
              </w:rPr>
            </w:pPr>
            <w:hyperlink w:anchor="page140">
              <w:r>
                <w:rPr>
                  <w:rFonts w:ascii="Arial" w:cs="Arial" w:eastAsia="Arial" w:hAnsi="Arial"/>
                  <w:sz w:val="11"/>
                  <w:szCs w:val="11"/>
                  <w:color w:val="0000EE"/>
                  <w:w w:val="93"/>
                </w:rPr>
                <w:t>18.</w:t>
              </w:r>
              <w:r>
                <w:rPr>
                  <w:rFonts w:ascii="Arial" w:cs="Arial" w:eastAsia="Arial" w:hAnsi="Arial"/>
                  <w:sz w:val="11"/>
                  <w:szCs w:val="11"/>
                  <w:u w:val="single" w:color="auto"/>
                  <w:color w:val="0000EE"/>
                  <w:w w:val="93"/>
                </w:rPr>
                <w:t>7</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40">
              <w:r>
                <w:rPr>
                  <w:rFonts w:ascii="Arial" w:cs="Arial" w:eastAsia="Arial" w:hAnsi="Arial"/>
                  <w:sz w:val="11"/>
                  <w:szCs w:val="11"/>
                  <w:color w:val="0000EE"/>
                </w:rPr>
                <w:t>Exchange rate</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72</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0000EE"/>
            </w:tcBorders>
          </w:tcPr>
          <w:p>
            <w:pPr>
              <w:spacing w:after="0" w:line="115" w:lineRule="exact"/>
              <w:rPr>
                <w:rFonts w:ascii="Arial" w:cs="Arial" w:eastAsia="Arial" w:hAnsi="Arial"/>
                <w:sz w:val="11"/>
                <w:szCs w:val="11"/>
                <w:color w:val="0000EE"/>
                <w:w w:val="93"/>
              </w:rPr>
            </w:pPr>
            <w:hyperlink w:anchor="page140">
              <w:r>
                <w:rPr>
                  <w:rFonts w:ascii="Arial" w:cs="Arial" w:eastAsia="Arial" w:hAnsi="Arial"/>
                  <w:sz w:val="11"/>
                  <w:szCs w:val="11"/>
                  <w:color w:val="0000EE"/>
                  <w:w w:val="93"/>
                </w:rPr>
                <w:t>18.</w:t>
              </w:r>
              <w:r>
                <w:rPr>
                  <w:rFonts w:ascii="Arial" w:cs="Arial" w:eastAsia="Arial" w:hAnsi="Arial"/>
                  <w:sz w:val="11"/>
                  <w:szCs w:val="11"/>
                  <w:u w:val="single" w:color="auto"/>
                  <w:color w:val="0000EE"/>
                  <w:w w:val="93"/>
                </w:rPr>
                <w:t>8</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bottom w:val="single" w:sz="8" w:color="0000EE"/>
            </w:tcBorders>
            <w:gridSpan w:val="17"/>
          </w:tcPr>
          <w:p>
            <w:pPr>
              <w:spacing w:after="0" w:line="115" w:lineRule="exact"/>
              <w:rPr>
                <w:rFonts w:ascii="Arial" w:cs="Arial" w:eastAsia="Arial" w:hAnsi="Arial"/>
                <w:sz w:val="11"/>
                <w:szCs w:val="11"/>
                <w:color w:val="0000EE"/>
              </w:rPr>
            </w:pPr>
            <w:hyperlink w:anchor="page140">
              <w:r>
                <w:rPr>
                  <w:rFonts w:ascii="Arial" w:cs="Arial" w:eastAsia="Arial" w:hAnsi="Arial"/>
                  <w:sz w:val="11"/>
                  <w:szCs w:val="11"/>
                  <w:color w:val="0000EE"/>
                </w:rPr>
                <w:t>Records as evidence</w:t>
              </w:r>
            </w:hyperlink>
          </w:p>
        </w:tc>
        <w:tc>
          <w:tcPr>
            <w:tcW w:w="3260" w:type="dxa"/>
            <w:vAlign w:val="bottom"/>
            <w:gridSpan w:val="8"/>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72</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line="115" w:lineRule="exact"/>
              <w:rPr>
                <w:rFonts w:ascii="Arial" w:cs="Arial" w:eastAsia="Arial" w:hAnsi="Arial"/>
                <w:sz w:val="11"/>
                <w:szCs w:val="11"/>
                <w:color w:val="0000EE"/>
                <w:w w:val="93"/>
              </w:rPr>
            </w:pPr>
            <w:hyperlink w:anchor="page140">
              <w:r>
                <w:rPr>
                  <w:rFonts w:ascii="Arial" w:cs="Arial" w:eastAsia="Arial" w:hAnsi="Arial"/>
                  <w:sz w:val="11"/>
                  <w:szCs w:val="11"/>
                  <w:color w:val="0000EE"/>
                  <w:w w:val="93"/>
                </w:rPr>
                <w:t>18.</w:t>
              </w:r>
              <w:r>
                <w:rPr>
                  <w:rFonts w:ascii="Arial" w:cs="Arial" w:eastAsia="Arial" w:hAnsi="Arial"/>
                  <w:sz w:val="11"/>
                  <w:szCs w:val="11"/>
                  <w:u w:val="single" w:color="auto"/>
                  <w:color w:val="0000EE"/>
                  <w:w w:val="93"/>
                </w:rPr>
                <w:t>9</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40">
              <w:r>
                <w:rPr>
                  <w:rFonts w:ascii="Arial" w:cs="Arial" w:eastAsia="Arial" w:hAnsi="Arial"/>
                  <w:sz w:val="11"/>
                  <w:szCs w:val="11"/>
                  <w:color w:val="0000EE"/>
                </w:rPr>
                <w:t>Further assurances</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72</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spacing w:after="0" w:line="115" w:lineRule="exact"/>
              <w:rPr>
                <w:rFonts w:ascii="Arial" w:cs="Arial" w:eastAsia="Arial" w:hAnsi="Arial"/>
                <w:sz w:val="11"/>
                <w:szCs w:val="11"/>
                <w:color w:val="0000EE"/>
                <w:w w:val="94"/>
              </w:rPr>
            </w:pPr>
            <w:hyperlink w:anchor="page140">
              <w:r>
                <w:rPr>
                  <w:rFonts w:ascii="Arial" w:cs="Arial" w:eastAsia="Arial" w:hAnsi="Arial"/>
                  <w:sz w:val="11"/>
                  <w:szCs w:val="11"/>
                  <w:color w:val="0000EE"/>
                  <w:w w:val="94"/>
                </w:rPr>
                <w:t>18.</w:t>
              </w:r>
              <w:r>
                <w:rPr>
                  <w:rFonts w:ascii="Arial" w:cs="Arial" w:eastAsia="Arial" w:hAnsi="Arial"/>
                  <w:sz w:val="11"/>
                  <w:szCs w:val="11"/>
                  <w:u w:val="single" w:color="auto"/>
                  <w:color w:val="0000EE"/>
                  <w:w w:val="94"/>
                </w:rPr>
                <w:t>10</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40">
              <w:r>
                <w:rPr>
                  <w:rFonts w:ascii="Arial" w:cs="Arial" w:eastAsia="Arial" w:hAnsi="Arial"/>
                  <w:sz w:val="11"/>
                  <w:szCs w:val="11"/>
                  <w:color w:val="0000EE"/>
                </w:rPr>
                <w:t>Amendment</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72</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spacing w:after="0" w:line="115" w:lineRule="exact"/>
              <w:rPr>
                <w:rFonts w:ascii="Arial" w:cs="Arial" w:eastAsia="Arial" w:hAnsi="Arial"/>
                <w:sz w:val="11"/>
                <w:szCs w:val="11"/>
                <w:color w:val="0000EE"/>
                <w:w w:val="94"/>
              </w:rPr>
            </w:pPr>
            <w:hyperlink w:anchor="page140">
              <w:r>
                <w:rPr>
                  <w:rFonts w:ascii="Arial" w:cs="Arial" w:eastAsia="Arial" w:hAnsi="Arial"/>
                  <w:sz w:val="11"/>
                  <w:szCs w:val="11"/>
                  <w:color w:val="0000EE"/>
                  <w:w w:val="94"/>
                </w:rPr>
                <w:t>18.</w:t>
              </w:r>
              <w:r>
                <w:rPr>
                  <w:rFonts w:ascii="Arial" w:cs="Arial" w:eastAsia="Arial" w:hAnsi="Arial"/>
                  <w:sz w:val="11"/>
                  <w:szCs w:val="11"/>
                  <w:u w:val="single" w:color="auto"/>
                  <w:color w:val="0000EE"/>
                  <w:w w:val="94"/>
                </w:rPr>
                <w:t>11</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40">
              <w:r>
                <w:rPr>
                  <w:rFonts w:ascii="Arial" w:cs="Arial" w:eastAsia="Arial" w:hAnsi="Arial"/>
                  <w:sz w:val="11"/>
                  <w:szCs w:val="11"/>
                  <w:color w:val="0000EE"/>
                </w:rPr>
                <w:t>Waiver and exercise of rights</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72</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top w:val="single" w:sz="8" w:color="0000EE"/>
            </w:tcBorders>
            <w:gridSpan w:val="2"/>
          </w:tcPr>
          <w:p>
            <w:pPr>
              <w:spacing w:after="0" w:line="115" w:lineRule="exact"/>
              <w:rPr>
                <w:rFonts w:ascii="Arial" w:cs="Arial" w:eastAsia="Arial" w:hAnsi="Arial"/>
                <w:sz w:val="11"/>
                <w:szCs w:val="11"/>
                <w:color w:val="0000EE"/>
                <w:w w:val="94"/>
              </w:rPr>
            </w:pPr>
            <w:hyperlink w:anchor="page141">
              <w:r>
                <w:rPr>
                  <w:rFonts w:ascii="Arial" w:cs="Arial" w:eastAsia="Arial" w:hAnsi="Arial"/>
                  <w:sz w:val="11"/>
                  <w:szCs w:val="11"/>
                  <w:color w:val="0000EE"/>
                  <w:w w:val="94"/>
                </w:rPr>
                <w:t>18.</w:t>
              </w:r>
              <w:r>
                <w:rPr>
                  <w:rFonts w:ascii="Arial" w:cs="Arial" w:eastAsia="Arial" w:hAnsi="Arial"/>
                  <w:sz w:val="11"/>
                  <w:szCs w:val="11"/>
                  <w:u w:val="single" w:color="auto"/>
                  <w:color w:val="0000EE"/>
                  <w:w w:val="94"/>
                </w:rPr>
                <w:t>12</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Borders>
              <w:top w:val="single" w:sz="8" w:color="0000EE"/>
            </w:tcBorders>
            <w:gridSpan w:val="22"/>
          </w:tcPr>
          <w:p>
            <w:pPr>
              <w:spacing w:after="0" w:line="115" w:lineRule="exact"/>
              <w:rPr>
                <w:rFonts w:ascii="Arial" w:cs="Arial" w:eastAsia="Arial" w:hAnsi="Arial"/>
                <w:sz w:val="11"/>
                <w:szCs w:val="11"/>
                <w:color w:val="0000EE"/>
              </w:rPr>
            </w:pPr>
            <w:hyperlink w:anchor="page141">
              <w:r>
                <w:rPr>
                  <w:rFonts w:ascii="Arial" w:cs="Arial" w:eastAsia="Arial" w:hAnsi="Arial"/>
                  <w:sz w:val="11"/>
                  <w:szCs w:val="11"/>
                  <w:color w:val="0000EE"/>
                </w:rPr>
                <w:t>Rights cumulative</w:t>
              </w:r>
            </w:hyperlink>
          </w:p>
        </w:tc>
        <w:tc>
          <w:tcPr>
            <w:tcW w:w="2880" w:type="dxa"/>
            <w:vAlign w:val="bottom"/>
            <w:gridSpan w:val="3"/>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73</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spacing w:after="0" w:line="115" w:lineRule="exact"/>
              <w:rPr>
                <w:rFonts w:ascii="Arial" w:cs="Arial" w:eastAsia="Arial" w:hAnsi="Arial"/>
                <w:sz w:val="11"/>
                <w:szCs w:val="11"/>
                <w:color w:val="0000EE"/>
                <w:w w:val="94"/>
              </w:rPr>
            </w:pPr>
            <w:hyperlink w:anchor="page141">
              <w:r>
                <w:rPr>
                  <w:rFonts w:ascii="Arial" w:cs="Arial" w:eastAsia="Arial" w:hAnsi="Arial"/>
                  <w:sz w:val="11"/>
                  <w:szCs w:val="11"/>
                  <w:color w:val="0000EE"/>
                  <w:w w:val="94"/>
                </w:rPr>
                <w:t>18.</w:t>
              </w:r>
              <w:r>
                <w:rPr>
                  <w:rFonts w:ascii="Arial" w:cs="Arial" w:eastAsia="Arial" w:hAnsi="Arial"/>
                  <w:sz w:val="11"/>
                  <w:szCs w:val="11"/>
                  <w:u w:val="single" w:color="auto"/>
                  <w:color w:val="0000EE"/>
                  <w:w w:val="94"/>
                </w:rPr>
                <w:t>13</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41">
              <w:r>
                <w:rPr>
                  <w:rFonts w:ascii="Arial" w:cs="Arial" w:eastAsia="Arial" w:hAnsi="Arial"/>
                  <w:sz w:val="11"/>
                  <w:szCs w:val="11"/>
                  <w:color w:val="0000EE"/>
                </w:rPr>
                <w:t>Approval and consent</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73</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top w:val="single" w:sz="8" w:color="0000EE"/>
            </w:tcBorders>
            <w:gridSpan w:val="2"/>
          </w:tcPr>
          <w:p>
            <w:pPr>
              <w:spacing w:after="0" w:line="115" w:lineRule="exact"/>
              <w:rPr>
                <w:rFonts w:ascii="Arial" w:cs="Arial" w:eastAsia="Arial" w:hAnsi="Arial"/>
                <w:sz w:val="11"/>
                <w:szCs w:val="11"/>
                <w:color w:val="0000EE"/>
                <w:w w:val="94"/>
              </w:rPr>
            </w:pPr>
            <w:hyperlink w:anchor="page141">
              <w:r>
                <w:rPr>
                  <w:rFonts w:ascii="Arial" w:cs="Arial" w:eastAsia="Arial" w:hAnsi="Arial"/>
                  <w:sz w:val="11"/>
                  <w:szCs w:val="11"/>
                  <w:color w:val="0000EE"/>
                  <w:w w:val="94"/>
                </w:rPr>
                <w:t>18.</w:t>
              </w:r>
              <w:r>
                <w:rPr>
                  <w:rFonts w:ascii="Arial" w:cs="Arial" w:eastAsia="Arial" w:hAnsi="Arial"/>
                  <w:sz w:val="11"/>
                  <w:szCs w:val="11"/>
                  <w:u w:val="single" w:color="auto"/>
                  <w:color w:val="0000EE"/>
                  <w:w w:val="94"/>
                </w:rPr>
                <w:t>14</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Borders>
              <w:top w:val="single" w:sz="8" w:color="0000EE"/>
            </w:tcBorders>
            <w:gridSpan w:val="18"/>
          </w:tcPr>
          <w:p>
            <w:pPr>
              <w:spacing w:after="0" w:line="115" w:lineRule="exact"/>
              <w:rPr>
                <w:rFonts w:ascii="Arial" w:cs="Arial" w:eastAsia="Arial" w:hAnsi="Arial"/>
                <w:sz w:val="11"/>
                <w:szCs w:val="11"/>
                <w:color w:val="0000EE"/>
              </w:rPr>
            </w:pPr>
            <w:hyperlink w:anchor="page141">
              <w:r>
                <w:rPr>
                  <w:rFonts w:ascii="Arial" w:cs="Arial" w:eastAsia="Arial" w:hAnsi="Arial"/>
                  <w:sz w:val="11"/>
                  <w:szCs w:val="11"/>
                  <w:color w:val="0000EE"/>
                </w:rPr>
                <w:t>Assignment</w:t>
              </w:r>
            </w:hyperlink>
          </w:p>
        </w:tc>
        <w:tc>
          <w:tcPr>
            <w:tcW w:w="3240" w:type="dxa"/>
            <w:vAlign w:val="bottom"/>
            <w:gridSpan w:val="7"/>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73</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bottom w:val="single" w:sz="8" w:color="0000EE"/>
            </w:tcBorders>
            <w:gridSpan w:val="2"/>
          </w:tcPr>
          <w:p>
            <w:pPr>
              <w:spacing w:after="0" w:line="115" w:lineRule="exact"/>
              <w:rPr>
                <w:rFonts w:ascii="Arial" w:cs="Arial" w:eastAsia="Arial" w:hAnsi="Arial"/>
                <w:sz w:val="11"/>
                <w:szCs w:val="11"/>
                <w:color w:val="0000EE"/>
                <w:w w:val="94"/>
              </w:rPr>
            </w:pPr>
            <w:hyperlink w:anchor="page141">
              <w:r>
                <w:rPr>
                  <w:rFonts w:ascii="Arial" w:cs="Arial" w:eastAsia="Arial" w:hAnsi="Arial"/>
                  <w:sz w:val="11"/>
                  <w:szCs w:val="11"/>
                  <w:color w:val="0000EE"/>
                  <w:w w:val="94"/>
                </w:rPr>
                <w:t>18.</w:t>
              </w:r>
              <w:r>
                <w:rPr>
                  <w:rFonts w:ascii="Arial" w:cs="Arial" w:eastAsia="Arial" w:hAnsi="Arial"/>
                  <w:sz w:val="11"/>
                  <w:szCs w:val="11"/>
                  <w:u w:val="single" w:color="auto"/>
                  <w:color w:val="0000EE"/>
                  <w:w w:val="94"/>
                </w:rPr>
                <w:t>15</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bottom w:val="single" w:sz="8" w:color="0000EE"/>
            </w:tcBorders>
            <w:gridSpan w:val="9"/>
          </w:tcPr>
          <w:p>
            <w:pPr>
              <w:spacing w:after="0" w:line="115" w:lineRule="exact"/>
              <w:rPr>
                <w:rFonts w:ascii="Arial" w:cs="Arial" w:eastAsia="Arial" w:hAnsi="Arial"/>
                <w:sz w:val="11"/>
                <w:szCs w:val="11"/>
                <w:color w:val="0000EE"/>
              </w:rPr>
            </w:pPr>
            <w:hyperlink w:anchor="page141">
              <w:r>
                <w:rPr>
                  <w:rFonts w:ascii="Arial" w:cs="Arial" w:eastAsia="Arial" w:hAnsi="Arial"/>
                  <w:sz w:val="11"/>
                  <w:szCs w:val="11"/>
                  <w:color w:val="0000EE"/>
                </w:rPr>
                <w:t>Counterparts</w:t>
              </w:r>
            </w:hyperlink>
          </w:p>
        </w:tc>
        <w:tc>
          <w:tcPr>
            <w:tcW w:w="3620" w:type="dxa"/>
            <w:vAlign w:val="bottom"/>
            <w:gridSpan w:val="16"/>
          </w:tcPr>
          <w:p>
            <w:pPr>
              <w:spacing w:after="0"/>
              <w:rPr>
                <w:sz w:val="10"/>
                <w:szCs w:val="10"/>
                <w:color w:val="auto"/>
              </w:rPr>
            </w:pPr>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73</w:t>
            </w:r>
          </w:p>
        </w:tc>
        <w:tc>
          <w:tcPr>
            <w:tcW w:w="2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spacing w:after="0" w:line="115" w:lineRule="exact"/>
              <w:rPr>
                <w:rFonts w:ascii="Arial" w:cs="Arial" w:eastAsia="Arial" w:hAnsi="Arial"/>
                <w:sz w:val="11"/>
                <w:szCs w:val="11"/>
                <w:color w:val="0000EE"/>
                <w:w w:val="94"/>
              </w:rPr>
            </w:pPr>
            <w:hyperlink w:anchor="page142">
              <w:r>
                <w:rPr>
                  <w:rFonts w:ascii="Arial" w:cs="Arial" w:eastAsia="Arial" w:hAnsi="Arial"/>
                  <w:sz w:val="11"/>
                  <w:szCs w:val="11"/>
                  <w:color w:val="0000EE"/>
                  <w:w w:val="94"/>
                </w:rPr>
                <w:t>18.</w:t>
              </w:r>
              <w:r>
                <w:rPr>
                  <w:rFonts w:ascii="Arial" w:cs="Arial" w:eastAsia="Arial" w:hAnsi="Arial"/>
                  <w:sz w:val="11"/>
                  <w:szCs w:val="11"/>
                  <w:u w:val="single" w:color="auto"/>
                  <w:color w:val="0000EE"/>
                  <w:w w:val="94"/>
                </w:rPr>
                <w:t>16</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20" w:type="dxa"/>
            <w:vAlign w:val="bottom"/>
            <w:gridSpan w:val="25"/>
          </w:tcPr>
          <w:p>
            <w:pPr>
              <w:spacing w:after="0" w:line="115" w:lineRule="exact"/>
              <w:rPr>
                <w:rFonts w:ascii="Arial" w:cs="Arial" w:eastAsia="Arial" w:hAnsi="Arial"/>
                <w:sz w:val="11"/>
                <w:szCs w:val="11"/>
                <w:color w:val="0000EE"/>
              </w:rPr>
            </w:pPr>
            <w:hyperlink w:anchor="page142">
              <w:r>
                <w:rPr>
                  <w:rFonts w:ascii="Arial" w:cs="Arial" w:eastAsia="Arial" w:hAnsi="Arial"/>
                  <w:sz w:val="11"/>
                  <w:szCs w:val="11"/>
                  <w:color w:val="0000EE"/>
                </w:rPr>
                <w:t>Sovereign immunity</w:t>
              </w:r>
            </w:hyperlink>
          </w:p>
        </w:tc>
        <w:tc>
          <w:tcPr>
            <w:tcW w:w="348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74</w:t>
            </w:r>
          </w:p>
        </w:tc>
        <w:tc>
          <w:tcPr>
            <w:tcW w:w="20" w:type="dxa"/>
            <w:vAlign w:val="bottom"/>
          </w:tcPr>
          <w:p>
            <w:pPr>
              <w:spacing w:after="0"/>
              <w:rPr>
                <w:sz w:val="10"/>
                <w:szCs w:val="10"/>
                <w:color w:val="auto"/>
              </w:rPr>
            </w:pPr>
          </w:p>
        </w:tc>
      </w:tr>
      <w:tr>
        <w:trPr>
          <w:trHeight w:val="20"/>
        </w:trPr>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r>
      <w:tr>
        <w:trPr>
          <w:trHeight w:val="753"/>
        </w:trPr>
        <w:tc>
          <w:tcPr>
            <w:tcW w:w="680" w:type="dxa"/>
            <w:vAlign w:val="bottom"/>
            <w:tcBorders>
              <w:bottom w:val="single" w:sz="8" w:color="8BD8FF"/>
            </w:tcBorders>
            <w:gridSpan w:val="2"/>
          </w:tcPr>
          <w:p>
            <w:pPr>
              <w:spacing w:after="0"/>
              <w:rPr>
                <w:sz w:val="20"/>
                <w:szCs w:val="20"/>
                <w:color w:val="auto"/>
              </w:rPr>
            </w:pPr>
            <w:r>
              <w:rPr>
                <w:rFonts w:ascii="Arial" w:cs="Arial" w:eastAsia="Arial" w:hAnsi="Arial"/>
                <w:sz w:val="8"/>
                <w:szCs w:val="8"/>
                <w:color w:val="8BD8FF"/>
                <w:w w:val="98"/>
              </w:rPr>
              <w:t>3468-7174-2245v7</w:t>
            </w:r>
          </w:p>
        </w:tc>
        <w:tc>
          <w:tcPr>
            <w:tcW w:w="780" w:type="dxa"/>
            <w:vAlign w:val="bottom"/>
            <w:gridSpan w:val="6"/>
          </w:tcPr>
          <w:p>
            <w:pPr>
              <w:spacing w:after="0"/>
              <w:rPr>
                <w:sz w:val="20"/>
                <w:szCs w:val="20"/>
                <w:color w:val="auto"/>
              </w:rPr>
            </w:pPr>
            <w:r>
              <w:rPr>
                <w:rFonts w:ascii="Arial" w:cs="Arial" w:eastAsia="Arial" w:hAnsi="Arial"/>
                <w:sz w:val="8"/>
                <w:szCs w:val="8"/>
                <w:color w:val="FF0000"/>
                <w:strike w:val="1"/>
              </w:rPr>
              <w:t>3468-7174-2245v2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500" w:type="dxa"/>
            <w:vAlign w:val="bottom"/>
            <w:gridSpan w:val="2"/>
          </w:tcPr>
          <w:p>
            <w:pPr>
              <w:ind w:left="3240"/>
              <w:spacing w:after="0"/>
              <w:rPr>
                <w:sz w:val="20"/>
                <w:szCs w:val="20"/>
                <w:color w:val="auto"/>
              </w:rPr>
            </w:pPr>
            <w:r>
              <w:rPr>
                <w:rFonts w:ascii="Arial" w:cs="Arial" w:eastAsia="Arial" w:hAnsi="Arial"/>
                <w:sz w:val="8"/>
                <w:szCs w:val="8"/>
                <w:color w:val="auto"/>
                <w:w w:val="94"/>
              </w:rPr>
              <w:t>page iii</w:t>
            </w:r>
          </w:p>
        </w:tc>
      </w:tr>
      <w:tr>
        <w:trPr>
          <w:trHeight w:val="94"/>
        </w:trPr>
        <w:tc>
          <w:tcPr>
            <w:tcW w:w="820" w:type="dxa"/>
            <w:vAlign w:val="bottom"/>
            <w:gridSpan w:val="3"/>
          </w:tcPr>
          <w:p>
            <w:pPr>
              <w:spacing w:after="0"/>
              <w:rPr>
                <w:sz w:val="20"/>
                <w:szCs w:val="20"/>
                <w:color w:val="auto"/>
              </w:rPr>
            </w:pPr>
            <w:r>
              <w:rPr>
                <w:rFonts w:ascii="Arial" w:cs="Arial" w:eastAsia="Arial" w:hAnsi="Arial"/>
                <w:sz w:val="8"/>
                <w:szCs w:val="8"/>
                <w:color w:val="auto"/>
              </w:rPr>
              <w:t>Facility Agreement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8"/>
        </w:trPr>
        <w:tc>
          <w:tcPr>
            <w:tcW w:w="12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2660" w:type="dxa"/>
            <w:vAlign w:val="bottom"/>
            <w:tcBorders>
              <w:bottom w:val="single" w:sz="8" w:color="EEEEEE"/>
            </w:tcBorders>
          </w:tcPr>
          <w:p>
            <w:pPr>
              <w:spacing w:after="0"/>
              <w:rPr>
                <w:sz w:val="18"/>
                <w:szCs w:val="18"/>
                <w:color w:val="auto"/>
              </w:rPr>
            </w:pPr>
          </w:p>
        </w:tc>
        <w:tc>
          <w:tcPr>
            <w:tcW w:w="348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67" w:name="page68"/>
    <w:bookmarkEnd w:id="67"/>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ind w:left="260"/>
              <w:spacing w:after="0"/>
              <w:rPr>
                <w:rFonts w:ascii="Arial" w:cs="Arial" w:eastAsia="Arial" w:hAnsi="Arial"/>
                <w:sz w:val="11"/>
                <w:szCs w:val="11"/>
                <w:color w:val="0000EE"/>
                <w:w w:val="87"/>
              </w:rPr>
            </w:pPr>
            <w:hyperlink w:anchor="page142">
              <w:r>
                <w:rPr>
                  <w:rFonts w:ascii="Arial" w:cs="Arial" w:eastAsia="Arial" w:hAnsi="Arial"/>
                  <w:sz w:val="11"/>
                  <w:szCs w:val="11"/>
                  <w:color w:val="0000EE"/>
                  <w:w w:val="87"/>
                </w:rPr>
                <w:t>18.</w:t>
              </w:r>
              <w:r>
                <w:rPr>
                  <w:rFonts w:ascii="Arial" w:cs="Arial" w:eastAsia="Arial" w:hAnsi="Arial"/>
                  <w:sz w:val="11"/>
                  <w:szCs w:val="11"/>
                  <w:u w:val="single" w:color="auto"/>
                  <w:color w:val="0000EE"/>
                  <w:w w:val="87"/>
                </w:rPr>
                <w:t>17</w:t>
              </w:r>
            </w:hyperlink>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300" w:type="dxa"/>
            <w:vAlign w:val="bottom"/>
            <w:gridSpan w:val="15"/>
          </w:tcPr>
          <w:p>
            <w:pPr>
              <w:spacing w:after="0"/>
              <w:rPr>
                <w:rFonts w:ascii="Arial" w:cs="Arial" w:eastAsia="Arial" w:hAnsi="Arial"/>
                <w:sz w:val="11"/>
                <w:szCs w:val="11"/>
                <w:color w:val="0000EE"/>
              </w:rPr>
            </w:pPr>
            <w:hyperlink w:anchor="page142">
              <w:r>
                <w:rPr>
                  <w:rFonts w:ascii="Arial" w:cs="Arial" w:eastAsia="Arial" w:hAnsi="Arial"/>
                  <w:sz w:val="11"/>
                  <w:szCs w:val="11"/>
                  <w:color w:val="0000EE"/>
                </w:rPr>
                <w:t>Governing law and jurisdiction</w:t>
              </w:r>
            </w:hyperlink>
          </w:p>
        </w:tc>
        <w:tc>
          <w:tcPr>
            <w:tcW w:w="3500" w:type="dxa"/>
            <w:vAlign w:val="bottom"/>
          </w:tcPr>
          <w:p>
            <w:pPr>
              <w:jc w:val="right"/>
              <w:ind w:right="648"/>
              <w:spacing w:after="0"/>
              <w:rPr>
                <w:sz w:val="20"/>
                <w:szCs w:val="20"/>
                <w:color w:val="auto"/>
              </w:rPr>
            </w:pPr>
            <w:r>
              <w:rPr>
                <w:rFonts w:ascii="Arial" w:cs="Arial" w:eastAsia="Arial" w:hAnsi="Arial"/>
                <w:sz w:val="11"/>
                <w:szCs w:val="11"/>
                <w:color w:val="auto"/>
              </w:rPr>
              <w:t>74</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ind w:left="260"/>
              <w:spacing w:after="0" w:line="115" w:lineRule="exact"/>
              <w:rPr>
                <w:rFonts w:ascii="Arial" w:cs="Arial" w:eastAsia="Arial" w:hAnsi="Arial"/>
                <w:sz w:val="11"/>
                <w:szCs w:val="11"/>
                <w:color w:val="0000EE"/>
                <w:w w:val="87"/>
              </w:rPr>
            </w:pPr>
            <w:hyperlink w:anchor="page142">
              <w:r>
                <w:rPr>
                  <w:rFonts w:ascii="Arial" w:cs="Arial" w:eastAsia="Arial" w:hAnsi="Arial"/>
                  <w:sz w:val="11"/>
                  <w:szCs w:val="11"/>
                  <w:color w:val="0000EE"/>
                  <w:w w:val="87"/>
                </w:rPr>
                <w:t>18.</w:t>
              </w:r>
              <w:r>
                <w:rPr>
                  <w:rFonts w:ascii="Arial" w:cs="Arial" w:eastAsia="Arial" w:hAnsi="Arial"/>
                  <w:sz w:val="11"/>
                  <w:szCs w:val="11"/>
                  <w:u w:val="single" w:color="auto"/>
                  <w:color w:val="0000EE"/>
                  <w:w w:val="87"/>
                </w:rPr>
                <w:t>18</w:t>
              </w:r>
            </w:hyperlink>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300" w:type="dxa"/>
            <w:vAlign w:val="bottom"/>
            <w:gridSpan w:val="15"/>
          </w:tcPr>
          <w:p>
            <w:pPr>
              <w:spacing w:after="0" w:line="115" w:lineRule="exact"/>
              <w:rPr>
                <w:rFonts w:ascii="Arial" w:cs="Arial" w:eastAsia="Arial" w:hAnsi="Arial"/>
                <w:sz w:val="11"/>
                <w:szCs w:val="11"/>
                <w:color w:val="0000EE"/>
              </w:rPr>
            </w:pPr>
            <w:hyperlink w:anchor="page142">
              <w:r>
                <w:rPr>
                  <w:rFonts w:ascii="Arial" w:cs="Arial" w:eastAsia="Arial" w:hAnsi="Arial"/>
                  <w:sz w:val="11"/>
                  <w:szCs w:val="11"/>
                  <w:color w:val="0000EE"/>
                </w:rPr>
                <w:t>Telephone recording</w:t>
              </w:r>
            </w:hyperlink>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74</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ind w:left="260"/>
              <w:spacing w:after="0" w:line="115" w:lineRule="exact"/>
              <w:rPr>
                <w:rFonts w:ascii="Arial" w:cs="Arial" w:eastAsia="Arial" w:hAnsi="Arial"/>
                <w:sz w:val="11"/>
                <w:szCs w:val="11"/>
                <w:color w:val="0000EE"/>
                <w:w w:val="87"/>
              </w:rPr>
            </w:pPr>
            <w:hyperlink w:anchor="page142">
              <w:r>
                <w:rPr>
                  <w:rFonts w:ascii="Arial" w:cs="Arial" w:eastAsia="Arial" w:hAnsi="Arial"/>
                  <w:sz w:val="11"/>
                  <w:szCs w:val="11"/>
                  <w:color w:val="0000EE"/>
                  <w:w w:val="87"/>
                </w:rPr>
                <w:t>18.</w:t>
              </w:r>
              <w:r>
                <w:rPr>
                  <w:rFonts w:ascii="Arial" w:cs="Arial" w:eastAsia="Arial" w:hAnsi="Arial"/>
                  <w:sz w:val="11"/>
                  <w:szCs w:val="11"/>
                  <w:u w:val="single" w:color="auto"/>
                  <w:color w:val="0000EE"/>
                  <w:w w:val="87"/>
                </w:rPr>
                <w:t>19</w:t>
              </w:r>
            </w:hyperlink>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300" w:type="dxa"/>
            <w:vAlign w:val="bottom"/>
            <w:gridSpan w:val="15"/>
          </w:tcPr>
          <w:p>
            <w:pPr>
              <w:spacing w:after="0" w:line="115" w:lineRule="exact"/>
              <w:rPr>
                <w:rFonts w:ascii="Arial" w:cs="Arial" w:eastAsia="Arial" w:hAnsi="Arial"/>
                <w:sz w:val="11"/>
                <w:szCs w:val="11"/>
                <w:color w:val="0000EE"/>
              </w:rPr>
            </w:pPr>
            <w:hyperlink w:anchor="page142">
              <w:r>
                <w:rPr>
                  <w:rFonts w:ascii="Arial" w:cs="Arial" w:eastAsia="Arial" w:hAnsi="Arial"/>
                  <w:sz w:val="11"/>
                  <w:szCs w:val="11"/>
                  <w:color w:val="0000EE"/>
                </w:rPr>
                <w:t>Legal advice</w:t>
              </w:r>
            </w:hyperlink>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74</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ind w:left="260"/>
              <w:spacing w:after="0" w:line="115" w:lineRule="exact"/>
              <w:rPr>
                <w:rFonts w:ascii="Arial" w:cs="Arial" w:eastAsia="Arial" w:hAnsi="Arial"/>
                <w:sz w:val="11"/>
                <w:szCs w:val="11"/>
                <w:color w:val="0000EE"/>
                <w:w w:val="87"/>
              </w:rPr>
            </w:pPr>
            <w:hyperlink w:anchor="page142">
              <w:r>
                <w:rPr>
                  <w:rFonts w:ascii="Arial" w:cs="Arial" w:eastAsia="Arial" w:hAnsi="Arial"/>
                  <w:sz w:val="11"/>
                  <w:szCs w:val="11"/>
                  <w:color w:val="0000EE"/>
                  <w:w w:val="87"/>
                </w:rPr>
                <w:t>18.</w:t>
              </w:r>
              <w:r>
                <w:rPr>
                  <w:rFonts w:ascii="Arial" w:cs="Arial" w:eastAsia="Arial" w:hAnsi="Arial"/>
                  <w:sz w:val="11"/>
                  <w:szCs w:val="11"/>
                  <w:u w:val="single" w:color="auto"/>
                  <w:color w:val="0000EE"/>
                  <w:w w:val="87"/>
                </w:rPr>
                <w:t>20</w:t>
              </w:r>
            </w:hyperlink>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300" w:type="dxa"/>
            <w:vAlign w:val="bottom"/>
            <w:gridSpan w:val="15"/>
          </w:tcPr>
          <w:p>
            <w:pPr>
              <w:spacing w:after="0" w:line="115" w:lineRule="exact"/>
              <w:rPr>
                <w:rFonts w:ascii="Arial" w:cs="Arial" w:eastAsia="Arial" w:hAnsi="Arial"/>
                <w:sz w:val="11"/>
                <w:szCs w:val="11"/>
                <w:color w:val="0000EE"/>
              </w:rPr>
            </w:pPr>
            <w:hyperlink w:anchor="page142">
              <w:r>
                <w:rPr>
                  <w:rFonts w:ascii="Arial" w:cs="Arial" w:eastAsia="Arial" w:hAnsi="Arial"/>
                  <w:sz w:val="11"/>
                  <w:szCs w:val="11"/>
                  <w:color w:val="0000EE"/>
                </w:rPr>
                <w:t>Further assurances</w:t>
              </w:r>
            </w:hyperlink>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74</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ind w:left="260"/>
              <w:spacing w:after="0" w:line="115" w:lineRule="exact"/>
              <w:rPr>
                <w:rFonts w:ascii="Arial" w:cs="Arial" w:eastAsia="Arial" w:hAnsi="Arial"/>
                <w:sz w:val="11"/>
                <w:szCs w:val="11"/>
                <w:color w:val="0000EE"/>
                <w:w w:val="87"/>
              </w:rPr>
            </w:pPr>
            <w:hyperlink w:anchor="page143">
              <w:r>
                <w:rPr>
                  <w:rFonts w:ascii="Arial" w:cs="Arial" w:eastAsia="Arial" w:hAnsi="Arial"/>
                  <w:sz w:val="11"/>
                  <w:szCs w:val="11"/>
                  <w:color w:val="0000EE"/>
                  <w:w w:val="87"/>
                </w:rPr>
                <w:t>18.</w:t>
              </w:r>
              <w:r>
                <w:rPr>
                  <w:rFonts w:ascii="Arial" w:cs="Arial" w:eastAsia="Arial" w:hAnsi="Arial"/>
                  <w:sz w:val="11"/>
                  <w:szCs w:val="11"/>
                  <w:u w:val="single" w:color="auto"/>
                  <w:color w:val="0000EE"/>
                  <w:w w:val="87"/>
                </w:rPr>
                <w:t>21</w:t>
              </w:r>
            </w:hyperlink>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300" w:type="dxa"/>
            <w:vAlign w:val="bottom"/>
            <w:gridSpan w:val="15"/>
          </w:tcPr>
          <w:p>
            <w:pPr>
              <w:spacing w:after="0" w:line="115" w:lineRule="exact"/>
              <w:rPr>
                <w:rFonts w:ascii="Arial" w:cs="Arial" w:eastAsia="Arial" w:hAnsi="Arial"/>
                <w:sz w:val="11"/>
                <w:szCs w:val="11"/>
                <w:color w:val="0000EE"/>
              </w:rPr>
            </w:pPr>
            <w:hyperlink w:anchor="page143">
              <w:r>
                <w:rPr>
                  <w:rFonts w:ascii="Arial" w:cs="Arial" w:eastAsia="Arial" w:hAnsi="Arial"/>
                  <w:sz w:val="11"/>
                  <w:szCs w:val="11"/>
                  <w:color w:val="0000EE"/>
                </w:rPr>
                <w:t>Exclusion of certain provisions</w:t>
              </w:r>
            </w:hyperlink>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75</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ind w:left="260"/>
              <w:spacing w:after="0" w:line="115" w:lineRule="exact"/>
              <w:rPr>
                <w:rFonts w:ascii="Arial" w:cs="Arial" w:eastAsia="Arial" w:hAnsi="Arial"/>
                <w:sz w:val="11"/>
                <w:szCs w:val="11"/>
                <w:color w:val="0000EE"/>
                <w:w w:val="87"/>
              </w:rPr>
            </w:pPr>
            <w:hyperlink w:anchor="page143">
              <w:r>
                <w:rPr>
                  <w:rFonts w:ascii="Arial" w:cs="Arial" w:eastAsia="Arial" w:hAnsi="Arial"/>
                  <w:sz w:val="11"/>
                  <w:szCs w:val="11"/>
                  <w:color w:val="0000EE"/>
                  <w:w w:val="87"/>
                </w:rPr>
                <w:t>18.</w:t>
              </w:r>
              <w:r>
                <w:rPr>
                  <w:rFonts w:ascii="Arial" w:cs="Arial" w:eastAsia="Arial" w:hAnsi="Arial"/>
                  <w:sz w:val="11"/>
                  <w:szCs w:val="11"/>
                  <w:u w:val="single" w:color="auto"/>
                  <w:color w:val="0000EE"/>
                  <w:w w:val="87"/>
                </w:rPr>
                <w:t>22</w:t>
              </w:r>
            </w:hyperlink>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300" w:type="dxa"/>
            <w:vAlign w:val="bottom"/>
            <w:gridSpan w:val="15"/>
          </w:tcPr>
          <w:p>
            <w:pPr>
              <w:spacing w:after="0" w:line="115" w:lineRule="exact"/>
              <w:rPr>
                <w:rFonts w:ascii="Arial" w:cs="Arial" w:eastAsia="Arial" w:hAnsi="Arial"/>
                <w:sz w:val="11"/>
                <w:szCs w:val="11"/>
                <w:color w:val="0000EE"/>
              </w:rPr>
            </w:pPr>
            <w:hyperlink w:anchor="page143">
              <w:r>
                <w:rPr>
                  <w:rFonts w:ascii="Arial" w:cs="Arial" w:eastAsia="Arial" w:hAnsi="Arial"/>
                  <w:sz w:val="11"/>
                  <w:szCs w:val="11"/>
                  <w:color w:val="0000EE"/>
                </w:rPr>
                <w:t>Notice of changes</w:t>
              </w:r>
            </w:hyperlink>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75</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480" w:type="dxa"/>
            <w:vAlign w:val="bottom"/>
            <w:gridSpan w:val="2"/>
          </w:tcPr>
          <w:p>
            <w:pPr>
              <w:spacing w:after="0" w:line="115" w:lineRule="exact"/>
              <w:rPr>
                <w:rFonts w:ascii="Arial" w:cs="Arial" w:eastAsia="Arial" w:hAnsi="Arial"/>
                <w:sz w:val="11"/>
                <w:szCs w:val="11"/>
                <w:color w:val="auto"/>
              </w:rPr>
            </w:pPr>
            <w:hyperlink w:anchor="page144">
              <w:r>
                <w:rPr>
                  <w:rFonts w:ascii="Arial" w:cs="Arial" w:eastAsia="Arial" w:hAnsi="Arial"/>
                  <w:sz w:val="11"/>
                  <w:szCs w:val="11"/>
                  <w:color w:val="auto"/>
                </w:rPr>
                <w:t>​</w:t>
              </w:r>
              <w:r>
                <w:rPr>
                  <w:rFonts w:ascii="Arial" w:cs="Arial" w:eastAsia="Arial" w:hAnsi="Arial"/>
                  <w:sz w:val="11"/>
                  <w:szCs w:val="11"/>
                  <w:color w:val="0000EE"/>
                </w:rPr>
                <w:t>19</w:t>
              </w:r>
            </w:hyperlink>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5"/>
          </w:tcPr>
          <w:p>
            <w:pPr>
              <w:spacing w:after="0" w:line="115" w:lineRule="exact"/>
              <w:rPr>
                <w:rFonts w:ascii="Arial" w:cs="Arial" w:eastAsia="Arial" w:hAnsi="Arial"/>
                <w:sz w:val="11"/>
                <w:szCs w:val="11"/>
                <w:color w:val="0000EE"/>
              </w:rPr>
            </w:pPr>
            <w:hyperlink w:anchor="page144">
              <w:r>
                <w:rPr>
                  <w:rFonts w:ascii="Arial" w:cs="Arial" w:eastAsia="Arial" w:hAnsi="Arial"/>
                  <w:sz w:val="11"/>
                  <w:szCs w:val="11"/>
                  <w:color w:val="0000EE"/>
                </w:rPr>
                <w:t>Notices</w:t>
              </w:r>
            </w:hyperlink>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76</w:t>
            </w:r>
          </w:p>
        </w:tc>
        <w:tc>
          <w:tcPr>
            <w:tcW w:w="20" w:type="dxa"/>
            <w:vAlign w:val="bottom"/>
          </w:tcPr>
          <w:p>
            <w:pPr>
              <w:spacing w:after="0"/>
              <w:rPr>
                <w:sz w:val="10"/>
                <w:szCs w:val="10"/>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3"/>
          </w:tcPr>
          <w:p>
            <w:pPr>
              <w:ind w:left="260"/>
              <w:spacing w:after="0" w:line="83" w:lineRule="exact"/>
              <w:rPr>
                <w:rFonts w:ascii="Arial" w:cs="Arial" w:eastAsia="Arial" w:hAnsi="Arial"/>
                <w:sz w:val="9"/>
                <w:szCs w:val="9"/>
                <w:color w:val="0000EE"/>
              </w:rPr>
            </w:pPr>
            <w:hyperlink w:anchor="page144">
              <w:r>
                <w:rPr>
                  <w:rFonts w:ascii="Arial" w:cs="Arial" w:eastAsia="Arial" w:hAnsi="Arial"/>
                  <w:sz w:val="9"/>
                  <w:szCs w:val="9"/>
                  <w:color w:val="0000EE"/>
                </w:rPr>
                <w:t>19.</w:t>
              </w:r>
              <w:r>
                <w:rPr>
                  <w:rFonts w:ascii="Arial" w:cs="Arial" w:eastAsia="Arial" w:hAnsi="Arial"/>
                  <w:sz w:val="9"/>
                  <w:szCs w:val="9"/>
                  <w:u w:val="single" w:color="auto"/>
                  <w:color w:val="0000EE"/>
                </w:rPr>
                <w:t>1</w:t>
              </w:r>
            </w:hyperlink>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300" w:type="dxa"/>
            <w:vAlign w:val="bottom"/>
            <w:gridSpan w:val="15"/>
          </w:tcPr>
          <w:p>
            <w:pPr>
              <w:spacing w:after="0" w:line="83" w:lineRule="exact"/>
              <w:rPr>
                <w:rFonts w:ascii="Arial" w:cs="Arial" w:eastAsia="Arial" w:hAnsi="Arial"/>
                <w:sz w:val="9"/>
                <w:szCs w:val="9"/>
                <w:color w:val="0000EE"/>
              </w:rPr>
            </w:pPr>
            <w:hyperlink w:anchor="page144">
              <w:r>
                <w:rPr>
                  <w:rFonts w:ascii="Arial" w:cs="Arial" w:eastAsia="Arial" w:hAnsi="Arial"/>
                  <w:sz w:val="9"/>
                  <w:szCs w:val="9"/>
                  <w:color w:val="0000EE"/>
                </w:rPr>
                <w:t>General</w:t>
              </w:r>
            </w:hyperlink>
          </w:p>
        </w:tc>
        <w:tc>
          <w:tcPr>
            <w:tcW w:w="3500" w:type="dxa"/>
            <w:vAlign w:val="bottom"/>
          </w:tcPr>
          <w:p>
            <w:pPr>
              <w:jc w:val="right"/>
              <w:ind w:right="648"/>
              <w:spacing w:after="0" w:line="83" w:lineRule="exact"/>
              <w:rPr>
                <w:sz w:val="20"/>
                <w:szCs w:val="20"/>
                <w:color w:val="auto"/>
              </w:rPr>
            </w:pPr>
            <w:r>
              <w:rPr>
                <w:rFonts w:ascii="Arial" w:cs="Arial" w:eastAsia="Arial" w:hAnsi="Arial"/>
                <w:sz w:val="9"/>
                <w:szCs w:val="9"/>
                <w:color w:val="auto"/>
              </w:rPr>
              <w:t>76</w:t>
            </w:r>
          </w:p>
        </w:tc>
        <w:tc>
          <w:tcPr>
            <w:tcW w:w="20" w:type="dxa"/>
            <w:vAlign w:val="bottom"/>
          </w:tcPr>
          <w:p>
            <w:pPr>
              <w:spacing w:after="0"/>
              <w:rPr>
                <w:sz w:val="7"/>
                <w:szCs w:val="7"/>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ind w:left="260"/>
              <w:spacing w:after="0" w:line="115" w:lineRule="exact"/>
              <w:rPr>
                <w:rFonts w:ascii="Arial" w:cs="Arial" w:eastAsia="Arial" w:hAnsi="Arial"/>
                <w:sz w:val="11"/>
                <w:szCs w:val="11"/>
                <w:color w:val="0000EE"/>
                <w:w w:val="93"/>
              </w:rPr>
            </w:pPr>
            <w:hyperlink w:anchor="page144">
              <w:r>
                <w:rPr>
                  <w:rFonts w:ascii="Arial" w:cs="Arial" w:eastAsia="Arial" w:hAnsi="Arial"/>
                  <w:sz w:val="11"/>
                  <w:szCs w:val="11"/>
                  <w:color w:val="0000EE"/>
                  <w:w w:val="93"/>
                </w:rPr>
                <w:t>19.</w:t>
              </w:r>
              <w:r>
                <w:rPr>
                  <w:rFonts w:ascii="Arial" w:cs="Arial" w:eastAsia="Arial" w:hAnsi="Arial"/>
                  <w:sz w:val="11"/>
                  <w:szCs w:val="11"/>
                  <w:u w:val="single" w:color="auto"/>
                  <w:color w:val="0000EE"/>
                  <w:w w:val="93"/>
                </w:rPr>
                <w:t>2</w:t>
              </w:r>
            </w:hyperlink>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300" w:type="dxa"/>
            <w:vAlign w:val="bottom"/>
            <w:gridSpan w:val="15"/>
          </w:tcPr>
          <w:p>
            <w:pPr>
              <w:spacing w:after="0" w:line="115" w:lineRule="exact"/>
              <w:rPr>
                <w:rFonts w:ascii="Arial" w:cs="Arial" w:eastAsia="Arial" w:hAnsi="Arial"/>
                <w:sz w:val="11"/>
                <w:szCs w:val="11"/>
                <w:color w:val="0000EE"/>
              </w:rPr>
            </w:pPr>
            <w:hyperlink w:anchor="page144">
              <w:r>
                <w:rPr>
                  <w:rFonts w:ascii="Arial" w:cs="Arial" w:eastAsia="Arial" w:hAnsi="Arial"/>
                  <w:sz w:val="11"/>
                  <w:szCs w:val="11"/>
                  <w:color w:val="0000EE"/>
                </w:rPr>
                <w:t>How to give a communication</w:t>
              </w:r>
            </w:hyperlink>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76</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ind w:left="260"/>
              <w:spacing w:after="0" w:line="115" w:lineRule="exact"/>
              <w:rPr>
                <w:rFonts w:ascii="Arial" w:cs="Arial" w:eastAsia="Arial" w:hAnsi="Arial"/>
                <w:sz w:val="11"/>
                <w:szCs w:val="11"/>
                <w:color w:val="0000EE"/>
                <w:w w:val="93"/>
              </w:rPr>
            </w:pPr>
            <w:hyperlink w:anchor="page144">
              <w:r>
                <w:rPr>
                  <w:rFonts w:ascii="Arial" w:cs="Arial" w:eastAsia="Arial" w:hAnsi="Arial"/>
                  <w:sz w:val="11"/>
                  <w:szCs w:val="11"/>
                  <w:color w:val="0000EE"/>
                  <w:w w:val="93"/>
                </w:rPr>
                <w:t>19.</w:t>
              </w:r>
              <w:r>
                <w:rPr>
                  <w:rFonts w:ascii="Arial" w:cs="Arial" w:eastAsia="Arial" w:hAnsi="Arial"/>
                  <w:sz w:val="11"/>
                  <w:szCs w:val="11"/>
                  <w:u w:val="single" w:color="auto"/>
                  <w:color w:val="0000EE"/>
                  <w:w w:val="93"/>
                </w:rPr>
                <w:t>3</w:t>
              </w:r>
            </w:hyperlink>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300" w:type="dxa"/>
            <w:vAlign w:val="bottom"/>
            <w:gridSpan w:val="15"/>
          </w:tcPr>
          <w:p>
            <w:pPr>
              <w:spacing w:after="0" w:line="115" w:lineRule="exact"/>
              <w:rPr>
                <w:rFonts w:ascii="Arial" w:cs="Arial" w:eastAsia="Arial" w:hAnsi="Arial"/>
                <w:sz w:val="11"/>
                <w:szCs w:val="11"/>
                <w:color w:val="0000EE"/>
              </w:rPr>
            </w:pPr>
            <w:hyperlink w:anchor="page144">
              <w:r>
                <w:rPr>
                  <w:rFonts w:ascii="Arial" w:cs="Arial" w:eastAsia="Arial" w:hAnsi="Arial"/>
                  <w:sz w:val="11"/>
                  <w:szCs w:val="11"/>
                  <w:color w:val="0000EE"/>
                </w:rPr>
                <w:t>Particulars for delivery of notices</w:t>
              </w:r>
            </w:hyperlink>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76</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ind w:left="260"/>
              <w:spacing w:after="0" w:line="115" w:lineRule="exact"/>
              <w:rPr>
                <w:rFonts w:ascii="Arial" w:cs="Arial" w:eastAsia="Arial" w:hAnsi="Arial"/>
                <w:sz w:val="11"/>
                <w:szCs w:val="11"/>
                <w:color w:val="0000EE"/>
                <w:w w:val="93"/>
              </w:rPr>
            </w:pPr>
            <w:hyperlink w:anchor="page144">
              <w:r>
                <w:rPr>
                  <w:rFonts w:ascii="Arial" w:cs="Arial" w:eastAsia="Arial" w:hAnsi="Arial"/>
                  <w:sz w:val="11"/>
                  <w:szCs w:val="11"/>
                  <w:color w:val="0000EE"/>
                  <w:w w:val="93"/>
                </w:rPr>
                <w:t>19.</w:t>
              </w:r>
              <w:r>
                <w:rPr>
                  <w:rFonts w:ascii="Arial" w:cs="Arial" w:eastAsia="Arial" w:hAnsi="Arial"/>
                  <w:sz w:val="11"/>
                  <w:szCs w:val="11"/>
                  <w:u w:val="single" w:color="auto"/>
                  <w:color w:val="0000EE"/>
                  <w:w w:val="93"/>
                </w:rPr>
                <w:t>4</w:t>
              </w:r>
            </w:hyperlink>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300" w:type="dxa"/>
            <w:vAlign w:val="bottom"/>
            <w:gridSpan w:val="15"/>
          </w:tcPr>
          <w:p>
            <w:pPr>
              <w:spacing w:after="0" w:line="115" w:lineRule="exact"/>
              <w:rPr>
                <w:rFonts w:ascii="Arial" w:cs="Arial" w:eastAsia="Arial" w:hAnsi="Arial"/>
                <w:sz w:val="11"/>
                <w:szCs w:val="11"/>
                <w:color w:val="0000EE"/>
              </w:rPr>
            </w:pPr>
            <w:hyperlink w:anchor="page144">
              <w:r>
                <w:rPr>
                  <w:rFonts w:ascii="Arial" w:cs="Arial" w:eastAsia="Arial" w:hAnsi="Arial"/>
                  <w:sz w:val="11"/>
                  <w:szCs w:val="11"/>
                  <w:color w:val="0000EE"/>
                </w:rPr>
                <w:t>Communications by post</w:t>
              </w:r>
            </w:hyperlink>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76</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ind w:left="260"/>
              <w:spacing w:after="0" w:line="115" w:lineRule="exact"/>
              <w:rPr>
                <w:rFonts w:ascii="Arial" w:cs="Arial" w:eastAsia="Arial" w:hAnsi="Arial"/>
                <w:sz w:val="11"/>
                <w:szCs w:val="11"/>
                <w:color w:val="0000EE"/>
                <w:w w:val="93"/>
              </w:rPr>
            </w:pPr>
            <w:hyperlink w:anchor="page144">
              <w:r>
                <w:rPr>
                  <w:rFonts w:ascii="Arial" w:cs="Arial" w:eastAsia="Arial" w:hAnsi="Arial"/>
                  <w:sz w:val="11"/>
                  <w:szCs w:val="11"/>
                  <w:color w:val="0000EE"/>
                  <w:w w:val="93"/>
                </w:rPr>
                <w:t>19.</w:t>
              </w:r>
              <w:r>
                <w:rPr>
                  <w:rFonts w:ascii="Arial" w:cs="Arial" w:eastAsia="Arial" w:hAnsi="Arial"/>
                  <w:sz w:val="11"/>
                  <w:szCs w:val="11"/>
                  <w:u w:val="single" w:color="auto"/>
                  <w:color w:val="0000EE"/>
                  <w:w w:val="93"/>
                </w:rPr>
                <w:t>5</w:t>
              </w:r>
            </w:hyperlink>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300" w:type="dxa"/>
            <w:vAlign w:val="bottom"/>
            <w:gridSpan w:val="15"/>
          </w:tcPr>
          <w:p>
            <w:pPr>
              <w:spacing w:after="0" w:line="115" w:lineRule="exact"/>
              <w:rPr>
                <w:rFonts w:ascii="Arial" w:cs="Arial" w:eastAsia="Arial" w:hAnsi="Arial"/>
                <w:sz w:val="11"/>
                <w:szCs w:val="11"/>
                <w:color w:val="0000EE"/>
              </w:rPr>
            </w:pPr>
            <w:hyperlink w:anchor="page144">
              <w:r>
                <w:rPr>
                  <w:rFonts w:ascii="Arial" w:cs="Arial" w:eastAsia="Arial" w:hAnsi="Arial"/>
                  <w:sz w:val="11"/>
                  <w:szCs w:val="11"/>
                  <w:color w:val="0000EE"/>
                </w:rPr>
                <w:t>Communications by fax</w:t>
              </w:r>
            </w:hyperlink>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76</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ind w:left="260"/>
              <w:spacing w:after="0" w:line="115" w:lineRule="exact"/>
              <w:rPr>
                <w:rFonts w:ascii="Arial" w:cs="Arial" w:eastAsia="Arial" w:hAnsi="Arial"/>
                <w:sz w:val="11"/>
                <w:szCs w:val="11"/>
                <w:color w:val="0000EE"/>
                <w:w w:val="93"/>
              </w:rPr>
            </w:pPr>
            <w:hyperlink w:anchor="page144">
              <w:r>
                <w:rPr>
                  <w:rFonts w:ascii="Arial" w:cs="Arial" w:eastAsia="Arial" w:hAnsi="Arial"/>
                  <w:sz w:val="11"/>
                  <w:szCs w:val="11"/>
                  <w:color w:val="0000EE"/>
                  <w:w w:val="93"/>
                </w:rPr>
                <w:t>19.</w:t>
              </w:r>
              <w:r>
                <w:rPr>
                  <w:rFonts w:ascii="Arial" w:cs="Arial" w:eastAsia="Arial" w:hAnsi="Arial"/>
                  <w:sz w:val="11"/>
                  <w:szCs w:val="11"/>
                  <w:u w:val="single" w:color="auto"/>
                  <w:color w:val="0000EE"/>
                  <w:w w:val="93"/>
                </w:rPr>
                <w:t>6</w:t>
              </w:r>
            </w:hyperlink>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300" w:type="dxa"/>
            <w:vAlign w:val="bottom"/>
            <w:gridSpan w:val="15"/>
          </w:tcPr>
          <w:p>
            <w:pPr>
              <w:spacing w:after="0" w:line="115" w:lineRule="exact"/>
              <w:rPr>
                <w:rFonts w:ascii="Arial" w:cs="Arial" w:eastAsia="Arial" w:hAnsi="Arial"/>
                <w:sz w:val="11"/>
                <w:szCs w:val="11"/>
                <w:color w:val="0000EE"/>
              </w:rPr>
            </w:pPr>
            <w:hyperlink w:anchor="page144">
              <w:r>
                <w:rPr>
                  <w:rFonts w:ascii="Arial" w:cs="Arial" w:eastAsia="Arial" w:hAnsi="Arial"/>
                  <w:sz w:val="11"/>
                  <w:szCs w:val="11"/>
                  <w:color w:val="0000EE"/>
                </w:rPr>
                <w:t>After hours communications</w:t>
              </w:r>
            </w:hyperlink>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76</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ind w:left="260"/>
              <w:spacing w:after="0" w:line="115" w:lineRule="exact"/>
              <w:rPr>
                <w:rFonts w:ascii="Arial" w:cs="Arial" w:eastAsia="Arial" w:hAnsi="Arial"/>
                <w:sz w:val="11"/>
                <w:szCs w:val="11"/>
                <w:color w:val="0000EE"/>
                <w:w w:val="93"/>
              </w:rPr>
            </w:pPr>
            <w:hyperlink w:anchor="page145">
              <w:r>
                <w:rPr>
                  <w:rFonts w:ascii="Arial" w:cs="Arial" w:eastAsia="Arial" w:hAnsi="Arial"/>
                  <w:sz w:val="11"/>
                  <w:szCs w:val="11"/>
                  <w:color w:val="0000EE"/>
                  <w:w w:val="93"/>
                </w:rPr>
                <w:t>19.</w:t>
              </w:r>
              <w:r>
                <w:rPr>
                  <w:rFonts w:ascii="Arial" w:cs="Arial" w:eastAsia="Arial" w:hAnsi="Arial"/>
                  <w:sz w:val="11"/>
                  <w:szCs w:val="11"/>
                  <w:u w:val="single" w:color="auto"/>
                  <w:color w:val="0000EE"/>
                  <w:w w:val="93"/>
                </w:rPr>
                <w:t>7</w:t>
              </w:r>
            </w:hyperlink>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300" w:type="dxa"/>
            <w:vAlign w:val="bottom"/>
            <w:gridSpan w:val="15"/>
          </w:tcPr>
          <w:p>
            <w:pPr>
              <w:spacing w:after="0" w:line="115" w:lineRule="exact"/>
              <w:rPr>
                <w:rFonts w:ascii="Arial" w:cs="Arial" w:eastAsia="Arial" w:hAnsi="Arial"/>
                <w:sz w:val="11"/>
                <w:szCs w:val="11"/>
                <w:color w:val="0000EE"/>
              </w:rPr>
            </w:pPr>
            <w:hyperlink w:anchor="page145">
              <w:r>
                <w:rPr>
                  <w:rFonts w:ascii="Arial" w:cs="Arial" w:eastAsia="Arial" w:hAnsi="Arial"/>
                  <w:sz w:val="11"/>
                  <w:szCs w:val="11"/>
                  <w:color w:val="0000EE"/>
                </w:rPr>
                <w:t>Process service</w:t>
              </w:r>
            </w:hyperlink>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77</w:t>
            </w:r>
          </w:p>
        </w:tc>
        <w:tc>
          <w:tcPr>
            <w:tcW w:w="20" w:type="dxa"/>
            <w:vAlign w:val="bottom"/>
          </w:tcPr>
          <w:p>
            <w:pPr>
              <w:spacing w:after="0"/>
              <w:rPr>
                <w:sz w:val="10"/>
                <w:szCs w:val="10"/>
                <w:color w:val="auto"/>
              </w:rPr>
            </w:pPr>
          </w:p>
        </w:tc>
      </w:tr>
      <w:tr>
        <w:trPr>
          <w:trHeight w:val="20"/>
        </w:trPr>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480" w:type="dxa"/>
            <w:vAlign w:val="bottom"/>
            <w:gridSpan w:val="2"/>
          </w:tcPr>
          <w:p>
            <w:pPr>
              <w:spacing w:after="0" w:line="115" w:lineRule="exact"/>
              <w:rPr>
                <w:rFonts w:ascii="Arial" w:cs="Arial" w:eastAsia="Arial" w:hAnsi="Arial"/>
                <w:sz w:val="11"/>
                <w:szCs w:val="11"/>
                <w:color w:val="0000EE"/>
              </w:rPr>
            </w:pPr>
            <w:hyperlink w:anchor="page146">
              <w:r>
                <w:rPr>
                  <w:rFonts w:ascii="Arial" w:cs="Arial" w:eastAsia="Arial" w:hAnsi="Arial"/>
                  <w:sz w:val="11"/>
                  <w:szCs w:val="11"/>
                  <w:color w:val="0000EE"/>
                </w:rPr>
                <w:t>Schedule</w:t>
              </w:r>
              <w:r>
                <w:rPr>
                  <w:rFonts w:ascii="Arial" w:cs="Arial" w:eastAsia="Arial" w:hAnsi="Arial"/>
                  <w:sz w:val="11"/>
                  <w:szCs w:val="11"/>
                  <w:color w:val="000000"/>
                </w:rPr>
                <w:t>​</w:t>
              </w:r>
            </w:hyperlink>
          </w:p>
        </w:tc>
        <w:tc>
          <w:tcPr>
            <w:tcW w:w="80" w:type="dxa"/>
            <w:vAlign w:val="bottom"/>
          </w:tcPr>
          <w:p>
            <w:pPr>
              <w:spacing w:after="0" w:line="115" w:lineRule="exact"/>
              <w:rPr>
                <w:rFonts w:ascii="Arial" w:cs="Arial" w:eastAsia="Arial" w:hAnsi="Arial"/>
                <w:sz w:val="11"/>
                <w:szCs w:val="11"/>
                <w:color w:val="0000EE"/>
                <w:w w:val="97"/>
              </w:rPr>
            </w:pPr>
            <w:hyperlink w:anchor="page146">
              <w:r>
                <w:rPr>
                  <w:rFonts w:ascii="Arial" w:cs="Arial" w:eastAsia="Arial" w:hAnsi="Arial"/>
                  <w:sz w:val="11"/>
                  <w:szCs w:val="11"/>
                  <w:color w:val="0000EE"/>
                  <w:w w:val="97"/>
                </w:rPr>
                <w:t>1</w:t>
              </w:r>
            </w:hyperlink>
          </w:p>
        </w:tc>
        <w:tc>
          <w:tcPr>
            <w:tcW w:w="5200" w:type="dxa"/>
            <w:vAlign w:val="bottom"/>
            <w:gridSpan w:val="22"/>
          </w:tcPr>
          <w:p>
            <w:pPr>
              <w:ind w:left="20"/>
              <w:spacing w:after="0" w:line="115" w:lineRule="exact"/>
              <w:rPr>
                <w:rFonts w:ascii="Arial" w:cs="Arial" w:eastAsia="Arial" w:hAnsi="Arial"/>
                <w:sz w:val="11"/>
                <w:szCs w:val="11"/>
                <w:color w:val="0000EE"/>
              </w:rPr>
            </w:pPr>
            <w:hyperlink w:anchor="page146">
              <w:r>
                <w:rPr>
                  <w:rFonts w:ascii="Arial" w:cs="Arial" w:eastAsia="Arial" w:hAnsi="Arial"/>
                  <w:sz w:val="11"/>
                  <w:szCs w:val="11"/>
                  <w:color w:val="0000EE"/>
                </w:rPr>
                <w:t>– Transaction Parties</w:t>
              </w:r>
            </w:hyperlink>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78</w:t>
            </w:r>
          </w:p>
        </w:tc>
        <w:tc>
          <w:tcPr>
            <w:tcW w:w="20" w:type="dxa"/>
            <w:vAlign w:val="bottom"/>
          </w:tcPr>
          <w:p>
            <w:pPr>
              <w:spacing w:after="0"/>
              <w:rPr>
                <w:sz w:val="10"/>
                <w:szCs w:val="10"/>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480" w:type="dxa"/>
            <w:vAlign w:val="bottom"/>
            <w:gridSpan w:val="2"/>
          </w:tcPr>
          <w:p>
            <w:pPr>
              <w:spacing w:after="0" w:line="83" w:lineRule="exact"/>
              <w:rPr>
                <w:rFonts w:ascii="Arial" w:cs="Arial" w:eastAsia="Arial" w:hAnsi="Arial"/>
                <w:sz w:val="9"/>
                <w:szCs w:val="9"/>
                <w:color w:val="0000EE"/>
              </w:rPr>
            </w:pPr>
            <w:hyperlink w:anchor="page149">
              <w:r>
                <w:rPr>
                  <w:rFonts w:ascii="Arial" w:cs="Arial" w:eastAsia="Arial" w:hAnsi="Arial"/>
                  <w:sz w:val="9"/>
                  <w:szCs w:val="9"/>
                  <w:color w:val="0000EE"/>
                </w:rPr>
                <w:t>Schedule</w:t>
              </w:r>
              <w:r>
                <w:rPr>
                  <w:rFonts w:ascii="Arial" w:cs="Arial" w:eastAsia="Arial" w:hAnsi="Arial"/>
                  <w:sz w:val="9"/>
                  <w:szCs w:val="9"/>
                  <w:color w:val="000000"/>
                </w:rPr>
                <w:t>​</w:t>
              </w:r>
            </w:hyperlink>
          </w:p>
        </w:tc>
        <w:tc>
          <w:tcPr>
            <w:tcW w:w="80" w:type="dxa"/>
            <w:vAlign w:val="bottom"/>
          </w:tcPr>
          <w:p>
            <w:pPr>
              <w:spacing w:after="0" w:line="83" w:lineRule="exact"/>
              <w:rPr>
                <w:rFonts w:ascii="Arial" w:cs="Arial" w:eastAsia="Arial" w:hAnsi="Arial"/>
                <w:sz w:val="9"/>
                <w:szCs w:val="9"/>
                <w:color w:val="0000EE"/>
              </w:rPr>
            </w:pPr>
            <w:hyperlink w:anchor="page149">
              <w:r>
                <w:rPr>
                  <w:rFonts w:ascii="Arial" w:cs="Arial" w:eastAsia="Arial" w:hAnsi="Arial"/>
                  <w:sz w:val="9"/>
                  <w:szCs w:val="9"/>
                  <w:color w:val="0000EE"/>
                </w:rPr>
                <w:t>2</w:t>
              </w:r>
            </w:hyperlink>
          </w:p>
        </w:tc>
        <w:tc>
          <w:tcPr>
            <w:tcW w:w="900" w:type="dxa"/>
            <w:vAlign w:val="bottom"/>
            <w:gridSpan w:val="7"/>
          </w:tcPr>
          <w:p>
            <w:pPr>
              <w:ind w:left="20"/>
              <w:spacing w:after="0" w:line="83" w:lineRule="exact"/>
              <w:rPr>
                <w:rFonts w:ascii="Arial" w:cs="Arial" w:eastAsia="Arial" w:hAnsi="Arial"/>
                <w:sz w:val="9"/>
                <w:szCs w:val="9"/>
                <w:color w:val="0000EE"/>
              </w:rPr>
            </w:pPr>
            <w:hyperlink w:anchor="page149">
              <w:r>
                <w:rPr>
                  <w:rFonts w:ascii="Arial" w:cs="Arial" w:eastAsia="Arial" w:hAnsi="Arial"/>
                  <w:sz w:val="9"/>
                  <w:szCs w:val="9"/>
                  <w:color w:val="0000EE"/>
                </w:rPr>
                <w:t>– Facilities</w:t>
              </w:r>
            </w:hyperlink>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500" w:type="dxa"/>
            <w:vAlign w:val="bottom"/>
          </w:tcPr>
          <w:p>
            <w:pPr>
              <w:jc w:val="right"/>
              <w:ind w:right="648"/>
              <w:spacing w:after="0" w:line="83" w:lineRule="exact"/>
              <w:rPr>
                <w:sz w:val="20"/>
                <w:szCs w:val="20"/>
                <w:color w:val="auto"/>
              </w:rPr>
            </w:pPr>
            <w:r>
              <w:rPr>
                <w:rFonts w:ascii="Arial" w:cs="Arial" w:eastAsia="Arial" w:hAnsi="Arial"/>
                <w:sz w:val="9"/>
                <w:szCs w:val="9"/>
                <w:color w:val="auto"/>
              </w:rPr>
              <w:t>81</w:t>
            </w:r>
          </w:p>
        </w:tc>
        <w:tc>
          <w:tcPr>
            <w:tcW w:w="20" w:type="dxa"/>
            <w:vAlign w:val="bottom"/>
          </w:tcPr>
          <w:p>
            <w:pPr>
              <w:spacing w:after="0"/>
              <w:rPr>
                <w:sz w:val="7"/>
                <w:szCs w:val="7"/>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480" w:type="dxa"/>
            <w:vAlign w:val="bottom"/>
            <w:gridSpan w:val="2"/>
          </w:tcPr>
          <w:p>
            <w:pPr>
              <w:spacing w:after="0" w:line="83" w:lineRule="exact"/>
              <w:rPr>
                <w:rFonts w:ascii="Arial" w:cs="Arial" w:eastAsia="Arial" w:hAnsi="Arial"/>
                <w:sz w:val="9"/>
                <w:szCs w:val="9"/>
                <w:color w:val="0000EE"/>
              </w:rPr>
            </w:pPr>
            <w:hyperlink w:anchor="page150">
              <w:r>
                <w:rPr>
                  <w:rFonts w:ascii="Arial" w:cs="Arial" w:eastAsia="Arial" w:hAnsi="Arial"/>
                  <w:sz w:val="9"/>
                  <w:szCs w:val="9"/>
                  <w:color w:val="0000EE"/>
                </w:rPr>
                <w:t>Schedule</w:t>
              </w:r>
              <w:r>
                <w:rPr>
                  <w:rFonts w:ascii="Arial" w:cs="Arial" w:eastAsia="Arial" w:hAnsi="Arial"/>
                  <w:sz w:val="9"/>
                  <w:szCs w:val="9"/>
                  <w:color w:val="000000"/>
                </w:rPr>
                <w:t>​</w:t>
              </w:r>
            </w:hyperlink>
          </w:p>
        </w:tc>
        <w:tc>
          <w:tcPr>
            <w:tcW w:w="80" w:type="dxa"/>
            <w:vAlign w:val="bottom"/>
          </w:tcPr>
          <w:p>
            <w:pPr>
              <w:spacing w:after="0" w:line="83" w:lineRule="exact"/>
              <w:rPr>
                <w:rFonts w:ascii="Arial" w:cs="Arial" w:eastAsia="Arial" w:hAnsi="Arial"/>
                <w:sz w:val="9"/>
                <w:szCs w:val="9"/>
                <w:color w:val="0000EE"/>
              </w:rPr>
            </w:pPr>
            <w:hyperlink w:anchor="page150">
              <w:r>
                <w:rPr>
                  <w:rFonts w:ascii="Arial" w:cs="Arial" w:eastAsia="Arial" w:hAnsi="Arial"/>
                  <w:sz w:val="9"/>
                  <w:szCs w:val="9"/>
                  <w:color w:val="0000EE"/>
                </w:rPr>
                <w:t>3</w:t>
              </w:r>
            </w:hyperlink>
          </w:p>
        </w:tc>
        <w:tc>
          <w:tcPr>
            <w:tcW w:w="5200" w:type="dxa"/>
            <w:vAlign w:val="bottom"/>
            <w:gridSpan w:val="22"/>
          </w:tcPr>
          <w:p>
            <w:pPr>
              <w:ind w:left="20"/>
              <w:spacing w:after="0" w:line="83" w:lineRule="exact"/>
              <w:rPr>
                <w:rFonts w:ascii="Arial" w:cs="Arial" w:eastAsia="Arial" w:hAnsi="Arial"/>
                <w:sz w:val="9"/>
                <w:szCs w:val="9"/>
                <w:color w:val="0000EE"/>
              </w:rPr>
            </w:pPr>
            <w:hyperlink w:anchor="page150">
              <w:r>
                <w:rPr>
                  <w:rFonts w:ascii="Arial" w:cs="Arial" w:eastAsia="Arial" w:hAnsi="Arial"/>
                  <w:sz w:val="9"/>
                  <w:szCs w:val="9"/>
                  <w:color w:val="0000EE"/>
                </w:rPr>
                <w:t>– Collateral Security</w:t>
              </w:r>
            </w:hyperlink>
          </w:p>
        </w:tc>
        <w:tc>
          <w:tcPr>
            <w:tcW w:w="3500" w:type="dxa"/>
            <w:vAlign w:val="bottom"/>
          </w:tcPr>
          <w:p>
            <w:pPr>
              <w:jc w:val="right"/>
              <w:ind w:right="648"/>
              <w:spacing w:after="0" w:line="83" w:lineRule="exact"/>
              <w:rPr>
                <w:sz w:val="20"/>
                <w:szCs w:val="20"/>
                <w:color w:val="auto"/>
              </w:rPr>
            </w:pPr>
            <w:r>
              <w:rPr>
                <w:rFonts w:ascii="Arial" w:cs="Arial" w:eastAsia="Arial" w:hAnsi="Arial"/>
                <w:sz w:val="9"/>
                <w:szCs w:val="9"/>
                <w:color w:val="auto"/>
              </w:rPr>
              <w:t>82</w:t>
            </w:r>
          </w:p>
        </w:tc>
        <w:tc>
          <w:tcPr>
            <w:tcW w:w="20" w:type="dxa"/>
            <w:vAlign w:val="bottom"/>
          </w:tcPr>
          <w:p>
            <w:pPr>
              <w:spacing w:after="0"/>
              <w:rPr>
                <w:sz w:val="7"/>
                <w:szCs w:val="7"/>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480" w:type="dxa"/>
            <w:vAlign w:val="bottom"/>
            <w:gridSpan w:val="2"/>
          </w:tcPr>
          <w:p>
            <w:pPr>
              <w:spacing w:after="0" w:line="83" w:lineRule="exact"/>
              <w:rPr>
                <w:rFonts w:ascii="Arial" w:cs="Arial" w:eastAsia="Arial" w:hAnsi="Arial"/>
                <w:sz w:val="9"/>
                <w:szCs w:val="9"/>
                <w:color w:val="0000EE"/>
              </w:rPr>
            </w:pPr>
            <w:hyperlink w:anchor="page153">
              <w:r>
                <w:rPr>
                  <w:rFonts w:ascii="Arial" w:cs="Arial" w:eastAsia="Arial" w:hAnsi="Arial"/>
                  <w:sz w:val="9"/>
                  <w:szCs w:val="9"/>
                  <w:color w:val="0000EE"/>
                </w:rPr>
                <w:t>Schedule</w:t>
              </w:r>
              <w:r>
                <w:rPr>
                  <w:rFonts w:ascii="Arial" w:cs="Arial" w:eastAsia="Arial" w:hAnsi="Arial"/>
                  <w:sz w:val="9"/>
                  <w:szCs w:val="9"/>
                  <w:color w:val="000000"/>
                </w:rPr>
                <w:t>​</w:t>
              </w:r>
            </w:hyperlink>
          </w:p>
        </w:tc>
        <w:tc>
          <w:tcPr>
            <w:tcW w:w="80" w:type="dxa"/>
            <w:vAlign w:val="bottom"/>
          </w:tcPr>
          <w:p>
            <w:pPr>
              <w:spacing w:after="0" w:line="83" w:lineRule="exact"/>
              <w:rPr>
                <w:rFonts w:ascii="Arial" w:cs="Arial" w:eastAsia="Arial" w:hAnsi="Arial"/>
                <w:sz w:val="9"/>
                <w:szCs w:val="9"/>
                <w:color w:val="0000EE"/>
              </w:rPr>
            </w:pPr>
            <w:hyperlink w:anchor="page153">
              <w:r>
                <w:rPr>
                  <w:rFonts w:ascii="Arial" w:cs="Arial" w:eastAsia="Arial" w:hAnsi="Arial"/>
                  <w:sz w:val="9"/>
                  <w:szCs w:val="9"/>
                  <w:color w:val="0000EE"/>
                </w:rPr>
                <w:t>4</w:t>
              </w:r>
            </w:hyperlink>
          </w:p>
        </w:tc>
        <w:tc>
          <w:tcPr>
            <w:tcW w:w="900" w:type="dxa"/>
            <w:vAlign w:val="bottom"/>
            <w:gridSpan w:val="7"/>
          </w:tcPr>
          <w:p>
            <w:pPr>
              <w:ind w:left="20"/>
              <w:spacing w:after="0" w:line="83" w:lineRule="exact"/>
              <w:rPr>
                <w:rFonts w:ascii="Arial" w:cs="Arial" w:eastAsia="Arial" w:hAnsi="Arial"/>
                <w:sz w:val="9"/>
                <w:szCs w:val="9"/>
                <w:color w:val="0000EE"/>
              </w:rPr>
            </w:pPr>
            <w:hyperlink w:anchor="page153">
              <w:r>
                <w:rPr>
                  <w:rFonts w:ascii="Arial" w:cs="Arial" w:eastAsia="Arial" w:hAnsi="Arial"/>
                  <w:sz w:val="9"/>
                  <w:szCs w:val="9"/>
                  <w:color w:val="0000EE"/>
                </w:rPr>
                <w:t>– Notused</w:t>
              </w:r>
            </w:hyperlink>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500" w:type="dxa"/>
            <w:vAlign w:val="bottom"/>
          </w:tcPr>
          <w:p>
            <w:pPr>
              <w:jc w:val="right"/>
              <w:ind w:right="648"/>
              <w:spacing w:after="0" w:line="83" w:lineRule="exact"/>
              <w:rPr>
                <w:sz w:val="20"/>
                <w:szCs w:val="20"/>
                <w:color w:val="auto"/>
              </w:rPr>
            </w:pPr>
            <w:r>
              <w:rPr>
                <w:rFonts w:ascii="Arial" w:cs="Arial" w:eastAsia="Arial" w:hAnsi="Arial"/>
                <w:sz w:val="9"/>
                <w:szCs w:val="9"/>
                <w:color w:val="auto"/>
              </w:rPr>
              <w:t>85</w:t>
            </w:r>
          </w:p>
        </w:tc>
        <w:tc>
          <w:tcPr>
            <w:tcW w:w="20" w:type="dxa"/>
            <w:vAlign w:val="bottom"/>
          </w:tcPr>
          <w:p>
            <w:pPr>
              <w:spacing w:after="0"/>
              <w:rPr>
                <w:sz w:val="7"/>
                <w:szCs w:val="7"/>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480" w:type="dxa"/>
            <w:vAlign w:val="bottom"/>
            <w:gridSpan w:val="2"/>
          </w:tcPr>
          <w:p>
            <w:pPr>
              <w:spacing w:after="0" w:line="83" w:lineRule="exact"/>
              <w:rPr>
                <w:rFonts w:ascii="Arial" w:cs="Arial" w:eastAsia="Arial" w:hAnsi="Arial"/>
                <w:sz w:val="9"/>
                <w:szCs w:val="9"/>
                <w:color w:val="0000EE"/>
              </w:rPr>
            </w:pPr>
            <w:hyperlink w:anchor="page154">
              <w:r>
                <w:rPr>
                  <w:rFonts w:ascii="Arial" w:cs="Arial" w:eastAsia="Arial" w:hAnsi="Arial"/>
                  <w:sz w:val="9"/>
                  <w:szCs w:val="9"/>
                  <w:color w:val="0000EE"/>
                </w:rPr>
                <w:t>Schedule</w:t>
              </w:r>
              <w:r>
                <w:rPr>
                  <w:rFonts w:ascii="Arial" w:cs="Arial" w:eastAsia="Arial" w:hAnsi="Arial"/>
                  <w:sz w:val="9"/>
                  <w:szCs w:val="9"/>
                  <w:color w:val="000000"/>
                </w:rPr>
                <w:t>​</w:t>
              </w:r>
            </w:hyperlink>
          </w:p>
        </w:tc>
        <w:tc>
          <w:tcPr>
            <w:tcW w:w="80" w:type="dxa"/>
            <w:vAlign w:val="bottom"/>
          </w:tcPr>
          <w:p>
            <w:pPr>
              <w:spacing w:after="0" w:line="83" w:lineRule="exact"/>
              <w:rPr>
                <w:rFonts w:ascii="Arial" w:cs="Arial" w:eastAsia="Arial" w:hAnsi="Arial"/>
                <w:sz w:val="9"/>
                <w:szCs w:val="9"/>
                <w:color w:val="0000EE"/>
              </w:rPr>
            </w:pPr>
            <w:hyperlink w:anchor="page154">
              <w:r>
                <w:rPr>
                  <w:rFonts w:ascii="Arial" w:cs="Arial" w:eastAsia="Arial" w:hAnsi="Arial"/>
                  <w:sz w:val="9"/>
                  <w:szCs w:val="9"/>
                  <w:color w:val="0000EE"/>
                </w:rPr>
                <w:t>5</w:t>
              </w:r>
            </w:hyperlink>
          </w:p>
        </w:tc>
        <w:tc>
          <w:tcPr>
            <w:tcW w:w="5200" w:type="dxa"/>
            <w:vAlign w:val="bottom"/>
            <w:gridSpan w:val="22"/>
          </w:tcPr>
          <w:p>
            <w:pPr>
              <w:ind w:left="20"/>
              <w:spacing w:after="0" w:line="83" w:lineRule="exact"/>
              <w:rPr>
                <w:rFonts w:ascii="Arial" w:cs="Arial" w:eastAsia="Arial" w:hAnsi="Arial"/>
                <w:sz w:val="9"/>
                <w:szCs w:val="9"/>
                <w:color w:val="0000EE"/>
              </w:rPr>
            </w:pPr>
            <w:hyperlink w:anchor="page154">
              <w:r>
                <w:rPr>
                  <w:rFonts w:ascii="Arial" w:cs="Arial" w:eastAsia="Arial" w:hAnsi="Arial"/>
                  <w:sz w:val="9"/>
                  <w:szCs w:val="9"/>
                  <w:color w:val="0000EE"/>
                </w:rPr>
                <w:t>– Conditions Precedent</w:t>
              </w:r>
            </w:hyperlink>
          </w:p>
        </w:tc>
        <w:tc>
          <w:tcPr>
            <w:tcW w:w="3500" w:type="dxa"/>
            <w:vAlign w:val="bottom"/>
          </w:tcPr>
          <w:p>
            <w:pPr>
              <w:jc w:val="right"/>
              <w:ind w:right="648"/>
              <w:spacing w:after="0" w:line="83" w:lineRule="exact"/>
              <w:rPr>
                <w:sz w:val="20"/>
                <w:szCs w:val="20"/>
                <w:color w:val="auto"/>
              </w:rPr>
            </w:pPr>
            <w:r>
              <w:rPr>
                <w:rFonts w:ascii="Arial" w:cs="Arial" w:eastAsia="Arial" w:hAnsi="Arial"/>
                <w:sz w:val="9"/>
                <w:szCs w:val="9"/>
                <w:color w:val="auto"/>
              </w:rPr>
              <w:t>86</w:t>
            </w:r>
          </w:p>
        </w:tc>
        <w:tc>
          <w:tcPr>
            <w:tcW w:w="20" w:type="dxa"/>
            <w:vAlign w:val="bottom"/>
          </w:tcPr>
          <w:p>
            <w:pPr>
              <w:spacing w:after="0"/>
              <w:rPr>
                <w:sz w:val="7"/>
                <w:szCs w:val="7"/>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480" w:type="dxa"/>
            <w:vAlign w:val="bottom"/>
            <w:gridSpan w:val="2"/>
          </w:tcPr>
          <w:p>
            <w:pPr>
              <w:spacing w:after="0" w:line="83" w:lineRule="exact"/>
              <w:rPr>
                <w:rFonts w:ascii="Arial" w:cs="Arial" w:eastAsia="Arial" w:hAnsi="Arial"/>
                <w:sz w:val="9"/>
                <w:szCs w:val="9"/>
                <w:color w:val="0000EE"/>
              </w:rPr>
            </w:pPr>
            <w:hyperlink w:anchor="page155">
              <w:r>
                <w:rPr>
                  <w:rFonts w:ascii="Arial" w:cs="Arial" w:eastAsia="Arial" w:hAnsi="Arial"/>
                  <w:sz w:val="9"/>
                  <w:szCs w:val="9"/>
                  <w:color w:val="0000EE"/>
                </w:rPr>
                <w:t>Schedule</w:t>
              </w:r>
              <w:r>
                <w:rPr>
                  <w:rFonts w:ascii="Arial" w:cs="Arial" w:eastAsia="Arial" w:hAnsi="Arial"/>
                  <w:sz w:val="9"/>
                  <w:szCs w:val="9"/>
                  <w:color w:val="000000"/>
                </w:rPr>
                <w:t>​</w:t>
              </w:r>
            </w:hyperlink>
          </w:p>
        </w:tc>
        <w:tc>
          <w:tcPr>
            <w:tcW w:w="80" w:type="dxa"/>
            <w:vAlign w:val="bottom"/>
          </w:tcPr>
          <w:p>
            <w:pPr>
              <w:spacing w:after="0" w:line="83" w:lineRule="exact"/>
              <w:rPr>
                <w:rFonts w:ascii="Arial" w:cs="Arial" w:eastAsia="Arial" w:hAnsi="Arial"/>
                <w:sz w:val="9"/>
                <w:szCs w:val="9"/>
                <w:color w:val="0000EE"/>
              </w:rPr>
            </w:pPr>
            <w:hyperlink w:anchor="page155">
              <w:r>
                <w:rPr>
                  <w:rFonts w:ascii="Arial" w:cs="Arial" w:eastAsia="Arial" w:hAnsi="Arial"/>
                  <w:sz w:val="9"/>
                  <w:szCs w:val="9"/>
                  <w:color w:val="0000EE"/>
                </w:rPr>
                <w:t>6</w:t>
              </w:r>
            </w:hyperlink>
          </w:p>
        </w:tc>
        <w:tc>
          <w:tcPr>
            <w:tcW w:w="5200" w:type="dxa"/>
            <w:vAlign w:val="bottom"/>
            <w:gridSpan w:val="22"/>
          </w:tcPr>
          <w:p>
            <w:pPr>
              <w:ind w:left="20"/>
              <w:spacing w:after="0" w:line="83" w:lineRule="exact"/>
              <w:rPr>
                <w:rFonts w:ascii="Arial" w:cs="Arial" w:eastAsia="Arial" w:hAnsi="Arial"/>
                <w:sz w:val="9"/>
                <w:szCs w:val="9"/>
                <w:color w:val="0000EE"/>
              </w:rPr>
            </w:pPr>
            <w:hyperlink w:anchor="page155">
              <w:r>
                <w:rPr>
                  <w:rFonts w:ascii="Arial" w:cs="Arial" w:eastAsia="Arial" w:hAnsi="Arial"/>
                  <w:sz w:val="9"/>
                  <w:szCs w:val="9"/>
                  <w:color w:val="0000EE"/>
                </w:rPr>
                <w:t>– Verification Certificate</w:t>
              </w:r>
            </w:hyperlink>
          </w:p>
        </w:tc>
        <w:tc>
          <w:tcPr>
            <w:tcW w:w="3500" w:type="dxa"/>
            <w:vAlign w:val="bottom"/>
          </w:tcPr>
          <w:p>
            <w:pPr>
              <w:jc w:val="right"/>
              <w:ind w:right="648"/>
              <w:spacing w:after="0" w:line="83" w:lineRule="exact"/>
              <w:rPr>
                <w:sz w:val="20"/>
                <w:szCs w:val="20"/>
                <w:color w:val="auto"/>
              </w:rPr>
            </w:pPr>
            <w:r>
              <w:rPr>
                <w:rFonts w:ascii="Arial" w:cs="Arial" w:eastAsia="Arial" w:hAnsi="Arial"/>
                <w:sz w:val="9"/>
                <w:szCs w:val="9"/>
                <w:color w:val="auto"/>
              </w:rPr>
              <w:t>87</w:t>
            </w:r>
          </w:p>
        </w:tc>
        <w:tc>
          <w:tcPr>
            <w:tcW w:w="20" w:type="dxa"/>
            <w:vAlign w:val="bottom"/>
          </w:tcPr>
          <w:p>
            <w:pPr>
              <w:spacing w:after="0"/>
              <w:rPr>
                <w:sz w:val="7"/>
                <w:szCs w:val="7"/>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480" w:type="dxa"/>
            <w:vAlign w:val="bottom"/>
            <w:gridSpan w:val="2"/>
          </w:tcPr>
          <w:p>
            <w:pPr>
              <w:spacing w:after="0" w:line="83" w:lineRule="exact"/>
              <w:rPr>
                <w:rFonts w:ascii="Arial" w:cs="Arial" w:eastAsia="Arial" w:hAnsi="Arial"/>
                <w:sz w:val="9"/>
                <w:szCs w:val="9"/>
                <w:color w:val="0000EE"/>
              </w:rPr>
            </w:pPr>
            <w:hyperlink w:anchor="page158">
              <w:r>
                <w:rPr>
                  <w:rFonts w:ascii="Arial" w:cs="Arial" w:eastAsia="Arial" w:hAnsi="Arial"/>
                  <w:sz w:val="9"/>
                  <w:szCs w:val="9"/>
                  <w:color w:val="0000EE"/>
                </w:rPr>
                <w:t>Schedule</w:t>
              </w:r>
              <w:r>
                <w:rPr>
                  <w:rFonts w:ascii="Arial" w:cs="Arial" w:eastAsia="Arial" w:hAnsi="Arial"/>
                  <w:sz w:val="9"/>
                  <w:szCs w:val="9"/>
                  <w:color w:val="000000"/>
                </w:rPr>
                <w:t>​</w:t>
              </w:r>
            </w:hyperlink>
          </w:p>
        </w:tc>
        <w:tc>
          <w:tcPr>
            <w:tcW w:w="80" w:type="dxa"/>
            <w:vAlign w:val="bottom"/>
          </w:tcPr>
          <w:p>
            <w:pPr>
              <w:spacing w:after="0" w:line="83" w:lineRule="exact"/>
              <w:rPr>
                <w:rFonts w:ascii="Arial" w:cs="Arial" w:eastAsia="Arial" w:hAnsi="Arial"/>
                <w:sz w:val="9"/>
                <w:szCs w:val="9"/>
                <w:color w:val="0000EE"/>
              </w:rPr>
            </w:pPr>
            <w:hyperlink w:anchor="page158">
              <w:r>
                <w:rPr>
                  <w:rFonts w:ascii="Arial" w:cs="Arial" w:eastAsia="Arial" w:hAnsi="Arial"/>
                  <w:sz w:val="9"/>
                  <w:szCs w:val="9"/>
                  <w:color w:val="0000EE"/>
                </w:rPr>
                <w:t>7</w:t>
              </w:r>
            </w:hyperlink>
          </w:p>
        </w:tc>
        <w:tc>
          <w:tcPr>
            <w:tcW w:w="900" w:type="dxa"/>
            <w:vAlign w:val="bottom"/>
            <w:gridSpan w:val="7"/>
          </w:tcPr>
          <w:p>
            <w:pPr>
              <w:ind w:left="20"/>
              <w:spacing w:after="0" w:line="83" w:lineRule="exact"/>
              <w:rPr>
                <w:rFonts w:ascii="Arial" w:cs="Arial" w:eastAsia="Arial" w:hAnsi="Arial"/>
                <w:sz w:val="9"/>
                <w:szCs w:val="9"/>
                <w:color w:val="0000EE"/>
              </w:rPr>
            </w:pPr>
            <w:hyperlink w:anchor="page158">
              <w:r>
                <w:rPr>
                  <w:rFonts w:ascii="Arial" w:cs="Arial" w:eastAsia="Arial" w:hAnsi="Arial"/>
                  <w:sz w:val="9"/>
                  <w:szCs w:val="9"/>
                  <w:color w:val="0000EE"/>
                </w:rPr>
                <w:t>– Funding Notice</w:t>
              </w:r>
            </w:hyperlink>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500" w:type="dxa"/>
            <w:vAlign w:val="bottom"/>
          </w:tcPr>
          <w:p>
            <w:pPr>
              <w:jc w:val="right"/>
              <w:ind w:right="648"/>
              <w:spacing w:after="0" w:line="83" w:lineRule="exact"/>
              <w:rPr>
                <w:sz w:val="20"/>
                <w:szCs w:val="20"/>
                <w:color w:val="auto"/>
              </w:rPr>
            </w:pPr>
            <w:r>
              <w:rPr>
                <w:rFonts w:ascii="Arial" w:cs="Arial" w:eastAsia="Arial" w:hAnsi="Arial"/>
                <w:sz w:val="9"/>
                <w:szCs w:val="9"/>
                <w:color w:val="auto"/>
              </w:rPr>
              <w:t>89</w:t>
            </w:r>
          </w:p>
        </w:tc>
        <w:tc>
          <w:tcPr>
            <w:tcW w:w="20" w:type="dxa"/>
            <w:vAlign w:val="bottom"/>
          </w:tcPr>
          <w:p>
            <w:pPr>
              <w:spacing w:after="0"/>
              <w:rPr>
                <w:sz w:val="7"/>
                <w:szCs w:val="7"/>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480" w:type="dxa"/>
            <w:vAlign w:val="bottom"/>
            <w:gridSpan w:val="2"/>
          </w:tcPr>
          <w:p>
            <w:pPr>
              <w:spacing w:after="0" w:line="83" w:lineRule="exact"/>
              <w:rPr>
                <w:rFonts w:ascii="Arial" w:cs="Arial" w:eastAsia="Arial" w:hAnsi="Arial"/>
                <w:sz w:val="9"/>
                <w:szCs w:val="9"/>
                <w:color w:val="0000EE"/>
              </w:rPr>
            </w:pPr>
            <w:hyperlink w:anchor="page159">
              <w:r>
                <w:rPr>
                  <w:rFonts w:ascii="Arial" w:cs="Arial" w:eastAsia="Arial" w:hAnsi="Arial"/>
                  <w:sz w:val="9"/>
                  <w:szCs w:val="9"/>
                  <w:color w:val="0000EE"/>
                </w:rPr>
                <w:t>Schedule</w:t>
              </w:r>
              <w:r>
                <w:rPr>
                  <w:rFonts w:ascii="Arial" w:cs="Arial" w:eastAsia="Arial" w:hAnsi="Arial"/>
                  <w:sz w:val="9"/>
                  <w:szCs w:val="9"/>
                  <w:color w:val="000000"/>
                </w:rPr>
                <w:t>​</w:t>
              </w:r>
            </w:hyperlink>
          </w:p>
        </w:tc>
        <w:tc>
          <w:tcPr>
            <w:tcW w:w="80" w:type="dxa"/>
            <w:vAlign w:val="bottom"/>
          </w:tcPr>
          <w:p>
            <w:pPr>
              <w:spacing w:after="0" w:line="83" w:lineRule="exact"/>
              <w:rPr>
                <w:rFonts w:ascii="Arial" w:cs="Arial" w:eastAsia="Arial" w:hAnsi="Arial"/>
                <w:sz w:val="9"/>
                <w:szCs w:val="9"/>
                <w:color w:val="0000EE"/>
              </w:rPr>
            </w:pPr>
            <w:hyperlink w:anchor="page159">
              <w:r>
                <w:rPr>
                  <w:rFonts w:ascii="Arial" w:cs="Arial" w:eastAsia="Arial" w:hAnsi="Arial"/>
                  <w:sz w:val="9"/>
                  <w:szCs w:val="9"/>
                  <w:color w:val="0000EE"/>
                </w:rPr>
                <w:t>8</w:t>
              </w:r>
            </w:hyperlink>
          </w:p>
        </w:tc>
        <w:tc>
          <w:tcPr>
            <w:tcW w:w="5200" w:type="dxa"/>
            <w:vAlign w:val="bottom"/>
            <w:gridSpan w:val="22"/>
          </w:tcPr>
          <w:p>
            <w:pPr>
              <w:ind w:left="20"/>
              <w:spacing w:after="0" w:line="83" w:lineRule="exact"/>
              <w:rPr>
                <w:rFonts w:ascii="Arial" w:cs="Arial" w:eastAsia="Arial" w:hAnsi="Arial"/>
                <w:sz w:val="9"/>
                <w:szCs w:val="9"/>
                <w:color w:val="0000EE"/>
              </w:rPr>
            </w:pPr>
            <w:hyperlink w:anchor="page159">
              <w:r>
                <w:rPr>
                  <w:rFonts w:ascii="Arial" w:cs="Arial" w:eastAsia="Arial" w:hAnsi="Arial"/>
                  <w:sz w:val="9"/>
                  <w:szCs w:val="9"/>
                  <w:color w:val="0000EE"/>
                </w:rPr>
                <w:t>– Guarantor AccessionDeed</w:t>
              </w:r>
            </w:hyperlink>
          </w:p>
        </w:tc>
        <w:tc>
          <w:tcPr>
            <w:tcW w:w="3500" w:type="dxa"/>
            <w:vAlign w:val="bottom"/>
          </w:tcPr>
          <w:p>
            <w:pPr>
              <w:jc w:val="right"/>
              <w:ind w:right="648"/>
              <w:spacing w:after="0" w:line="83" w:lineRule="exact"/>
              <w:rPr>
                <w:sz w:val="20"/>
                <w:szCs w:val="20"/>
                <w:color w:val="auto"/>
              </w:rPr>
            </w:pPr>
            <w:r>
              <w:rPr>
                <w:rFonts w:ascii="Arial" w:cs="Arial" w:eastAsia="Arial" w:hAnsi="Arial"/>
                <w:sz w:val="9"/>
                <w:szCs w:val="9"/>
                <w:color w:val="auto"/>
              </w:rPr>
              <w:t>90</w:t>
            </w:r>
          </w:p>
        </w:tc>
        <w:tc>
          <w:tcPr>
            <w:tcW w:w="20" w:type="dxa"/>
            <w:vAlign w:val="bottom"/>
          </w:tcPr>
          <w:p>
            <w:pPr>
              <w:spacing w:after="0"/>
              <w:rPr>
                <w:sz w:val="7"/>
                <w:szCs w:val="7"/>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480" w:type="dxa"/>
            <w:vAlign w:val="bottom"/>
            <w:gridSpan w:val="2"/>
          </w:tcPr>
          <w:p>
            <w:pPr>
              <w:spacing w:after="0" w:line="83" w:lineRule="exact"/>
              <w:rPr>
                <w:rFonts w:ascii="Arial" w:cs="Arial" w:eastAsia="Arial" w:hAnsi="Arial"/>
                <w:sz w:val="9"/>
                <w:szCs w:val="9"/>
                <w:color w:val="0000EE"/>
              </w:rPr>
            </w:pPr>
            <w:hyperlink w:anchor="page161">
              <w:r>
                <w:rPr>
                  <w:rFonts w:ascii="Arial" w:cs="Arial" w:eastAsia="Arial" w:hAnsi="Arial"/>
                  <w:sz w:val="9"/>
                  <w:szCs w:val="9"/>
                  <w:color w:val="0000EE"/>
                </w:rPr>
                <w:t>Schedule</w:t>
              </w:r>
              <w:r>
                <w:rPr>
                  <w:rFonts w:ascii="Arial" w:cs="Arial" w:eastAsia="Arial" w:hAnsi="Arial"/>
                  <w:sz w:val="9"/>
                  <w:szCs w:val="9"/>
                  <w:color w:val="000000"/>
                </w:rPr>
                <w:t>​</w:t>
              </w:r>
            </w:hyperlink>
          </w:p>
        </w:tc>
        <w:tc>
          <w:tcPr>
            <w:tcW w:w="80" w:type="dxa"/>
            <w:vAlign w:val="bottom"/>
          </w:tcPr>
          <w:p>
            <w:pPr>
              <w:spacing w:after="0" w:line="83" w:lineRule="exact"/>
              <w:rPr>
                <w:rFonts w:ascii="Arial" w:cs="Arial" w:eastAsia="Arial" w:hAnsi="Arial"/>
                <w:sz w:val="9"/>
                <w:szCs w:val="9"/>
                <w:color w:val="0000EE"/>
              </w:rPr>
            </w:pPr>
            <w:hyperlink w:anchor="page161">
              <w:r>
                <w:rPr>
                  <w:rFonts w:ascii="Arial" w:cs="Arial" w:eastAsia="Arial" w:hAnsi="Arial"/>
                  <w:sz w:val="9"/>
                  <w:szCs w:val="9"/>
                  <w:color w:val="0000EE"/>
                </w:rPr>
                <w:t>9</w:t>
              </w:r>
            </w:hyperlink>
          </w:p>
        </w:tc>
        <w:tc>
          <w:tcPr>
            <w:tcW w:w="5200" w:type="dxa"/>
            <w:vAlign w:val="bottom"/>
            <w:gridSpan w:val="22"/>
          </w:tcPr>
          <w:p>
            <w:pPr>
              <w:ind w:left="20"/>
              <w:spacing w:after="0" w:line="83" w:lineRule="exact"/>
              <w:rPr>
                <w:rFonts w:ascii="Arial" w:cs="Arial" w:eastAsia="Arial" w:hAnsi="Arial"/>
                <w:sz w:val="9"/>
                <w:szCs w:val="9"/>
                <w:color w:val="0000EE"/>
              </w:rPr>
            </w:pPr>
            <w:hyperlink w:anchor="page161">
              <w:r>
                <w:rPr>
                  <w:rFonts w:ascii="Arial" w:cs="Arial" w:eastAsia="Arial" w:hAnsi="Arial"/>
                  <w:sz w:val="9"/>
                  <w:szCs w:val="9"/>
                  <w:color w:val="0000EE"/>
                </w:rPr>
                <w:t>– Compliance Certificate</w:t>
              </w:r>
            </w:hyperlink>
          </w:p>
        </w:tc>
        <w:tc>
          <w:tcPr>
            <w:tcW w:w="3500" w:type="dxa"/>
            <w:vAlign w:val="bottom"/>
          </w:tcPr>
          <w:p>
            <w:pPr>
              <w:jc w:val="right"/>
              <w:ind w:right="648"/>
              <w:spacing w:after="0" w:line="83" w:lineRule="exact"/>
              <w:rPr>
                <w:sz w:val="20"/>
                <w:szCs w:val="20"/>
                <w:color w:val="auto"/>
              </w:rPr>
            </w:pPr>
            <w:r>
              <w:rPr>
                <w:rFonts w:ascii="Arial" w:cs="Arial" w:eastAsia="Arial" w:hAnsi="Arial"/>
                <w:sz w:val="9"/>
                <w:szCs w:val="9"/>
                <w:color w:val="auto"/>
              </w:rPr>
              <w:t>92</w:t>
            </w:r>
          </w:p>
        </w:tc>
        <w:tc>
          <w:tcPr>
            <w:tcW w:w="20" w:type="dxa"/>
            <w:vAlign w:val="bottom"/>
          </w:tcPr>
          <w:p>
            <w:pPr>
              <w:spacing w:after="0"/>
              <w:rPr>
                <w:sz w:val="7"/>
                <w:szCs w:val="7"/>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480" w:type="dxa"/>
            <w:vAlign w:val="bottom"/>
            <w:gridSpan w:val="2"/>
          </w:tcPr>
          <w:p>
            <w:pPr>
              <w:spacing w:after="0" w:line="115" w:lineRule="exact"/>
              <w:rPr>
                <w:rFonts w:ascii="Arial" w:cs="Arial" w:eastAsia="Arial" w:hAnsi="Arial"/>
                <w:sz w:val="11"/>
                <w:szCs w:val="11"/>
                <w:color w:val="0000EE"/>
              </w:rPr>
            </w:pPr>
            <w:hyperlink w:anchor="page163">
              <w:r>
                <w:rPr>
                  <w:rFonts w:ascii="Arial" w:cs="Arial" w:eastAsia="Arial" w:hAnsi="Arial"/>
                  <w:sz w:val="11"/>
                  <w:szCs w:val="11"/>
                  <w:color w:val="0000EE"/>
                </w:rPr>
                <w:t>Schedule</w:t>
              </w:r>
              <w:r>
                <w:rPr>
                  <w:rFonts w:ascii="Arial" w:cs="Arial" w:eastAsia="Arial" w:hAnsi="Arial"/>
                  <w:sz w:val="11"/>
                  <w:szCs w:val="11"/>
                  <w:color w:val="000000"/>
                </w:rPr>
                <w:t>​</w:t>
              </w:r>
            </w:hyperlink>
          </w:p>
        </w:tc>
        <w:tc>
          <w:tcPr>
            <w:tcW w:w="5280" w:type="dxa"/>
            <w:vAlign w:val="bottom"/>
            <w:gridSpan w:val="23"/>
          </w:tcPr>
          <w:p>
            <w:pPr>
              <w:spacing w:after="0" w:line="115" w:lineRule="exact"/>
              <w:rPr>
                <w:rFonts w:ascii="Arial" w:cs="Arial" w:eastAsia="Arial" w:hAnsi="Arial"/>
                <w:sz w:val="11"/>
                <w:szCs w:val="11"/>
                <w:color w:val="0000EE"/>
              </w:rPr>
            </w:pPr>
            <w:hyperlink w:anchor="page163">
              <w:r>
                <w:rPr>
                  <w:rFonts w:ascii="Arial" w:cs="Arial" w:eastAsia="Arial" w:hAnsi="Arial"/>
                  <w:sz w:val="11"/>
                  <w:szCs w:val="11"/>
                  <w:color w:val="0000EE"/>
                </w:rPr>
                <w:t>10 – Interim Compliance Certificate</w:t>
              </w:r>
            </w:hyperlink>
          </w:p>
        </w:tc>
        <w:tc>
          <w:tcPr>
            <w:tcW w:w="3500" w:type="dxa"/>
            <w:vAlign w:val="bottom"/>
          </w:tcPr>
          <w:p>
            <w:pPr>
              <w:jc w:val="right"/>
              <w:ind w:right="648"/>
              <w:spacing w:after="0" w:line="115" w:lineRule="exact"/>
              <w:rPr>
                <w:sz w:val="20"/>
                <w:szCs w:val="20"/>
                <w:color w:val="auto"/>
              </w:rPr>
            </w:pPr>
            <w:r>
              <w:rPr>
                <w:rFonts w:ascii="Arial" w:cs="Arial" w:eastAsia="Arial" w:hAnsi="Arial"/>
                <w:sz w:val="11"/>
                <w:szCs w:val="11"/>
                <w:color w:val="auto"/>
              </w:rPr>
              <w:t>94</w:t>
            </w:r>
          </w:p>
        </w:tc>
        <w:tc>
          <w:tcPr>
            <w:tcW w:w="20" w:type="dxa"/>
            <w:vAlign w:val="bottom"/>
          </w:tcPr>
          <w:p>
            <w:pPr>
              <w:spacing w:after="0"/>
              <w:rPr>
                <w:sz w:val="10"/>
                <w:szCs w:val="10"/>
                <w:color w:val="auto"/>
              </w:rPr>
            </w:pPr>
          </w:p>
        </w:tc>
      </w:tr>
      <w:tr>
        <w:trPr>
          <w:trHeight w:val="20"/>
        </w:trPr>
        <w:tc>
          <w:tcPr>
            <w:tcW w:w="1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0"/>
        </w:trPr>
        <w:tc>
          <w:tcPr>
            <w:tcW w:w="680" w:type="dxa"/>
            <w:vAlign w:val="bottom"/>
            <w:tcBorders>
              <w:bottom w:val="single" w:sz="8" w:color="8BD8FF"/>
            </w:tcBorders>
            <w:gridSpan w:val="4"/>
          </w:tcPr>
          <w:p>
            <w:pPr>
              <w:spacing w:after="0"/>
              <w:rPr>
                <w:sz w:val="20"/>
                <w:szCs w:val="20"/>
                <w:color w:val="auto"/>
              </w:rPr>
            </w:pPr>
            <w:r>
              <w:rPr>
                <w:rFonts w:ascii="Arial" w:cs="Arial" w:eastAsia="Arial" w:hAnsi="Arial"/>
                <w:sz w:val="8"/>
                <w:szCs w:val="8"/>
                <w:color w:val="8BD8FF"/>
                <w:w w:val="98"/>
              </w:rPr>
              <w:t>3468-7174-2245v7</w:t>
            </w:r>
          </w:p>
        </w:tc>
        <w:tc>
          <w:tcPr>
            <w:tcW w:w="740" w:type="dxa"/>
            <w:vAlign w:val="bottom"/>
            <w:gridSpan w:val="5"/>
          </w:tcPr>
          <w:p>
            <w:pPr>
              <w:spacing w:after="0"/>
              <w:rPr>
                <w:sz w:val="20"/>
                <w:szCs w:val="20"/>
                <w:color w:val="auto"/>
              </w:rPr>
            </w:pPr>
            <w:r>
              <w:rPr>
                <w:rFonts w:ascii="Arial" w:cs="Arial" w:eastAsia="Arial" w:hAnsi="Arial"/>
                <w:sz w:val="8"/>
                <w:szCs w:val="8"/>
                <w:color w:val="FF0000"/>
                <w:strike w:val="1"/>
              </w:rPr>
              <w:t>3468-7174-2245v2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520" w:type="dxa"/>
            <w:vAlign w:val="bottom"/>
            <w:gridSpan w:val="2"/>
          </w:tcPr>
          <w:p>
            <w:pPr>
              <w:ind w:left="3240"/>
              <w:spacing w:after="0"/>
              <w:rPr>
                <w:sz w:val="20"/>
                <w:szCs w:val="20"/>
                <w:color w:val="auto"/>
              </w:rPr>
            </w:pPr>
            <w:r>
              <w:rPr>
                <w:rFonts w:ascii="Arial" w:cs="Arial" w:eastAsia="Arial" w:hAnsi="Arial"/>
                <w:sz w:val="8"/>
                <w:szCs w:val="8"/>
                <w:color w:val="auto"/>
              </w:rPr>
              <w:t>page iv</w:t>
            </w:r>
          </w:p>
        </w:tc>
      </w:tr>
      <w:tr>
        <w:trPr>
          <w:trHeight w:val="94"/>
        </w:trPr>
        <w:tc>
          <w:tcPr>
            <w:tcW w:w="1460" w:type="dxa"/>
            <w:vAlign w:val="bottom"/>
            <w:gridSpan w:val="10"/>
          </w:tcPr>
          <w:p>
            <w:pPr>
              <w:spacing w:after="0"/>
              <w:rPr>
                <w:sz w:val="20"/>
                <w:szCs w:val="20"/>
                <w:color w:val="auto"/>
              </w:rPr>
            </w:pPr>
            <w:r>
              <w:rPr>
                <w:rFonts w:ascii="Arial" w:cs="Arial" w:eastAsia="Arial" w:hAnsi="Arial"/>
                <w:sz w:val="8"/>
                <w:szCs w:val="8"/>
                <w:color w:val="auto"/>
              </w:rPr>
              <w:t>Facility Agreement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8"/>
        </w:trPr>
        <w:tc>
          <w:tcPr>
            <w:tcW w:w="120" w:type="dxa"/>
            <w:vAlign w:val="bottom"/>
            <w:tcBorders>
              <w:bottom w:val="single" w:sz="8" w:color="EEEEEE"/>
            </w:tcBorders>
          </w:tcPr>
          <w:p>
            <w:pPr>
              <w:spacing w:after="0"/>
              <w:rPr>
                <w:sz w:val="18"/>
                <w:szCs w:val="18"/>
                <w:color w:val="auto"/>
              </w:rPr>
            </w:pPr>
          </w:p>
        </w:tc>
        <w:tc>
          <w:tcPr>
            <w:tcW w:w="36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2680" w:type="dxa"/>
            <w:vAlign w:val="bottom"/>
            <w:tcBorders>
              <w:bottom w:val="single" w:sz="8" w:color="EEEEEE"/>
            </w:tcBorders>
          </w:tcPr>
          <w:p>
            <w:pPr>
              <w:spacing w:after="0"/>
              <w:rPr>
                <w:sz w:val="18"/>
                <w:szCs w:val="18"/>
                <w:color w:val="auto"/>
              </w:rPr>
            </w:pPr>
          </w:p>
        </w:tc>
        <w:tc>
          <w:tcPr>
            <w:tcW w:w="350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68" w:name="page69"/>
    <w:bookmarkEnd w:id="68"/>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96"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Date</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Parties</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 xml:space="preserve">National Australia Bank Limited </w:t>
      </w:r>
      <w:r>
        <w:rPr>
          <w:rFonts w:ascii="Arial" w:cs="Arial" w:eastAsia="Arial" w:hAnsi="Arial"/>
          <w:sz w:val="11"/>
          <w:szCs w:val="11"/>
          <w:color w:val="auto"/>
        </w:rPr>
        <w:t>ABN 12 004 044 937 of</w:t>
      </w:r>
      <w:r>
        <w:rPr>
          <w:rFonts w:ascii="Arial" w:cs="Arial" w:eastAsia="Arial" w:hAnsi="Arial"/>
          <w:sz w:val="11"/>
          <w:szCs w:val="11"/>
          <w:b w:val="1"/>
          <w:bCs w:val="1"/>
          <w:color w:val="auto"/>
        </w:rPr>
        <w:t xml:space="preserve"> </w:t>
      </w:r>
      <w:r>
        <w:rPr>
          <w:rFonts w:ascii="Arial" w:cs="Arial" w:eastAsia="Arial" w:hAnsi="Arial"/>
          <w:sz w:val="11"/>
          <w:szCs w:val="11"/>
          <w:color w:val="B5082D"/>
          <w:strike w:val="1"/>
        </w:rPr>
        <w:t>Pier 3 Level 4,</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Level 17, 395</w:t>
      </w:r>
      <w:r>
        <w:rPr>
          <w:rFonts w:ascii="Arial" w:cs="Arial" w:eastAsia="Arial" w:hAnsi="Arial"/>
          <w:sz w:val="11"/>
          <w:szCs w:val="11"/>
          <w:b w:val="1"/>
          <w:bCs w:val="1"/>
          <w:color w:val="auto"/>
        </w:rPr>
        <w:t xml:space="preserve"> </w:t>
      </w:r>
      <w:r>
        <w:rPr>
          <w:rFonts w:ascii="Arial" w:cs="Arial" w:eastAsia="Arial" w:hAnsi="Arial"/>
          <w:sz w:val="11"/>
          <w:szCs w:val="11"/>
          <w:color w:val="B5082D"/>
          <w:strike w:val="1"/>
        </w:rPr>
        <w:t>800</w:t>
      </w:r>
      <w:r>
        <w:rPr>
          <w:rFonts w:ascii="Arial" w:cs="Arial" w:eastAsia="Arial" w:hAnsi="Arial"/>
          <w:sz w:val="11"/>
          <w:szCs w:val="11"/>
          <w:b w:val="1"/>
          <w:bCs w:val="1"/>
          <w:color w:val="auto"/>
        </w:rPr>
        <w:t xml:space="preserve"> </w:t>
      </w:r>
      <w:r>
        <w:rPr>
          <w:rFonts w:ascii="Arial" w:cs="Arial" w:eastAsia="Arial" w:hAnsi="Arial"/>
          <w:sz w:val="11"/>
          <w:szCs w:val="11"/>
          <w:color w:val="auto"/>
        </w:rPr>
        <w:t>Bourke Street,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Melbourne</w:t>
      </w:r>
      <w:r>
        <w:rPr>
          <w:rFonts w:ascii="Arial" w:cs="Arial" w:eastAsia="Arial" w:hAnsi="Arial"/>
          <w:sz w:val="11"/>
          <w:szCs w:val="11"/>
          <w:color w:val="B5082D"/>
          <w:strike w:val="1"/>
        </w:rPr>
        <w:t>Docklands</w:t>
      </w:r>
      <w:r>
        <w:rPr>
          <w:rFonts w:ascii="Arial" w:cs="Arial" w:eastAsia="Arial" w:hAnsi="Arial"/>
          <w:sz w:val="11"/>
          <w:szCs w:val="11"/>
          <w:color w:val="auto"/>
        </w:rPr>
        <w:t>, Victoria</w:t>
      </w:r>
      <w:r>
        <w:rPr>
          <w:rFonts w:ascii="Arial" w:cs="Arial" w:eastAsia="Arial" w:hAnsi="Arial"/>
          <w:sz w:val="11"/>
          <w:szCs w:val="11"/>
          <w:b w:val="1"/>
          <w:bCs w:val="1"/>
          <w:color w:val="auto"/>
        </w:rPr>
        <w:t xml:space="preserve"> </w:t>
      </w:r>
      <w:r>
        <w:rPr>
          <w:rFonts w:ascii="Arial" w:cs="Arial" w:eastAsia="Arial" w:hAnsi="Arial"/>
          <w:sz w:val="11"/>
          <w:szCs w:val="11"/>
          <w:color w:val="B5082D"/>
          <w:strike w:val="1"/>
        </w:rPr>
        <w:t>3008</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3000</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Bank</w:t>
      </w:r>
      <w:r>
        <w:rPr>
          <w:rFonts w:ascii="Arial" w:cs="Arial" w:eastAsia="Arial" w:hAnsi="Arial"/>
          <w:sz w:val="11"/>
          <w:szCs w:val="11"/>
          <w:color w:val="auto"/>
        </w:rPr>
        <w:t>)</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 xml:space="preserve">Reading Entertainment Australia Pty Ltd </w:t>
      </w:r>
      <w:r>
        <w:rPr>
          <w:rFonts w:ascii="Arial" w:cs="Arial" w:eastAsia="Arial" w:hAnsi="Arial"/>
          <w:sz w:val="11"/>
          <w:szCs w:val="11"/>
          <w:color w:val="auto"/>
        </w:rPr>
        <w:t>ACN 070 893 908 of 98 York Street, South Melbourne, Victoria 3205 (</w:t>
      </w:r>
      <w:r>
        <w:rPr>
          <w:rFonts w:ascii="Arial" w:cs="Arial" w:eastAsia="Arial" w:hAnsi="Arial"/>
          <w:sz w:val="11"/>
          <w:szCs w:val="11"/>
          <w:b w:val="1"/>
          <w:bCs w:val="1"/>
          <w:color w:val="auto"/>
        </w:rPr>
        <w:t>Borrower</w:t>
      </w:r>
      <w:r>
        <w:rPr>
          <w:rFonts w:ascii="Arial" w:cs="Arial" w:eastAsia="Arial" w:hAnsi="Arial"/>
          <w:sz w:val="11"/>
          <w:szCs w:val="11"/>
          <w:color w:val="auto"/>
        </w:rPr>
        <w:t>)</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 xml:space="preserve">Each person listed in schedule 1 </w:t>
      </w:r>
      <w:r>
        <w:rPr>
          <w:rFonts w:ascii="Arial" w:cs="Arial" w:eastAsia="Arial" w:hAnsi="Arial"/>
          <w:sz w:val="11"/>
          <w:szCs w:val="11"/>
          <w:color w:val="auto"/>
        </w:rPr>
        <w:t>(each an</w:t>
      </w:r>
      <w:r>
        <w:rPr>
          <w:rFonts w:ascii="Arial" w:cs="Arial" w:eastAsia="Arial" w:hAnsi="Arial"/>
          <w:sz w:val="11"/>
          <w:szCs w:val="11"/>
          <w:b w:val="1"/>
          <w:bCs w:val="1"/>
          <w:color w:val="auto"/>
        </w:rPr>
        <w:t xml:space="preserve"> Original Guarantor</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188595</wp:posOffset>
            </wp:positionV>
            <wp:extent cx="5643880" cy="50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43880" cy="50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Agreed terms</w:t>
      </w:r>
    </w:p>
    <w:p>
      <w:pPr>
        <w:spacing w:after="0" w:line="302" w:lineRule="exact"/>
        <w:rPr>
          <w:sz w:val="20"/>
          <w:szCs w:val="20"/>
          <w:color w:val="auto"/>
        </w:rPr>
      </w:pPr>
    </w:p>
    <w:p>
      <w:pPr>
        <w:ind w:left="800" w:hanging="405"/>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Interpretation</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1"/>
          <w:szCs w:val="11"/>
          <w:b w:val="1"/>
          <w:bCs w:val="1"/>
          <w:color w:val="auto"/>
        </w:rPr>
        <w:t>Definitions</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1"/>
          <w:szCs w:val="11"/>
          <w:color w:val="auto"/>
        </w:rPr>
        <w:t>In this document:</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 xml:space="preserve">AASB 16 </w:t>
      </w:r>
      <w:r>
        <w:rPr>
          <w:rFonts w:ascii="Arial" w:cs="Arial" w:eastAsia="Arial" w:hAnsi="Arial"/>
          <w:sz w:val="11"/>
          <w:szCs w:val="11"/>
          <w:color w:val="auto"/>
        </w:rPr>
        <w:t>means Accounting Standard AASB 16, issued by the Australian Accounting Standards Board under section 334 of the Corporations Act.</w:t>
      </w:r>
    </w:p>
    <w:p>
      <w:pPr>
        <w:spacing w:after="0" w:line="46" w:lineRule="exact"/>
        <w:rPr>
          <w:sz w:val="20"/>
          <w:szCs w:val="20"/>
          <w:color w:val="auto"/>
        </w:rPr>
      </w:pPr>
    </w:p>
    <w:p>
      <w:pPr>
        <w:ind w:left="820" w:right="380"/>
        <w:spacing w:after="0" w:line="247" w:lineRule="auto"/>
        <w:rPr>
          <w:sz w:val="20"/>
          <w:szCs w:val="20"/>
          <w:color w:val="auto"/>
        </w:rPr>
      </w:pPr>
      <w:r>
        <w:rPr>
          <w:rFonts w:ascii="Arial" w:cs="Arial" w:eastAsia="Arial" w:hAnsi="Arial"/>
          <w:sz w:val="11"/>
          <w:szCs w:val="11"/>
          <w:b w:val="1"/>
          <w:bCs w:val="1"/>
          <w:color w:val="auto"/>
        </w:rPr>
        <w:t xml:space="preserve">Accounting Standards </w:t>
      </w:r>
      <w:r>
        <w:rPr>
          <w:rFonts w:ascii="Arial" w:cs="Arial" w:eastAsia="Arial" w:hAnsi="Arial"/>
          <w:sz w:val="11"/>
          <w:szCs w:val="11"/>
          <w:color w:val="auto"/>
        </w:rPr>
        <w:t>means accounting principles and practices consistently applied which are generally accepted in Australia and are consistent with any</w:t>
      </w:r>
      <w:r>
        <w:rPr>
          <w:rFonts w:ascii="Arial" w:cs="Arial" w:eastAsia="Arial" w:hAnsi="Arial"/>
          <w:sz w:val="11"/>
          <w:szCs w:val="11"/>
          <w:b w:val="1"/>
          <w:bCs w:val="1"/>
          <w:color w:val="auto"/>
        </w:rPr>
        <w:t xml:space="preserve"> </w:t>
      </w:r>
      <w:r>
        <w:rPr>
          <w:rFonts w:ascii="Arial" w:cs="Arial" w:eastAsia="Arial" w:hAnsi="Arial"/>
          <w:sz w:val="11"/>
          <w:szCs w:val="11"/>
          <w:color w:val="auto"/>
        </w:rPr>
        <w:t>applicable legislation in each case as in effect on the date of this document, including instruments in force under section 334 of the Corporations Act and provisions of such instruments.</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 xml:space="preserve">Adjusted EBITDA </w:t>
      </w:r>
      <w:r>
        <w:rPr>
          <w:rFonts w:ascii="Arial" w:cs="Arial" w:eastAsia="Arial" w:hAnsi="Arial"/>
          <w:sz w:val="11"/>
          <w:szCs w:val="11"/>
          <w:color w:val="auto"/>
        </w:rPr>
        <w:t>means, for any period, EBITDA adjusted to</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include any Management Fees paid in cash</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B5082D"/>
        </w:rPr>
        <w:t>to Reading International Inc</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and</w:t>
      </w:r>
      <w:r>
        <w:rPr>
          <w:rFonts w:ascii="Arial" w:cs="Arial" w:eastAsia="Arial" w:hAnsi="Arial"/>
          <w:sz w:val="11"/>
          <w:szCs w:val="11"/>
          <w:b w:val="1"/>
          <w:bCs w:val="1"/>
          <w:color w:val="auto"/>
        </w:rPr>
        <w:t xml:space="preserve"> </w:t>
      </w:r>
      <w:r>
        <w:rPr>
          <w:rFonts w:ascii="Arial" w:cs="Arial" w:eastAsia="Arial" w:hAnsi="Arial"/>
          <w:sz w:val="11"/>
          <w:szCs w:val="11"/>
          <w:color w:val="auto"/>
        </w:rPr>
        <w:t>exclude:</w:t>
      </w:r>
    </w:p>
    <w:p>
      <w:pPr>
        <w:spacing w:after="0" w:line="52" w:lineRule="exact"/>
        <w:rPr>
          <w:sz w:val="20"/>
          <w:szCs w:val="20"/>
          <w:color w:val="auto"/>
        </w:rPr>
      </w:pPr>
    </w:p>
    <w:p>
      <w:pPr>
        <w:ind w:left="1080" w:right="560" w:hanging="280"/>
        <w:spacing w:after="0" w:line="256" w:lineRule="auto"/>
        <w:tabs>
          <w:tab w:leader="none" w:pos="10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any non-cash impairment for non-current assets included in the consolidated financial statements of the Reading Entertainment Australia Group during the relevant period;</w:t>
      </w:r>
    </w:p>
    <w:p>
      <w:pPr>
        <w:spacing w:after="0" w:line="37" w:lineRule="exact"/>
        <w:rPr>
          <w:rFonts w:ascii="Arial" w:cs="Arial" w:eastAsia="Arial" w:hAnsi="Arial"/>
          <w:sz w:val="11"/>
          <w:szCs w:val="11"/>
          <w:color w:val="auto"/>
        </w:rPr>
      </w:pPr>
    </w:p>
    <w:p>
      <w:pPr>
        <w:ind w:left="1040" w:hanging="240"/>
        <w:spacing w:after="0"/>
        <w:tabs>
          <w:tab w:leader="none" w:pos="1040" w:val="left"/>
        </w:tabs>
        <w:numPr>
          <w:ilvl w:val="0"/>
          <w:numId w:val="31"/>
        </w:numPr>
        <w:rPr>
          <w:rFonts w:ascii="Arial" w:cs="Arial" w:eastAsia="Arial" w:hAnsi="Arial"/>
          <w:sz w:val="11"/>
          <w:szCs w:val="11"/>
          <w:color w:val="auto"/>
        </w:rPr>
      </w:pPr>
      <w:r>
        <w:rPr>
          <w:rFonts w:ascii="Arial" w:cs="Arial" w:eastAsia="Arial" w:hAnsi="Arial"/>
          <w:sz w:val="11"/>
          <w:szCs w:val="11"/>
          <w:color w:val="auto"/>
        </w:rPr>
        <w:t>any net gains or losses on asset sales</w:t>
      </w:r>
    </w:p>
    <w:p>
      <w:pPr>
        <w:spacing w:after="0" w:line="76" w:lineRule="exact"/>
        <w:rPr>
          <w:rFonts w:ascii="Arial" w:cs="Arial" w:eastAsia="Arial" w:hAnsi="Arial"/>
          <w:sz w:val="11"/>
          <w:szCs w:val="11"/>
          <w:color w:val="auto"/>
        </w:rPr>
      </w:pPr>
    </w:p>
    <w:p>
      <w:pPr>
        <w:ind w:left="1040" w:hanging="240"/>
        <w:spacing w:after="0"/>
        <w:tabs>
          <w:tab w:leader="none" w:pos="1040" w:val="left"/>
        </w:tabs>
        <w:numPr>
          <w:ilvl w:val="0"/>
          <w:numId w:val="31"/>
        </w:numPr>
        <w:rPr>
          <w:rFonts w:ascii="Arial" w:cs="Arial" w:eastAsia="Arial" w:hAnsi="Arial"/>
          <w:sz w:val="11"/>
          <w:szCs w:val="11"/>
          <w:color w:val="auto"/>
        </w:rPr>
      </w:pPr>
      <w:r>
        <w:rPr>
          <w:rFonts w:ascii="Arial" w:cs="Arial" w:eastAsia="Arial" w:hAnsi="Arial"/>
          <w:sz w:val="11"/>
          <w:szCs w:val="11"/>
          <w:u w:val="single" w:color="auto"/>
          <w:color w:val="2D96D2"/>
        </w:rPr>
        <w:t>non-operating income or losses (except any interest income);</w:t>
      </w:r>
    </w:p>
    <w:p>
      <w:pPr>
        <w:spacing w:after="0" w:line="68" w:lineRule="exact"/>
        <w:rPr>
          <w:rFonts w:ascii="Arial" w:cs="Arial" w:eastAsia="Arial" w:hAnsi="Arial"/>
          <w:sz w:val="11"/>
          <w:szCs w:val="11"/>
          <w:color w:val="auto"/>
        </w:rPr>
      </w:pPr>
    </w:p>
    <w:p>
      <w:pPr>
        <w:ind w:left="1080" w:hanging="280"/>
        <w:spacing w:after="0"/>
        <w:tabs>
          <w:tab w:leader="none" w:pos="1080" w:val="left"/>
        </w:tabs>
        <w:numPr>
          <w:ilvl w:val="0"/>
          <w:numId w:val="31"/>
        </w:numPr>
        <w:rPr>
          <w:rFonts w:ascii="Arial" w:cs="Arial" w:eastAsia="Arial" w:hAnsi="Arial"/>
          <w:sz w:val="11"/>
          <w:szCs w:val="11"/>
          <w:color w:val="auto"/>
        </w:rPr>
      </w:pPr>
      <w:r>
        <w:rPr>
          <w:rFonts w:ascii="Arial" w:cs="Arial" w:eastAsia="Arial" w:hAnsi="Arial"/>
          <w:sz w:val="11"/>
          <w:szCs w:val="11"/>
          <w:u w:val="single" w:color="auto"/>
          <w:color w:val="2D96D2"/>
        </w:rPr>
        <w:t xml:space="preserve">share of profit or loss in connection with a joint venture with a person who is not a Reading Entertainment Australia Group Member </w:t>
      </w:r>
      <w:r>
        <w:rPr>
          <w:rFonts w:ascii="Arial" w:cs="Arial" w:eastAsia="Arial" w:hAnsi="Arial"/>
          <w:sz w:val="11"/>
          <w:szCs w:val="11"/>
          <w:u w:val="single" w:color="auto"/>
          <w:color w:val="B5082D"/>
        </w:rPr>
        <w:t>or associate</w:t>
      </w:r>
      <w:r>
        <w:rPr>
          <w:rFonts w:ascii="Arial" w:cs="Arial" w:eastAsia="Arial" w:hAnsi="Arial"/>
          <w:sz w:val="11"/>
          <w:szCs w:val="11"/>
          <w:color w:val="B5082D"/>
          <w:strike w:val="1"/>
        </w:rPr>
        <w:t>;</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1"/>
          <w:szCs w:val="11"/>
          <w:u w:val="single" w:color="auto"/>
          <w:color w:val="B5082D"/>
        </w:rPr>
        <w:t>payable by third parties to the extent</w:t>
      </w:r>
      <w:r>
        <w:rPr>
          <w:rFonts w:ascii="Arial" w:cs="Arial" w:eastAsia="Arial" w:hAnsi="Arial"/>
          <w:sz w:val="11"/>
          <w:szCs w:val="11"/>
          <w:color w:val="B5082D"/>
        </w:rPr>
        <w:t xml:space="preserve"> </w:t>
      </w:r>
      <w:r>
        <w:rPr>
          <w:rFonts w:ascii="Arial" w:cs="Arial" w:eastAsia="Arial" w:hAnsi="Arial"/>
          <w:sz w:val="11"/>
          <w:szCs w:val="11"/>
          <w:color w:val="B5082D"/>
          <w:strike w:val="1"/>
        </w:rPr>
        <w:t>(b)</w:t>
      </w:r>
      <w:r>
        <w:rPr>
          <w:rFonts w:ascii="Arial" w:cs="Arial" w:eastAsia="Arial" w:hAnsi="Arial"/>
          <w:sz w:val="11"/>
          <w:szCs w:val="11"/>
          <w:u w:val="single" w:color="auto"/>
          <w:color w:val="2D96D2"/>
        </w:rPr>
        <w:t>(e) accrued Management Fees,</w:t>
      </w:r>
      <w:r>
        <w:rPr>
          <w:rFonts w:ascii="Arial" w:cs="Arial" w:eastAsia="Arial" w:hAnsi="Arial"/>
          <w:sz w:val="11"/>
          <w:szCs w:val="11"/>
          <w:color w:val="B5082D"/>
        </w:rPr>
        <w:t xml:space="preserve"> </w:t>
      </w:r>
      <w:r>
        <w:rPr>
          <w:rFonts w:ascii="Arial" w:cs="Arial" w:eastAsia="Arial" w:hAnsi="Arial"/>
          <w:sz w:val="11"/>
          <w:szCs w:val="11"/>
          <w:color w:val="00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-33655</wp:posOffset>
            </wp:positionV>
            <wp:extent cx="19050" cy="50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050" cy="5080"/>
                    </a:xfrm>
                    <a:prstGeom prst="rect">
                      <a:avLst/>
                    </a:prstGeom>
                    <a:noFill/>
                  </pic:spPr>
                </pic:pic>
              </a:graphicData>
            </a:graphic>
          </wp:anchor>
        </w:drawing>
      </w:r>
    </w:p>
    <w:p>
      <w:pPr>
        <w:spacing w:after="0" w:line="4" w:lineRule="exact"/>
        <w:rPr>
          <w:sz w:val="20"/>
          <w:szCs w:val="20"/>
          <w:color w:val="auto"/>
        </w:rPr>
      </w:pPr>
    </w:p>
    <w:p>
      <w:pPr>
        <w:ind w:left="1100" w:right="460" w:hanging="277"/>
        <w:spacing w:after="0" w:line="256" w:lineRule="auto"/>
        <w:rPr>
          <w:sz w:val="20"/>
          <w:szCs w:val="20"/>
          <w:color w:val="auto"/>
        </w:rPr>
      </w:pPr>
      <w:r>
        <w:rPr>
          <w:rFonts w:ascii="Arial" w:cs="Arial" w:eastAsia="Arial" w:hAnsi="Arial"/>
          <w:sz w:val="11"/>
          <w:szCs w:val="11"/>
          <w:color w:val="B5082D"/>
          <w:strike w:val="1"/>
        </w:rPr>
        <w:t>(c)</w:t>
      </w:r>
      <w:r>
        <w:rPr>
          <w:rFonts w:ascii="Arial" w:cs="Arial" w:eastAsia="Arial" w:hAnsi="Arial"/>
          <w:sz w:val="11"/>
          <w:szCs w:val="11"/>
          <w:u w:val="single" w:color="auto"/>
          <w:color w:val="2D96D2"/>
        </w:rPr>
        <w:t>(f)</w:t>
      </w:r>
      <w:r>
        <w:rPr>
          <w:rFonts w:ascii="Arial" w:cs="Arial" w:eastAsia="Arial" w:hAnsi="Arial"/>
          <w:sz w:val="11"/>
          <w:szCs w:val="11"/>
          <w:color w:val="B5082D"/>
        </w:rPr>
        <w:t xml:space="preserve"> </w:t>
      </w:r>
      <w:r>
        <w:rPr>
          <w:rFonts w:ascii="Arial" w:cs="Arial" w:eastAsia="Arial" w:hAnsi="Arial"/>
          <w:sz w:val="11"/>
          <w:szCs w:val="11"/>
          <w:color w:val="000000"/>
        </w:rPr>
        <w:t>any net foreign exchange amounts (whether realised or unrealised) included in the consolidated financial statements of the Reading Entertainment Australia</w:t>
      </w:r>
      <w:r>
        <w:rPr>
          <w:rFonts w:ascii="Arial" w:cs="Arial" w:eastAsia="Arial" w:hAnsi="Arial"/>
          <w:sz w:val="11"/>
          <w:szCs w:val="11"/>
          <w:color w:val="B5082D"/>
        </w:rPr>
        <w:t xml:space="preserve"> </w:t>
      </w:r>
      <w:r>
        <w:rPr>
          <w:rFonts w:ascii="Arial" w:cs="Arial" w:eastAsia="Arial" w:hAnsi="Arial"/>
          <w:sz w:val="11"/>
          <w:szCs w:val="11"/>
          <w:color w:val="000000"/>
        </w:rPr>
        <w:t>Group during the relevant period.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2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080" w:type="dxa"/>
            <w:vAlign w:val="bottom"/>
          </w:tcPr>
          <w:p>
            <w:pPr>
              <w:ind w:left="3820"/>
              <w:spacing w:after="0"/>
              <w:rPr>
                <w:sz w:val="20"/>
                <w:szCs w:val="20"/>
                <w:color w:val="auto"/>
              </w:rPr>
            </w:pPr>
            <w:r>
              <w:rPr>
                <w:rFonts w:ascii="Arial" w:cs="Arial" w:eastAsia="Arial" w:hAnsi="Arial"/>
                <w:sz w:val="8"/>
                <w:szCs w:val="8"/>
                <w:color w:val="auto"/>
                <w:w w:val="97"/>
              </w:rPr>
              <w:t>page 1</w:t>
            </w:r>
          </w:p>
        </w:tc>
      </w:tr>
      <w:tr>
        <w:trPr>
          <w:trHeight w:val="94"/>
        </w:trPr>
        <w:tc>
          <w:tcPr>
            <w:tcW w:w="520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08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20" w:type="dxa"/>
            <w:vAlign w:val="bottom"/>
            <w:tcBorders>
              <w:bottom w:val="single" w:sz="8" w:color="EEEEEE"/>
            </w:tcBorders>
          </w:tcPr>
          <w:p>
            <w:pPr>
              <w:spacing w:after="0"/>
              <w:rPr>
                <w:sz w:val="18"/>
                <w:szCs w:val="18"/>
                <w:color w:val="auto"/>
              </w:rPr>
            </w:pPr>
          </w:p>
        </w:tc>
        <w:tc>
          <w:tcPr>
            <w:tcW w:w="408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69" w:name="page70"/>
    <w:bookmarkEnd w:id="69"/>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and subject to adjustment in respect of any further extraordinary items with the Bank’s written consent.</w:t>
      </w:r>
    </w:p>
    <w:p>
      <w:pPr>
        <w:spacing w:after="0" w:line="40" w:lineRule="exact"/>
        <w:rPr>
          <w:sz w:val="20"/>
          <w:szCs w:val="20"/>
          <w:color w:val="auto"/>
        </w:rPr>
      </w:pPr>
    </w:p>
    <w:p>
      <w:pPr>
        <w:ind w:left="840" w:right="300"/>
        <w:spacing w:after="0" w:line="268" w:lineRule="auto"/>
        <w:rPr>
          <w:sz w:val="20"/>
          <w:szCs w:val="20"/>
          <w:color w:val="auto"/>
        </w:rPr>
      </w:pPr>
      <w:r>
        <w:rPr>
          <w:rFonts w:ascii="Arial" w:cs="Arial" w:eastAsia="Arial" w:hAnsi="Arial"/>
          <w:sz w:val="11"/>
          <w:szCs w:val="11"/>
          <w:b w:val="1"/>
          <w:bCs w:val="1"/>
          <w:color w:val="auto"/>
        </w:rPr>
        <w:t xml:space="preserve">Advance </w:t>
      </w:r>
      <w:r>
        <w:rPr>
          <w:rFonts w:ascii="Arial" w:cs="Arial" w:eastAsia="Arial" w:hAnsi="Arial"/>
          <w:sz w:val="11"/>
          <w:szCs w:val="11"/>
          <w:color w:val="auto"/>
        </w:rPr>
        <w:t>means the principal amount of an advance made under the Corporate Markets Loan Facility or, where appropriate, requested under the Corporate Markets</w:t>
      </w:r>
      <w:r>
        <w:rPr>
          <w:rFonts w:ascii="Arial" w:cs="Arial" w:eastAsia="Arial" w:hAnsi="Arial"/>
          <w:sz w:val="11"/>
          <w:szCs w:val="11"/>
          <w:b w:val="1"/>
          <w:bCs w:val="1"/>
          <w:color w:val="auto"/>
        </w:rPr>
        <w:t xml:space="preserve"> </w:t>
      </w:r>
      <w:r>
        <w:rPr>
          <w:rFonts w:ascii="Arial" w:cs="Arial" w:eastAsia="Arial" w:hAnsi="Arial"/>
          <w:sz w:val="11"/>
          <w:szCs w:val="11"/>
          <w:color w:val="auto"/>
        </w:rPr>
        <w:t>Loan Facility.</w:t>
      </w:r>
    </w:p>
    <w:p>
      <w:pPr>
        <w:spacing w:after="0" w:line="10"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 xml:space="preserve">Aggregate Amount </w:t>
      </w:r>
      <w:r>
        <w:rPr>
          <w:rFonts w:ascii="Arial" w:cs="Arial" w:eastAsia="Arial" w:hAnsi="Arial"/>
          <w:sz w:val="11"/>
          <w:szCs w:val="11"/>
          <w:color w:val="auto"/>
        </w:rPr>
        <w:t>means, in relation to a Drawing, the aggregate of the Face Values of all Bank Guarantees comprising that Drawing.</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Amendment Deed </w:t>
      </w:r>
      <w:r>
        <w:rPr>
          <w:rFonts w:ascii="Arial" w:cs="Arial" w:eastAsia="Arial" w:hAnsi="Arial"/>
          <w:sz w:val="11"/>
          <w:szCs w:val="11"/>
          <w:color w:val="auto"/>
        </w:rPr>
        <w:t>means the document entitled ‘Amendment Deed’ executed in March 2019 between the Bank and the Transaction Parties.</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 xml:space="preserve">Annual Compliance Certificate </w:t>
      </w:r>
      <w:r>
        <w:rPr>
          <w:rFonts w:ascii="Arial" w:cs="Arial" w:eastAsia="Arial" w:hAnsi="Arial"/>
          <w:sz w:val="11"/>
          <w:szCs w:val="11"/>
          <w:color w:val="auto"/>
        </w:rPr>
        <w:t>means, in relation to a Financial Year, a certificate substantially in the form of</w:t>
      </w:r>
      <w:r>
        <w:rPr>
          <w:rFonts w:ascii="Arial" w:cs="Arial" w:eastAsia="Arial" w:hAnsi="Arial"/>
          <w:sz w:val="11"/>
          <w:szCs w:val="11"/>
          <w:b w:val="1"/>
          <w:bCs w:val="1"/>
          <w:color w:val="auto"/>
        </w:rPr>
        <w:t xml:space="preserve"> schedule 9</w:t>
      </w:r>
      <w:r>
        <w:rPr>
          <w:rFonts w:ascii="Arial" w:cs="Arial" w:eastAsia="Arial" w:hAnsi="Arial"/>
          <w:sz w:val="11"/>
          <w:szCs w:val="11"/>
          <w:color w:val="auto"/>
        </w:rPr>
        <w:t>.</w:t>
      </w:r>
    </w:p>
    <w:p>
      <w:pPr>
        <w:spacing w:after="0" w:line="30" w:lineRule="exact"/>
        <w:rPr>
          <w:sz w:val="20"/>
          <w:szCs w:val="20"/>
          <w:color w:val="auto"/>
        </w:rPr>
      </w:pPr>
    </w:p>
    <w:p>
      <w:pPr>
        <w:jc w:val="both"/>
        <w:ind w:left="820" w:right="120"/>
        <w:spacing w:after="0" w:line="268" w:lineRule="auto"/>
        <w:rPr>
          <w:sz w:val="20"/>
          <w:szCs w:val="20"/>
          <w:color w:val="auto"/>
        </w:rPr>
      </w:pPr>
      <w:r>
        <w:rPr>
          <w:rFonts w:ascii="Arial" w:cs="Arial" w:eastAsia="Arial" w:hAnsi="Arial"/>
          <w:sz w:val="11"/>
          <w:szCs w:val="11"/>
          <w:b w:val="1"/>
          <w:bCs w:val="1"/>
          <w:color w:val="auto"/>
        </w:rPr>
        <w:t xml:space="preserve">Approved Valuer </w:t>
      </w:r>
      <w:r>
        <w:rPr>
          <w:rFonts w:ascii="Arial" w:cs="Arial" w:eastAsia="Arial" w:hAnsi="Arial"/>
          <w:sz w:val="11"/>
          <w:szCs w:val="11"/>
          <w:color w:val="auto"/>
        </w:rPr>
        <w:t>means a company or firm of duly qualified and licensed real estate valuers acceptable to the Bank in all respects and instructed by (or with the</w:t>
      </w:r>
      <w:r>
        <w:rPr>
          <w:rFonts w:ascii="Arial" w:cs="Arial" w:eastAsia="Arial" w:hAnsi="Arial"/>
          <w:sz w:val="11"/>
          <w:szCs w:val="11"/>
          <w:b w:val="1"/>
          <w:bCs w:val="1"/>
          <w:color w:val="auto"/>
        </w:rPr>
        <w:t xml:space="preserve"> </w:t>
      </w:r>
      <w:r>
        <w:rPr>
          <w:rFonts w:ascii="Arial" w:cs="Arial" w:eastAsia="Arial" w:hAnsi="Arial"/>
          <w:sz w:val="11"/>
          <w:szCs w:val="11"/>
          <w:color w:val="auto"/>
        </w:rPr>
        <w:t>approval of) the Bank.</w:t>
      </w:r>
    </w:p>
    <w:p>
      <w:pPr>
        <w:spacing w:after="0" w:line="10"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 xml:space="preserve">Attorney </w:t>
      </w:r>
      <w:r>
        <w:rPr>
          <w:rFonts w:ascii="Arial" w:cs="Arial" w:eastAsia="Arial" w:hAnsi="Arial"/>
          <w:sz w:val="11"/>
          <w:szCs w:val="11"/>
          <w:color w:val="auto"/>
        </w:rPr>
        <w:t>means any attorney appointed under this document and any sub- attorney appointed by an Attorney.</w:t>
      </w:r>
    </w:p>
    <w:p>
      <w:pPr>
        <w:spacing w:after="0" w:line="46" w:lineRule="exact"/>
        <w:rPr>
          <w:sz w:val="20"/>
          <w:szCs w:val="20"/>
          <w:color w:val="auto"/>
        </w:rPr>
      </w:pPr>
    </w:p>
    <w:p>
      <w:pPr>
        <w:ind w:left="820" w:right="400"/>
        <w:spacing w:after="0" w:line="268" w:lineRule="auto"/>
        <w:rPr>
          <w:sz w:val="20"/>
          <w:szCs w:val="20"/>
          <w:color w:val="auto"/>
        </w:rPr>
      </w:pPr>
      <w:r>
        <w:rPr>
          <w:rFonts w:ascii="Arial" w:cs="Arial" w:eastAsia="Arial" w:hAnsi="Arial"/>
          <w:sz w:val="11"/>
          <w:szCs w:val="11"/>
          <w:b w:val="1"/>
          <w:bCs w:val="1"/>
          <w:color w:val="B5082D"/>
          <w:strike w:val="1"/>
        </w:rPr>
        <w:t xml:space="preserve">Auburn Property </w:t>
      </w:r>
      <w:r>
        <w:rPr>
          <w:rFonts w:ascii="Arial" w:cs="Arial" w:eastAsia="Arial" w:hAnsi="Arial"/>
          <w:sz w:val="11"/>
          <w:szCs w:val="11"/>
          <w:color w:val="B5082D"/>
          <w:strike w:val="1"/>
        </w:rPr>
        <w:t>means the land and improvements known as Red Yard Entertainment Centre, 100 Parramatta Road, Auburn New South Wales and described in</w:t>
      </w:r>
      <w:r>
        <w:rPr>
          <w:rFonts w:ascii="Arial" w:cs="Arial" w:eastAsia="Arial" w:hAnsi="Arial"/>
          <w:sz w:val="11"/>
          <w:szCs w:val="11"/>
          <w:b w:val="1"/>
          <w:bCs w:val="1"/>
          <w:color w:val="B5082D"/>
          <w:strike w:val="1"/>
        </w:rPr>
        <w:t xml:space="preserve"> </w:t>
      </w:r>
      <w:r>
        <w:rPr>
          <w:rFonts w:ascii="Arial" w:cs="Arial" w:eastAsia="Arial" w:hAnsi="Arial"/>
          <w:sz w:val="11"/>
          <w:szCs w:val="11"/>
          <w:color w:val="B5082D"/>
          <w:strike w:val="1"/>
        </w:rPr>
        <w:t>certificate of title 202/1039922.</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1"/>
          <w:szCs w:val="11"/>
          <w:b w:val="1"/>
          <w:bCs w:val="1"/>
          <w:u w:val="single" w:color="auto"/>
          <w:color w:val="2D96D2"/>
        </w:rPr>
        <w:t xml:space="preserve">August 2023 Amendment Date </w:t>
      </w:r>
      <w:r>
        <w:rPr>
          <w:rFonts w:ascii="Arial" w:cs="Arial" w:eastAsia="Arial" w:hAnsi="Arial"/>
          <w:sz w:val="11"/>
          <w:szCs w:val="11"/>
          <w:u w:val="single" w:color="auto"/>
          <w:color w:val="2D96D2"/>
        </w:rPr>
        <w:t>has the meaning given to the term ‘ Effective</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1"/>
          <w:szCs w:val="11"/>
          <w:color w:val="2D96D2"/>
        </w:rPr>
        <w:t>D ate’ i n the August 2023 Amendment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-10160</wp:posOffset>
            </wp:positionV>
            <wp:extent cx="1447800" cy="50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47800" cy="5080"/>
                    </a:xfrm>
                    <a:prstGeom prst="rect">
                      <a:avLst/>
                    </a:prstGeom>
                    <a:noFill/>
                  </pic:spPr>
                </pic:pic>
              </a:graphicData>
            </a:graphic>
          </wp:anchor>
        </w:drawing>
      </w:r>
    </w:p>
    <w:p>
      <w:pPr>
        <w:spacing w:after="0" w:line="35" w:lineRule="exact"/>
        <w:rPr>
          <w:sz w:val="20"/>
          <w:szCs w:val="20"/>
          <w:color w:val="auto"/>
        </w:rPr>
      </w:pPr>
    </w:p>
    <w:p>
      <w:pPr>
        <w:ind w:left="820" w:right="440"/>
        <w:spacing w:after="0" w:line="268" w:lineRule="auto"/>
        <w:rPr>
          <w:sz w:val="20"/>
          <w:szCs w:val="20"/>
          <w:color w:val="auto"/>
        </w:rPr>
      </w:pPr>
      <w:r>
        <w:rPr>
          <w:rFonts w:ascii="Arial" w:cs="Arial" w:eastAsia="Arial" w:hAnsi="Arial"/>
          <w:sz w:val="11"/>
          <w:szCs w:val="11"/>
          <w:b w:val="1"/>
          <w:bCs w:val="1"/>
          <w:u w:val="single" w:color="auto"/>
          <w:color w:val="2D96D2"/>
        </w:rPr>
        <w:t xml:space="preserve">August 2023 Amendment Deed </w:t>
      </w:r>
      <w:r>
        <w:rPr>
          <w:rFonts w:ascii="Arial" w:cs="Arial" w:eastAsia="Arial" w:hAnsi="Arial"/>
          <w:sz w:val="11"/>
          <w:szCs w:val="11"/>
          <w:u w:val="single" w:color="auto"/>
          <w:color w:val="2D96D2"/>
        </w:rPr>
        <w:t>means the Amendment Deed dated on or about August 2023 between the Borrower, each Guarantor and the Bank, under which</w:t>
      </w:r>
      <w:r>
        <w:rPr>
          <w:rFonts w:ascii="Arial" w:cs="Arial" w:eastAsia="Arial" w:hAnsi="Arial"/>
          <w:sz w:val="11"/>
          <w:szCs w:val="11"/>
          <w:b w:val="1"/>
          <w:bCs w:val="1"/>
          <w:u w:val="single" w:color="auto"/>
          <w:color w:val="2D96D2"/>
        </w:rPr>
        <w:t xml:space="preserve"> </w:t>
      </w:r>
      <w:r>
        <w:rPr>
          <w:rFonts w:ascii="Arial" w:cs="Arial" w:eastAsia="Arial" w:hAnsi="Arial"/>
          <w:sz w:val="11"/>
          <w:szCs w:val="11"/>
          <w:u w:val="single" w:color="auto"/>
          <w:color w:val="2D96D2"/>
        </w:rPr>
        <w:t>this document is amended.</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Authorisation </w:t>
      </w:r>
      <w:r>
        <w:rPr>
          <w:rFonts w:ascii="Arial" w:cs="Arial" w:eastAsia="Arial" w:hAnsi="Arial"/>
          <w:sz w:val="11"/>
          <w:szCs w:val="11"/>
          <w:color w:val="auto"/>
        </w:rPr>
        <w:t>includes any authorisation, consent, licence, permission, approval or exemption from any Government Body. If a Government Body could</w:t>
      </w:r>
    </w:p>
    <w:p>
      <w:pPr>
        <w:spacing w:after="0" w:line="8" w:lineRule="exact"/>
        <w:rPr>
          <w:sz w:val="20"/>
          <w:szCs w:val="20"/>
          <w:color w:val="auto"/>
        </w:rPr>
      </w:pPr>
    </w:p>
    <w:p>
      <w:pPr>
        <w:jc w:val="both"/>
        <w:ind w:left="840" w:right="140"/>
        <w:spacing w:after="0" w:line="236" w:lineRule="auto"/>
        <w:rPr>
          <w:sz w:val="20"/>
          <w:szCs w:val="20"/>
          <w:color w:val="auto"/>
        </w:rPr>
      </w:pPr>
      <w:r>
        <w:rPr>
          <w:rFonts w:ascii="Arial" w:cs="Arial" w:eastAsia="Arial" w:hAnsi="Arial"/>
          <w:sz w:val="11"/>
          <w:szCs w:val="11"/>
          <w:color w:val="auto"/>
        </w:rPr>
        <w:t>prohibit anything being done in connection with any matter or otherwise intervene within a specified time after notice has been given to it or any document lodged or filed with it in connection with the matter, the relevant matter will not be taken to have been authorised until the specified time limit has expired without the Government Body taking any relevant action.</w:t>
      </w:r>
    </w:p>
    <w:p>
      <w:pPr>
        <w:spacing w:after="0" w:line="25"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 xml:space="preserve">Authorised Representative </w:t>
      </w:r>
      <w:r>
        <w:rPr>
          <w:rFonts w:ascii="Arial" w:cs="Arial" w:eastAsia="Arial" w:hAnsi="Arial"/>
          <w:sz w:val="11"/>
          <w:szCs w:val="11"/>
          <w:color w:val="auto"/>
        </w:rPr>
        <w:t>means, in relation to any party to this document, a person with the right to act as the agent of that party for the</w:t>
      </w:r>
    </w:p>
    <w:p>
      <w:pPr>
        <w:spacing w:after="0" w:line="8" w:lineRule="exact"/>
        <w:rPr>
          <w:sz w:val="20"/>
          <w:szCs w:val="20"/>
          <w:color w:val="auto"/>
        </w:rPr>
      </w:pPr>
    </w:p>
    <w:p>
      <w:pPr>
        <w:ind w:left="820" w:right="260"/>
        <w:spacing w:after="0" w:line="236" w:lineRule="auto"/>
        <w:rPr>
          <w:sz w:val="20"/>
          <w:szCs w:val="20"/>
          <w:color w:val="auto"/>
        </w:rPr>
      </w:pPr>
      <w:r>
        <w:rPr>
          <w:rFonts w:ascii="Arial" w:cs="Arial" w:eastAsia="Arial" w:hAnsi="Arial"/>
          <w:sz w:val="11"/>
          <w:szCs w:val="11"/>
          <w:color w:val="auto"/>
        </w:rPr>
        <w:t>purposes of this document. It includes a director or company secretary of that party (if it is a corporation) and, in the case of the Bank, an employee of the Bank whose title contains the word “manager”, “director”, “associate” or a similar term and a lawyer for the Bank. It also includes a person appointed by a party as an Authorised Representative of that party whose appointment is notified by the appointor to the other party in a notice which contains the specimen signature of the appointee.</w:t>
      </w:r>
    </w:p>
    <w:p>
      <w:pPr>
        <w:spacing w:after="0" w:line="33"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 xml:space="preserve">Availability Period </w:t>
      </w:r>
      <w:r>
        <w:rPr>
          <w:rFonts w:ascii="Arial" w:cs="Arial" w:eastAsia="Arial" w:hAnsi="Arial"/>
          <w:sz w:val="11"/>
          <w:szCs w:val="11"/>
          <w:color w:val="auto"/>
        </w:rPr>
        <w:t>means in respect of each Facility, the period beginning on the date on which the conditions precedent are satisfied or waived by the Bank</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2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080" w:type="dxa"/>
            <w:vAlign w:val="bottom"/>
          </w:tcPr>
          <w:p>
            <w:pPr>
              <w:ind w:left="3820"/>
              <w:spacing w:after="0"/>
              <w:rPr>
                <w:sz w:val="20"/>
                <w:szCs w:val="20"/>
                <w:color w:val="auto"/>
              </w:rPr>
            </w:pPr>
            <w:r>
              <w:rPr>
                <w:rFonts w:ascii="Arial" w:cs="Arial" w:eastAsia="Arial" w:hAnsi="Arial"/>
                <w:sz w:val="8"/>
                <w:szCs w:val="8"/>
                <w:color w:val="auto"/>
                <w:w w:val="97"/>
              </w:rPr>
              <w:t>page 2</w:t>
            </w:r>
          </w:p>
        </w:tc>
      </w:tr>
      <w:tr>
        <w:trPr>
          <w:trHeight w:val="94"/>
        </w:trPr>
        <w:tc>
          <w:tcPr>
            <w:tcW w:w="520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08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20" w:type="dxa"/>
            <w:vAlign w:val="bottom"/>
            <w:tcBorders>
              <w:bottom w:val="single" w:sz="8" w:color="EEEEEE"/>
            </w:tcBorders>
          </w:tcPr>
          <w:p>
            <w:pPr>
              <w:spacing w:after="0"/>
              <w:rPr>
                <w:sz w:val="18"/>
                <w:szCs w:val="18"/>
                <w:color w:val="auto"/>
              </w:rPr>
            </w:pPr>
          </w:p>
        </w:tc>
        <w:tc>
          <w:tcPr>
            <w:tcW w:w="408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70" w:name="page71"/>
    <w:bookmarkEnd w:id="70"/>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20"/>
        <w:spacing w:after="0"/>
        <w:rPr>
          <w:sz w:val="20"/>
          <w:szCs w:val="20"/>
          <w:color w:val="auto"/>
        </w:rPr>
      </w:pPr>
      <w:r>
        <w:rPr>
          <w:rFonts w:ascii="Arial" w:cs="Arial" w:eastAsia="Arial" w:hAnsi="Arial"/>
          <w:sz w:val="11"/>
          <w:szCs w:val="11"/>
          <w:color w:val="auto"/>
        </w:rPr>
        <w:t>in accordance with the Transaction Documents and ending on the Termination Date.</w:t>
      </w:r>
    </w:p>
    <w:p>
      <w:pPr>
        <w:spacing w:after="0" w:line="40"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 xml:space="preserve">Available Commitment </w:t>
      </w:r>
      <w:r>
        <w:rPr>
          <w:rFonts w:ascii="Arial" w:cs="Arial" w:eastAsia="Arial" w:hAnsi="Arial"/>
          <w:sz w:val="11"/>
          <w:szCs w:val="11"/>
          <w:color w:val="auto"/>
        </w:rPr>
        <w:t>means in respect of a Facility, the Facility Limit less the Outstanding Accommodation relating to that Facility.</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Bank Guarantee </w:t>
      </w:r>
      <w:r>
        <w:rPr>
          <w:rFonts w:ascii="Arial" w:cs="Arial" w:eastAsia="Arial" w:hAnsi="Arial"/>
          <w:sz w:val="11"/>
          <w:szCs w:val="11"/>
          <w:color w:val="auto"/>
        </w:rPr>
        <w:t>means each bank guarantee issued (or deemed to have been issued) in accordance with this document.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Bank Guarantee Facility </w:t>
      </w:r>
      <w:r>
        <w:rPr>
          <w:rFonts w:ascii="Arial" w:cs="Arial" w:eastAsia="Arial" w:hAnsi="Arial"/>
          <w:sz w:val="11"/>
          <w:szCs w:val="11"/>
          <w:color w:val="auto"/>
        </w:rPr>
        <w:t>means the Facility described as such in</w:t>
      </w:r>
      <w:r>
        <w:rPr>
          <w:rFonts w:ascii="Arial" w:cs="Arial" w:eastAsia="Arial" w:hAnsi="Arial"/>
          <w:sz w:val="11"/>
          <w:szCs w:val="11"/>
          <w:b w:val="1"/>
          <w:bCs w:val="1"/>
          <w:color w:val="auto"/>
        </w:rPr>
        <w:t xml:space="preserve"> schedule 2</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and granted pursuant to </w:t>
      </w:r>
      <w:r>
        <w:rPr>
          <w:rFonts w:ascii="Arial" w:cs="Arial" w:eastAsia="Arial" w:hAnsi="Arial"/>
          <w:sz w:val="11"/>
          <w:szCs w:val="11"/>
          <w:b w:val="1"/>
          <w:bCs w:val="1"/>
          <w:color w:val="auto"/>
        </w:rPr>
        <w:t>clause 4.1(a)(ii)</w:t>
      </w:r>
      <w:r>
        <w:rPr>
          <w:rFonts w:ascii="Arial" w:cs="Arial" w:eastAsia="Arial" w:hAnsi="Arial"/>
          <w:sz w:val="11"/>
          <w:szCs w:val="11"/>
          <w:color w:val="auto"/>
        </w:rPr>
        <w:t>.</w:t>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B5082D"/>
          <w:strike w:val="1"/>
        </w:rPr>
        <w:t xml:space="preserve">Bank Guarantee Margin </w:t>
      </w:r>
      <w:r>
        <w:rPr>
          <w:rFonts w:ascii="Arial" w:cs="Arial" w:eastAsia="Arial" w:hAnsi="Arial"/>
          <w:sz w:val="11"/>
          <w:szCs w:val="11"/>
          <w:color w:val="B5082D"/>
          <w:strike w:val="1"/>
        </w:rPr>
        <w:t>means, in respect of each Bank Guarantee:</w:t>
      </w:r>
    </w:p>
    <w:p>
      <w:pPr>
        <w:spacing w:after="0" w:line="58" w:lineRule="exact"/>
        <w:rPr>
          <w:sz w:val="20"/>
          <w:szCs w:val="20"/>
          <w:color w:val="auto"/>
        </w:rPr>
      </w:pPr>
    </w:p>
    <w:p>
      <w:pPr>
        <w:ind w:left="1100" w:hanging="270"/>
        <w:spacing w:after="0"/>
        <w:tabs>
          <w:tab w:leader="none" w:pos="1100" w:val="left"/>
        </w:tabs>
        <w:numPr>
          <w:ilvl w:val="0"/>
          <w:numId w:val="32"/>
        </w:numPr>
        <w:rPr>
          <w:rFonts w:ascii="Arial" w:cs="Arial" w:eastAsia="Arial" w:hAnsi="Arial"/>
          <w:sz w:val="11"/>
          <w:szCs w:val="11"/>
          <w:color w:val="auto"/>
          <w:strike w:val="1"/>
        </w:rPr>
      </w:pPr>
      <w:r>
        <w:rPr>
          <w:rFonts w:ascii="Arial" w:cs="Arial" w:eastAsia="Arial" w:hAnsi="Arial"/>
          <w:sz w:val="11"/>
          <w:szCs w:val="11"/>
          <w:color w:val="B5082D"/>
          <w:strike w:val="1"/>
        </w:rPr>
        <w:t>prior to the ‘Variati on D ate’ unde r the Restatement Deed, 2.35% per annum;</w:t>
      </w:r>
    </w:p>
    <w:p>
      <w:pPr>
        <w:spacing w:after="0" w:line="40" w:lineRule="exact"/>
        <w:rPr>
          <w:rFonts w:ascii="Arial" w:cs="Arial" w:eastAsia="Arial" w:hAnsi="Arial"/>
          <w:sz w:val="11"/>
          <w:szCs w:val="11"/>
          <w:color w:val="auto"/>
          <w:strike w:val="1"/>
        </w:rPr>
      </w:pPr>
    </w:p>
    <w:p>
      <w:pPr>
        <w:ind w:left="1100" w:hanging="270"/>
        <w:spacing w:after="0"/>
        <w:tabs>
          <w:tab w:leader="none" w:pos="1100" w:val="left"/>
        </w:tabs>
        <w:numPr>
          <w:ilvl w:val="0"/>
          <w:numId w:val="32"/>
        </w:numPr>
        <w:rPr>
          <w:rFonts w:ascii="Arial" w:cs="Arial" w:eastAsia="Arial" w:hAnsi="Arial"/>
          <w:sz w:val="11"/>
          <w:szCs w:val="11"/>
          <w:color w:val="auto"/>
          <w:strike w:val="1"/>
        </w:rPr>
      </w:pPr>
      <w:r>
        <w:rPr>
          <w:rFonts w:ascii="Arial" w:cs="Arial" w:eastAsia="Arial" w:hAnsi="Arial"/>
          <w:sz w:val="11"/>
          <w:szCs w:val="11"/>
          <w:color w:val="B5082D"/>
          <w:strike w:val="1"/>
        </w:rPr>
        <w:t xml:space="preserve">on and from the first services fee charge date (to be determined in accordance with </w:t>
      </w:r>
      <w:r>
        <w:rPr>
          <w:rFonts w:ascii="Arial" w:cs="Arial" w:eastAsia="Arial" w:hAnsi="Arial"/>
          <w:sz w:val="11"/>
          <w:szCs w:val="11"/>
          <w:b w:val="1"/>
          <w:bCs w:val="1"/>
          <w:color w:val="B5082D"/>
          <w:strike w:val="1"/>
        </w:rPr>
        <w:t>clause 9.1(e)</w:t>
      </w:r>
      <w:r>
        <w:rPr>
          <w:rFonts w:ascii="Arial" w:cs="Arial" w:eastAsia="Arial" w:hAnsi="Arial"/>
          <w:sz w:val="11"/>
          <w:szCs w:val="11"/>
          <w:color w:val="B5082D"/>
          <w:strike w:val="1"/>
        </w:rPr>
        <w:t>) following the ‘Vari ation D ate’ under th e Restatement Deed</w:t>
      </w:r>
    </w:p>
    <w:p>
      <w:pPr>
        <w:spacing w:after="0" w:line="8" w:lineRule="exact"/>
        <w:rPr>
          <w:sz w:val="20"/>
          <w:szCs w:val="20"/>
          <w:color w:val="auto"/>
        </w:rPr>
      </w:pPr>
    </w:p>
    <w:p>
      <w:pPr>
        <w:ind w:left="1100"/>
        <w:spacing w:after="0"/>
        <w:tabs>
          <w:tab w:leader="none" w:pos="3700" w:val="left"/>
        </w:tabs>
        <w:rPr>
          <w:sz w:val="20"/>
          <w:szCs w:val="20"/>
          <w:color w:val="auto"/>
        </w:rPr>
      </w:pPr>
      <w:r>
        <w:rPr>
          <w:rFonts w:ascii="Arial" w:cs="Arial" w:eastAsia="Arial" w:hAnsi="Arial"/>
          <w:sz w:val="11"/>
          <w:szCs w:val="11"/>
          <w:color w:val="B5082D"/>
          <w:strike w:val="1"/>
        </w:rPr>
        <w:t>until the ‘ Amendment Date’ under the Amendment</w:t>
        <w:tab/>
        <w:t>Deed, 1.90% per annum; and</w:t>
      </w:r>
    </w:p>
    <w:p>
      <w:pPr>
        <w:spacing w:after="0" w:line="32" w:lineRule="exact"/>
        <w:rPr>
          <w:sz w:val="20"/>
          <w:szCs w:val="20"/>
          <w:color w:val="auto"/>
        </w:rPr>
      </w:pPr>
    </w:p>
    <w:p>
      <w:pPr>
        <w:ind w:left="1100" w:right="1060" w:hanging="259"/>
        <w:spacing w:after="0" w:line="268" w:lineRule="auto"/>
        <w:tabs>
          <w:tab w:leader="none" w:pos="1080" w:val="left"/>
        </w:tabs>
        <w:rPr>
          <w:sz w:val="20"/>
          <w:szCs w:val="20"/>
          <w:color w:val="auto"/>
        </w:rPr>
      </w:pPr>
      <w:r>
        <w:rPr>
          <w:rFonts w:ascii="Arial" w:cs="Arial" w:eastAsia="Arial" w:hAnsi="Arial"/>
          <w:sz w:val="11"/>
          <w:szCs w:val="11"/>
          <w:color w:val="auto"/>
          <w:strike w:val="1"/>
        </w:rPr>
        <w:t>(c)</w:t>
      </w:r>
      <w:r>
        <w:rPr>
          <w:rFonts w:ascii="Arial" w:cs="Arial" w:eastAsia="Arial" w:hAnsi="Arial"/>
          <w:sz w:val="11"/>
          <w:szCs w:val="11"/>
          <w:color w:val="B5082D"/>
          <w:strike w:val="1"/>
        </w:rPr>
        <w:tab/>
        <w:t xml:space="preserve">on and from the first services fee charge date (to be determined in accordance with </w:t>
      </w:r>
      <w:r>
        <w:rPr>
          <w:rFonts w:ascii="Arial" w:cs="Arial" w:eastAsia="Arial" w:hAnsi="Arial"/>
          <w:sz w:val="11"/>
          <w:szCs w:val="11"/>
          <w:b w:val="1"/>
          <w:bCs w:val="1"/>
          <w:color w:val="B5082D"/>
          <w:strike w:val="1"/>
        </w:rPr>
        <w:t>clause 9.1(e)</w:t>
      </w:r>
      <w:r>
        <w:rPr>
          <w:rFonts w:ascii="Arial" w:cs="Arial" w:eastAsia="Arial" w:hAnsi="Arial"/>
          <w:sz w:val="11"/>
          <w:szCs w:val="11"/>
          <w:color w:val="B5082D"/>
          <w:strike w:val="1"/>
        </w:rPr>
        <w:t>) fol l ow ing the ‘Amendment Date’ under the Amendment Deed, 1.85% per annum.</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Base Rate </w:t>
      </w:r>
      <w:r>
        <w:rPr>
          <w:rFonts w:ascii="Arial" w:cs="Arial" w:eastAsia="Arial" w:hAnsi="Arial"/>
          <w:sz w:val="11"/>
          <w:szCs w:val="11"/>
          <w:color w:val="auto"/>
        </w:rPr>
        <w:t>means, in relation to a Pricing Period:</w:t>
      </w:r>
    </w:p>
    <w:p>
      <w:pPr>
        <w:spacing w:after="0" w:line="58" w:lineRule="exact"/>
        <w:rPr>
          <w:sz w:val="20"/>
          <w:szCs w:val="20"/>
          <w:color w:val="auto"/>
        </w:rPr>
      </w:pPr>
    </w:p>
    <w:p>
      <w:pPr>
        <w:ind w:left="1100" w:right="1280" w:hanging="270"/>
        <w:spacing w:after="0" w:line="235" w:lineRule="auto"/>
        <w:tabs>
          <w:tab w:leader="none" w:pos="1100"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rate (expressed as a percentage yield per annum to maturity, and not being less than zero) being the arithmetic average (rounded up to the nearest four decimal places) of the buying rates published at or about</w:t>
      </w:r>
    </w:p>
    <w:p>
      <w:pPr>
        <w:ind w:left="1100" w:right="400"/>
        <w:spacing w:after="0" w:line="241" w:lineRule="auto"/>
        <w:rPr>
          <w:rFonts w:ascii="Arial" w:cs="Arial" w:eastAsia="Arial" w:hAnsi="Arial"/>
          <w:sz w:val="11"/>
          <w:szCs w:val="11"/>
          <w:color w:val="auto"/>
        </w:rPr>
      </w:pPr>
      <w:r>
        <w:rPr>
          <w:rFonts w:ascii="Arial" w:cs="Arial" w:eastAsia="Arial" w:hAnsi="Arial"/>
          <w:sz w:val="11"/>
          <w:szCs w:val="11"/>
          <w:color w:val="auto"/>
        </w:rPr>
        <w:t>10.15 am on the first Business Day of the Pricing Period on the Reuters Screen under the heading “BBSY” for Bills with a tenor as nearly as possible equal to that Pricing Period; or</w:t>
      </w:r>
    </w:p>
    <w:p>
      <w:pPr>
        <w:spacing w:after="0" w:line="37" w:lineRule="exact"/>
        <w:rPr>
          <w:rFonts w:ascii="Arial" w:cs="Arial" w:eastAsia="Arial" w:hAnsi="Arial"/>
          <w:sz w:val="11"/>
          <w:szCs w:val="11"/>
          <w:color w:val="auto"/>
        </w:rPr>
      </w:pPr>
    </w:p>
    <w:p>
      <w:pPr>
        <w:ind w:left="1100" w:hanging="270"/>
        <w:spacing w:after="0"/>
        <w:tabs>
          <w:tab w:leader="none" w:pos="1100" w:val="left"/>
        </w:tabs>
        <w:numPr>
          <w:ilvl w:val="0"/>
          <w:numId w:val="33"/>
        </w:numPr>
        <w:rPr>
          <w:rFonts w:ascii="Arial" w:cs="Arial" w:eastAsia="Arial" w:hAnsi="Arial"/>
          <w:sz w:val="11"/>
          <w:szCs w:val="11"/>
          <w:color w:val="auto"/>
        </w:rPr>
      </w:pPr>
      <w:r>
        <w:rPr>
          <w:rFonts w:ascii="Arial" w:cs="Arial" w:eastAsia="Arial" w:hAnsi="Arial"/>
          <w:sz w:val="11"/>
          <w:szCs w:val="11"/>
          <w:color w:val="auto"/>
        </w:rPr>
        <w:t>if:</w:t>
      </w:r>
    </w:p>
    <w:p>
      <w:pPr>
        <w:spacing w:after="0" w:line="76" w:lineRule="exact"/>
        <w:rPr>
          <w:rFonts w:ascii="Arial" w:cs="Arial" w:eastAsia="Arial" w:hAnsi="Arial"/>
          <w:sz w:val="11"/>
          <w:szCs w:val="11"/>
          <w:color w:val="auto"/>
        </w:rPr>
      </w:pPr>
    </w:p>
    <w:p>
      <w:pPr>
        <w:ind w:left="1380" w:hanging="272"/>
        <w:spacing w:after="0"/>
        <w:tabs>
          <w:tab w:leader="none" w:pos="1380" w:val="left"/>
        </w:tabs>
        <w:numPr>
          <w:ilvl w:val="1"/>
          <w:numId w:val="33"/>
        </w:numPr>
        <w:rPr>
          <w:rFonts w:ascii="Arial" w:cs="Arial" w:eastAsia="Arial" w:hAnsi="Arial"/>
          <w:sz w:val="11"/>
          <w:szCs w:val="11"/>
          <w:color w:val="auto"/>
        </w:rPr>
      </w:pPr>
      <w:r>
        <w:rPr>
          <w:rFonts w:ascii="Arial" w:cs="Arial" w:eastAsia="Arial" w:hAnsi="Arial"/>
          <w:sz w:val="11"/>
          <w:szCs w:val="11"/>
          <w:color w:val="auto"/>
        </w:rPr>
        <w:t>the rate is not displayed for a term equivalent to that period; or</w:t>
      </w:r>
    </w:p>
    <w:p>
      <w:pPr>
        <w:spacing w:after="0" w:line="68" w:lineRule="exact"/>
        <w:rPr>
          <w:rFonts w:ascii="Arial" w:cs="Arial" w:eastAsia="Arial" w:hAnsi="Arial"/>
          <w:sz w:val="11"/>
          <w:szCs w:val="11"/>
          <w:color w:val="auto"/>
        </w:rPr>
      </w:pPr>
    </w:p>
    <w:p>
      <w:pPr>
        <w:ind w:left="1380" w:right="140" w:hanging="272"/>
        <w:spacing w:after="0" w:line="256" w:lineRule="auto"/>
        <w:tabs>
          <w:tab w:leader="none" w:pos="1380" w:val="left"/>
        </w:tabs>
        <w:numPr>
          <w:ilvl w:val="1"/>
          <w:numId w:val="33"/>
        </w:numPr>
        <w:rPr>
          <w:rFonts w:ascii="Arial" w:cs="Arial" w:eastAsia="Arial" w:hAnsi="Arial"/>
          <w:sz w:val="11"/>
          <w:szCs w:val="11"/>
          <w:color w:val="auto"/>
        </w:rPr>
      </w:pPr>
      <w:r>
        <w:rPr>
          <w:rFonts w:ascii="Arial" w:cs="Arial" w:eastAsia="Arial" w:hAnsi="Arial"/>
          <w:sz w:val="11"/>
          <w:szCs w:val="11"/>
          <w:color w:val="auto"/>
        </w:rPr>
        <w:t>the basis of the calculation of the rate is changed after the date of this document so that in the opinion of the Bank it ceases to reflect the cost of providing the Facility,</w:t>
      </w:r>
    </w:p>
    <w:p>
      <w:pPr>
        <w:spacing w:after="0" w:line="23" w:lineRule="exact"/>
        <w:rPr>
          <w:sz w:val="20"/>
          <w:szCs w:val="20"/>
          <w:color w:val="auto"/>
        </w:rPr>
      </w:pPr>
    </w:p>
    <w:p>
      <w:pPr>
        <w:ind w:left="1100" w:right="160"/>
        <w:spacing w:after="0" w:line="238" w:lineRule="auto"/>
        <w:rPr>
          <w:sz w:val="20"/>
          <w:szCs w:val="20"/>
          <w:color w:val="auto"/>
        </w:rPr>
      </w:pPr>
      <w:r>
        <w:rPr>
          <w:rFonts w:ascii="Arial" w:cs="Arial" w:eastAsia="Arial" w:hAnsi="Arial"/>
          <w:sz w:val="11"/>
          <w:szCs w:val="11"/>
          <w:color w:val="auto"/>
        </w:rPr>
        <w:t>the Base Rate will be the rate per centum per annum, and not being less than zero, determined by the Bank to be the average of the buying rates quoted to the Bank by at least three Reference Banks at or about that time on that date. The buying rates must be for bills of exchange accepted by a leading Australian bank and which have a term equivalent to the period. If there are no buying rates, the rate will be determined by the Bank having regard to indexes or other bases which the Bank determines to be as near as practicable to the indexes and bases used to determine the rate referred to in paragraph (a).</w:t>
      </w:r>
    </w:p>
    <w:p>
      <w:pPr>
        <w:spacing w:after="0" w:line="32" w:lineRule="exact"/>
        <w:rPr>
          <w:sz w:val="20"/>
          <w:szCs w:val="20"/>
          <w:color w:val="auto"/>
        </w:rPr>
      </w:pPr>
    </w:p>
    <w:p>
      <w:pPr>
        <w:ind w:left="840" w:right="1480"/>
        <w:spacing w:after="0" w:line="268" w:lineRule="auto"/>
        <w:rPr>
          <w:sz w:val="20"/>
          <w:szCs w:val="20"/>
          <w:color w:val="auto"/>
        </w:rPr>
      </w:pPr>
      <w:r>
        <w:rPr>
          <w:rFonts w:ascii="Arial" w:cs="Arial" w:eastAsia="Arial" w:hAnsi="Arial"/>
          <w:sz w:val="11"/>
          <w:szCs w:val="11"/>
          <w:b w:val="1"/>
          <w:bCs w:val="1"/>
          <w:color w:val="auto"/>
        </w:rPr>
        <w:t xml:space="preserve">Beneficiary </w:t>
      </w:r>
      <w:r>
        <w:rPr>
          <w:rFonts w:ascii="Arial" w:cs="Arial" w:eastAsia="Arial" w:hAnsi="Arial"/>
          <w:sz w:val="11"/>
          <w:szCs w:val="11"/>
          <w:color w:val="auto"/>
        </w:rPr>
        <w:t>means in relation to a Bank Guarantee, the person who from time to time is entitled to make a claim for payment under that Bank</w:t>
      </w:r>
      <w:r>
        <w:rPr>
          <w:rFonts w:ascii="Arial" w:cs="Arial" w:eastAsia="Arial" w:hAnsi="Arial"/>
          <w:sz w:val="11"/>
          <w:szCs w:val="11"/>
          <w:b w:val="1"/>
          <w:bCs w:val="1"/>
          <w:color w:val="auto"/>
        </w:rPr>
        <w:t xml:space="preserve"> </w:t>
      </w:r>
      <w:r>
        <w:rPr>
          <w:rFonts w:ascii="Arial" w:cs="Arial" w:eastAsia="Arial" w:hAnsi="Arial"/>
          <w:sz w:val="11"/>
          <w:szCs w:val="11"/>
          <w:color w:val="auto"/>
        </w:rPr>
        <w:t>Guarantee against the Bank.</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2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080" w:type="dxa"/>
            <w:vAlign w:val="bottom"/>
          </w:tcPr>
          <w:p>
            <w:pPr>
              <w:ind w:left="3820"/>
              <w:spacing w:after="0"/>
              <w:rPr>
                <w:sz w:val="20"/>
                <w:szCs w:val="20"/>
                <w:color w:val="auto"/>
              </w:rPr>
            </w:pPr>
            <w:r>
              <w:rPr>
                <w:rFonts w:ascii="Arial" w:cs="Arial" w:eastAsia="Arial" w:hAnsi="Arial"/>
                <w:sz w:val="8"/>
                <w:szCs w:val="8"/>
                <w:color w:val="auto"/>
                <w:w w:val="97"/>
              </w:rPr>
              <w:t>page 3</w:t>
            </w:r>
          </w:p>
        </w:tc>
      </w:tr>
      <w:tr>
        <w:trPr>
          <w:trHeight w:val="94"/>
        </w:trPr>
        <w:tc>
          <w:tcPr>
            <w:tcW w:w="520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08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20" w:type="dxa"/>
            <w:vAlign w:val="bottom"/>
            <w:tcBorders>
              <w:bottom w:val="single" w:sz="8" w:color="EEEEEE"/>
            </w:tcBorders>
          </w:tcPr>
          <w:p>
            <w:pPr>
              <w:spacing w:after="0"/>
              <w:rPr>
                <w:sz w:val="18"/>
                <w:szCs w:val="18"/>
                <w:color w:val="auto"/>
              </w:rPr>
            </w:pPr>
          </w:p>
        </w:tc>
        <w:tc>
          <w:tcPr>
            <w:tcW w:w="408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71" w:name="page72"/>
    <w:bookmarkEnd w:id="71"/>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40" w:right="100"/>
        <w:spacing w:after="0" w:line="268" w:lineRule="auto"/>
        <w:rPr>
          <w:sz w:val="20"/>
          <w:szCs w:val="20"/>
          <w:color w:val="auto"/>
        </w:rPr>
      </w:pPr>
      <w:r>
        <w:rPr>
          <w:rFonts w:ascii="Arial" w:cs="Arial" w:eastAsia="Arial" w:hAnsi="Arial"/>
          <w:sz w:val="11"/>
          <w:szCs w:val="11"/>
          <w:b w:val="1"/>
          <w:bCs w:val="1"/>
          <w:color w:val="auto"/>
        </w:rPr>
        <w:t xml:space="preserve">Bill </w:t>
      </w:r>
      <w:r>
        <w:rPr>
          <w:rFonts w:ascii="Arial" w:cs="Arial" w:eastAsia="Arial" w:hAnsi="Arial"/>
          <w:sz w:val="11"/>
          <w:szCs w:val="11"/>
          <w:color w:val="auto"/>
        </w:rPr>
        <w:t>means a bill of exchange as defined in the</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Bills of Exchange Act 1909</w:t>
      </w:r>
      <w:r>
        <w:rPr>
          <w:rFonts w:ascii="Arial" w:cs="Arial" w:eastAsia="Arial" w:hAnsi="Arial"/>
          <w:sz w:val="11"/>
          <w:szCs w:val="11"/>
          <w:b w:val="1"/>
          <w:bCs w:val="1"/>
          <w:color w:val="auto"/>
        </w:rPr>
        <w:t xml:space="preserve"> </w:t>
      </w:r>
      <w:r>
        <w:rPr>
          <w:rFonts w:ascii="Arial" w:cs="Arial" w:eastAsia="Arial" w:hAnsi="Arial"/>
          <w:sz w:val="11"/>
          <w:szCs w:val="11"/>
          <w:color w:val="auto"/>
        </w:rPr>
        <w:t>(but does not include a cheque). It includes a document which, when signed by the persons</w:t>
      </w:r>
      <w:r>
        <w:rPr>
          <w:rFonts w:ascii="Arial" w:cs="Arial" w:eastAsia="Arial" w:hAnsi="Arial"/>
          <w:sz w:val="11"/>
          <w:szCs w:val="11"/>
          <w:b w:val="1"/>
          <w:bCs w:val="1"/>
          <w:color w:val="auto"/>
        </w:rPr>
        <w:t xml:space="preserve"> </w:t>
      </w:r>
      <w:r>
        <w:rPr>
          <w:rFonts w:ascii="Arial" w:cs="Arial" w:eastAsia="Arial" w:hAnsi="Arial"/>
          <w:sz w:val="11"/>
          <w:szCs w:val="11"/>
          <w:color w:val="auto"/>
        </w:rPr>
        <w:t>named as drawer and acceptor in the relevant document, will become such a bill of exchange.</w:t>
      </w:r>
    </w:p>
    <w:p>
      <w:pPr>
        <w:spacing w:after="0" w:line="10" w:lineRule="exact"/>
        <w:rPr>
          <w:sz w:val="20"/>
          <w:szCs w:val="20"/>
          <w:color w:val="auto"/>
        </w:rPr>
      </w:pPr>
    </w:p>
    <w:p>
      <w:pPr>
        <w:ind w:left="840" w:right="320"/>
        <w:spacing w:after="0" w:line="268" w:lineRule="auto"/>
        <w:rPr>
          <w:sz w:val="20"/>
          <w:szCs w:val="20"/>
          <w:color w:val="auto"/>
        </w:rPr>
      </w:pPr>
      <w:r>
        <w:rPr>
          <w:rFonts w:ascii="Arial" w:cs="Arial" w:eastAsia="Arial" w:hAnsi="Arial"/>
          <w:sz w:val="11"/>
          <w:szCs w:val="11"/>
          <w:b w:val="1"/>
          <w:bCs w:val="1"/>
          <w:color w:val="auto"/>
        </w:rPr>
        <w:t xml:space="preserve">Break Costs </w:t>
      </w:r>
      <w:r>
        <w:rPr>
          <w:rFonts w:ascii="Arial" w:cs="Arial" w:eastAsia="Arial" w:hAnsi="Arial"/>
          <w:sz w:val="11"/>
          <w:szCs w:val="11"/>
          <w:color w:val="auto"/>
        </w:rPr>
        <w:t>means, in relation to any financial accommodation provided or to be provided by the Bank under a Facility, any liability or costs incurred by the Bank by</w:t>
      </w:r>
      <w:r>
        <w:rPr>
          <w:rFonts w:ascii="Arial" w:cs="Arial" w:eastAsia="Arial" w:hAnsi="Arial"/>
          <w:sz w:val="11"/>
          <w:szCs w:val="11"/>
          <w:b w:val="1"/>
          <w:bCs w:val="1"/>
          <w:color w:val="auto"/>
        </w:rPr>
        <w:t xml:space="preserve"> </w:t>
      </w:r>
      <w:r>
        <w:rPr>
          <w:rFonts w:ascii="Arial" w:cs="Arial" w:eastAsia="Arial" w:hAnsi="Arial"/>
          <w:sz w:val="11"/>
          <w:szCs w:val="11"/>
          <w:color w:val="auto"/>
        </w:rPr>
        <w:t>reason of:</w:t>
      </w:r>
    </w:p>
    <w:p>
      <w:pPr>
        <w:spacing w:after="0" w:line="16" w:lineRule="exact"/>
        <w:rPr>
          <w:sz w:val="20"/>
          <w:szCs w:val="20"/>
          <w:color w:val="auto"/>
        </w:rPr>
      </w:pPr>
    </w:p>
    <w:p>
      <w:pPr>
        <w:ind w:left="1100" w:hanging="270"/>
        <w:spacing w:after="0"/>
        <w:tabs>
          <w:tab w:leader="none" w:pos="11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liquidating or re-deploying deposits or other funds acquired or contracted for by or on account of the Borrower or the Bank;</w:t>
      </w:r>
    </w:p>
    <w:p>
      <w:pPr>
        <w:spacing w:after="0" w:line="46" w:lineRule="exact"/>
        <w:rPr>
          <w:rFonts w:ascii="Arial" w:cs="Arial" w:eastAsia="Arial" w:hAnsi="Arial"/>
          <w:sz w:val="11"/>
          <w:szCs w:val="11"/>
          <w:color w:val="auto"/>
        </w:rPr>
      </w:pPr>
    </w:p>
    <w:p>
      <w:pPr>
        <w:ind w:left="1100" w:right="300" w:hanging="270"/>
        <w:spacing w:after="0" w:line="242" w:lineRule="auto"/>
        <w:tabs>
          <w:tab w:leader="none" w:pos="11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terminating or reversing any agreement or arrangement (including by entering into new agreements or arrangements to close out or net off existing agreements or arrangements) entered into by or on account of the Borrower or the Bank with a counterparty or an internal department of the Bank responsible for such agreements or arrangements to hedge, fix, swap or limit its effective cost of funding; or</w:t>
      </w:r>
    </w:p>
    <w:p>
      <w:pPr>
        <w:spacing w:after="0" w:line="37" w:lineRule="exact"/>
        <w:rPr>
          <w:rFonts w:ascii="Arial" w:cs="Arial" w:eastAsia="Arial" w:hAnsi="Arial"/>
          <w:sz w:val="11"/>
          <w:szCs w:val="11"/>
          <w:color w:val="auto"/>
        </w:rPr>
      </w:pPr>
    </w:p>
    <w:p>
      <w:pPr>
        <w:ind w:left="1100" w:hanging="270"/>
        <w:spacing w:after="0"/>
        <w:tabs>
          <w:tab w:leader="none" w:pos="11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any loss of any margins in relation to future lending or loss of any fees.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Business Day </w:t>
      </w:r>
      <w:r>
        <w:rPr>
          <w:rFonts w:ascii="Arial" w:cs="Arial" w:eastAsia="Arial" w:hAnsi="Arial"/>
          <w:sz w:val="11"/>
          <w:szCs w:val="11"/>
          <w:color w:val="auto"/>
        </w:rPr>
        <w:t>means a day which is not a Saturday, Sunday or bank or public holiday in Melbourne.</w:t>
      </w:r>
    </w:p>
    <w:p>
      <w:pPr>
        <w:spacing w:after="0" w:line="31" w:lineRule="exact"/>
        <w:rPr>
          <w:sz w:val="20"/>
          <w:szCs w:val="20"/>
          <w:color w:val="auto"/>
        </w:rPr>
      </w:pPr>
    </w:p>
    <w:p>
      <w:pPr>
        <w:ind w:left="840"/>
        <w:spacing w:after="0"/>
        <w:tabs>
          <w:tab w:leader="none" w:pos="4580" w:val="left"/>
        </w:tabs>
        <w:rPr>
          <w:sz w:val="20"/>
          <w:szCs w:val="20"/>
          <w:color w:val="auto"/>
        </w:rPr>
      </w:pPr>
      <w:r>
        <w:rPr>
          <w:rFonts w:ascii="Arial" w:cs="Arial" w:eastAsia="Arial" w:hAnsi="Arial"/>
          <w:sz w:val="11"/>
          <w:szCs w:val="11"/>
          <w:b w:val="1"/>
          <w:bCs w:val="1"/>
          <w:u w:val="single" w:color="auto"/>
          <w:color w:val="2D96D2"/>
        </w:rPr>
        <w:t>Cash</w:t>
      </w:r>
      <w:r>
        <w:rPr>
          <w:rFonts w:ascii="Arial" w:cs="Arial" w:eastAsia="Arial" w:hAnsi="Arial"/>
          <w:sz w:val="11"/>
          <w:szCs w:val="11"/>
          <w:b w:val="1"/>
          <w:bCs w:val="1"/>
          <w:color w:val="2D96D2"/>
        </w:rPr>
        <w:t xml:space="preserve"> </w:t>
      </w:r>
      <w:r>
        <w:rPr>
          <w:rFonts w:ascii="Arial" w:cs="Arial" w:eastAsia="Arial" w:hAnsi="Arial"/>
          <w:sz w:val="11"/>
          <w:szCs w:val="11"/>
          <w:u w:val="single" w:color="auto"/>
          <w:color w:val="2D96D2"/>
        </w:rPr>
        <w:t>means all cash on hand, short term deposits and cash equivalents.</w:t>
      </w:r>
      <w:r>
        <w:rPr>
          <w:sz w:val="20"/>
          <w:szCs w:val="20"/>
          <w:color w:val="auto"/>
        </w:rPr>
        <w:tab/>
      </w:r>
      <w:r>
        <w:rPr>
          <w:rFonts w:ascii="Arial" w:cs="Arial" w:eastAsia="Arial" w:hAnsi="Arial"/>
          <w:sz w:val="11"/>
          <w:szCs w:val="11"/>
          <w:b w:val="1"/>
          <w:bCs w:val="1"/>
          <w:color w:val="auto"/>
        </w:rPr>
        <w:t xml:space="preserve">Cash Cover Rate </w:t>
      </w:r>
      <w:r>
        <w:rPr>
          <w:rFonts w:ascii="Arial" w:cs="Arial" w:eastAsia="Arial" w:hAnsi="Arial"/>
          <w:sz w:val="11"/>
          <w:szCs w:val="11"/>
          <w:color w:val="auto"/>
        </w:rPr>
        <w:t>means the rate (expressed as a rate per centum per annum)</w:t>
      </w:r>
    </w:p>
    <w:p>
      <w:pPr>
        <w:spacing w:after="0" w:line="29" w:lineRule="exact"/>
        <w:rPr>
          <w:sz w:val="20"/>
          <w:szCs w:val="20"/>
          <w:color w:val="auto"/>
        </w:rPr>
      </w:pPr>
    </w:p>
    <w:p>
      <w:pPr>
        <w:ind w:left="840" w:right="1200"/>
        <w:spacing w:after="0" w:line="256" w:lineRule="auto"/>
        <w:rPr>
          <w:sz w:val="20"/>
          <w:szCs w:val="20"/>
          <w:color w:val="auto"/>
        </w:rPr>
      </w:pPr>
      <w:r>
        <w:rPr>
          <w:rFonts w:ascii="Arial" w:cs="Arial" w:eastAsia="Arial" w:hAnsi="Arial"/>
          <w:sz w:val="11"/>
          <w:szCs w:val="11"/>
          <w:color w:val="auto"/>
        </w:rPr>
        <w:t>determined by the Bank (in good faith) to be the interest rate which it would pay on deposits at call for an amount similar to the amount at which the relevant deposit is made.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Calculation Date </w:t>
      </w:r>
      <w:r>
        <w:rPr>
          <w:rFonts w:ascii="Arial" w:cs="Arial" w:eastAsia="Arial" w:hAnsi="Arial"/>
          <w:sz w:val="11"/>
          <w:szCs w:val="11"/>
          <w:color w:val="auto"/>
        </w:rPr>
        <w:t>means 31 March, 30 June, 30 September and 31 December in each year.</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Calculation Period </w:t>
      </w:r>
      <w:r>
        <w:rPr>
          <w:rFonts w:ascii="Arial" w:cs="Arial" w:eastAsia="Arial" w:hAnsi="Arial"/>
          <w:sz w:val="11"/>
          <w:szCs w:val="11"/>
          <w:color w:val="auto"/>
        </w:rPr>
        <w:t>means each period of twelve months ending on a Calculation Date.</w:t>
      </w:r>
    </w:p>
    <w:p>
      <w:pPr>
        <w:spacing w:after="0" w:line="30" w:lineRule="exact"/>
        <w:rPr>
          <w:sz w:val="20"/>
          <w:szCs w:val="20"/>
          <w:color w:val="auto"/>
        </w:rPr>
      </w:pPr>
    </w:p>
    <w:p>
      <w:pPr>
        <w:ind w:left="840" w:right="100"/>
        <w:spacing w:after="0" w:line="268" w:lineRule="auto"/>
        <w:rPr>
          <w:sz w:val="20"/>
          <w:szCs w:val="20"/>
          <w:color w:val="auto"/>
        </w:rPr>
      </w:pPr>
      <w:r>
        <w:rPr>
          <w:rFonts w:ascii="Arial" w:cs="Arial" w:eastAsia="Arial" w:hAnsi="Arial"/>
          <w:sz w:val="11"/>
          <w:szCs w:val="11"/>
          <w:b w:val="1"/>
          <w:bCs w:val="1"/>
          <w:color w:val="auto"/>
        </w:rPr>
        <w:t xml:space="preserve">Change of Control </w:t>
      </w:r>
      <w:r>
        <w:rPr>
          <w:rFonts w:ascii="Arial" w:cs="Arial" w:eastAsia="Arial" w:hAnsi="Arial"/>
          <w:sz w:val="11"/>
          <w:szCs w:val="11"/>
          <w:color w:val="auto"/>
        </w:rPr>
        <w:t>means there is a change (from that prevailing at the date of this document) in the persons who control any of the following in respect of a Transaction</w:t>
      </w:r>
      <w:r>
        <w:rPr>
          <w:rFonts w:ascii="Arial" w:cs="Arial" w:eastAsia="Arial" w:hAnsi="Arial"/>
          <w:sz w:val="11"/>
          <w:szCs w:val="11"/>
          <w:b w:val="1"/>
          <w:bCs w:val="1"/>
          <w:color w:val="auto"/>
        </w:rPr>
        <w:t xml:space="preserve"> </w:t>
      </w:r>
      <w:r>
        <w:rPr>
          <w:rFonts w:ascii="Arial" w:cs="Arial" w:eastAsia="Arial" w:hAnsi="Arial"/>
          <w:sz w:val="11"/>
          <w:szCs w:val="11"/>
          <w:color w:val="auto"/>
        </w:rPr>
        <w:t>Party:</w:t>
      </w:r>
    </w:p>
    <w:p>
      <w:pPr>
        <w:spacing w:after="0" w:line="16" w:lineRule="exact"/>
        <w:rPr>
          <w:sz w:val="20"/>
          <w:szCs w:val="20"/>
          <w:color w:val="auto"/>
        </w:rPr>
      </w:pPr>
    </w:p>
    <w:p>
      <w:pPr>
        <w:ind w:left="1100" w:hanging="270"/>
        <w:spacing w:after="0"/>
        <w:tabs>
          <w:tab w:leader="none" w:pos="1100" w:val="left"/>
        </w:tabs>
        <w:numPr>
          <w:ilvl w:val="0"/>
          <w:numId w:val="35"/>
        </w:numPr>
        <w:rPr>
          <w:rFonts w:ascii="Arial" w:cs="Arial" w:eastAsia="Arial" w:hAnsi="Arial"/>
          <w:sz w:val="11"/>
          <w:szCs w:val="11"/>
          <w:color w:val="auto"/>
        </w:rPr>
      </w:pPr>
      <w:r>
        <w:rPr>
          <w:rFonts w:ascii="Arial" w:cs="Arial" w:eastAsia="Arial" w:hAnsi="Arial"/>
          <w:sz w:val="11"/>
          <w:szCs w:val="11"/>
          <w:color w:val="auto"/>
        </w:rPr>
        <w:t>more than 50% of the votes eligible to be cast in the election of directors or any similar matter; or</w:t>
      </w:r>
    </w:p>
    <w:p>
      <w:pPr>
        <w:spacing w:after="0" w:line="46" w:lineRule="exact"/>
        <w:rPr>
          <w:rFonts w:ascii="Arial" w:cs="Arial" w:eastAsia="Arial" w:hAnsi="Arial"/>
          <w:sz w:val="11"/>
          <w:szCs w:val="11"/>
          <w:color w:val="auto"/>
        </w:rPr>
      </w:pPr>
    </w:p>
    <w:p>
      <w:pPr>
        <w:ind w:left="1100" w:right="220" w:hanging="270"/>
        <w:spacing w:after="0" w:line="256" w:lineRule="auto"/>
        <w:tabs>
          <w:tab w:leader="none" w:pos="110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right to appoint or remove directors (or members of a governing body having functions similar to a board of directors) representing more than 50% of the votes exercisable by the directors (or persons have similar functions); or</w:t>
      </w:r>
    </w:p>
    <w:p>
      <w:pPr>
        <w:spacing w:after="0" w:line="22" w:lineRule="exact"/>
        <w:rPr>
          <w:rFonts w:ascii="Arial" w:cs="Arial" w:eastAsia="Arial" w:hAnsi="Arial"/>
          <w:sz w:val="11"/>
          <w:szCs w:val="11"/>
          <w:color w:val="auto"/>
        </w:rPr>
      </w:pPr>
    </w:p>
    <w:p>
      <w:pPr>
        <w:ind w:left="1100" w:hanging="270"/>
        <w:spacing w:after="0"/>
        <w:tabs>
          <w:tab w:leader="none" w:pos="1100" w:val="left"/>
        </w:tabs>
        <w:numPr>
          <w:ilvl w:val="0"/>
          <w:numId w:val="35"/>
        </w:numPr>
        <w:rPr>
          <w:rFonts w:ascii="Arial" w:cs="Arial" w:eastAsia="Arial" w:hAnsi="Arial"/>
          <w:sz w:val="11"/>
          <w:szCs w:val="11"/>
          <w:color w:val="auto"/>
        </w:rPr>
      </w:pPr>
      <w:r>
        <w:rPr>
          <w:rFonts w:ascii="Arial" w:cs="Arial" w:eastAsia="Arial" w:hAnsi="Arial"/>
          <w:sz w:val="11"/>
          <w:szCs w:val="11"/>
          <w:color w:val="auto"/>
        </w:rPr>
        <w:t>an interest of more than 50% in any category of the profits, distributions or net liquidation proceeds.</w:t>
      </w:r>
    </w:p>
    <w:p>
      <w:pPr>
        <w:spacing w:after="0" w:line="5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Collateral Security </w:t>
      </w:r>
      <w:r>
        <w:rPr>
          <w:rFonts w:ascii="Arial" w:cs="Arial" w:eastAsia="Arial" w:hAnsi="Arial"/>
          <w:sz w:val="11"/>
          <w:szCs w:val="11"/>
          <w:color w:val="auto"/>
        </w:rPr>
        <w:t>means:</w:t>
      </w:r>
    </w:p>
    <w:p>
      <w:pPr>
        <w:spacing w:after="0" w:line="58" w:lineRule="exact"/>
        <w:rPr>
          <w:sz w:val="20"/>
          <w:szCs w:val="20"/>
          <w:color w:val="auto"/>
        </w:rPr>
      </w:pPr>
    </w:p>
    <w:p>
      <w:pPr>
        <w:ind w:left="1100" w:hanging="270"/>
        <w:spacing w:after="0"/>
        <w:tabs>
          <w:tab w:leader="none" w:pos="1100" w:val="left"/>
        </w:tabs>
        <w:numPr>
          <w:ilvl w:val="0"/>
          <w:numId w:val="36"/>
        </w:numPr>
        <w:rPr>
          <w:rFonts w:ascii="Arial" w:cs="Arial" w:eastAsia="Arial" w:hAnsi="Arial"/>
          <w:sz w:val="11"/>
          <w:szCs w:val="11"/>
          <w:color w:val="auto"/>
        </w:rPr>
      </w:pPr>
      <w:r>
        <w:rPr>
          <w:rFonts w:ascii="Arial" w:cs="Arial" w:eastAsia="Arial" w:hAnsi="Arial"/>
          <w:sz w:val="11"/>
          <w:szCs w:val="11"/>
          <w:color w:val="auto"/>
        </w:rPr>
        <w:t>any Guarantee by which any person Guarantees the Borrower’s compliance with its obligations under any of the Transaction Documents;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2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080" w:type="dxa"/>
            <w:vAlign w:val="bottom"/>
          </w:tcPr>
          <w:p>
            <w:pPr>
              <w:ind w:left="3820"/>
              <w:spacing w:after="0"/>
              <w:rPr>
                <w:sz w:val="20"/>
                <w:szCs w:val="20"/>
                <w:color w:val="auto"/>
              </w:rPr>
            </w:pPr>
            <w:r>
              <w:rPr>
                <w:rFonts w:ascii="Arial" w:cs="Arial" w:eastAsia="Arial" w:hAnsi="Arial"/>
                <w:sz w:val="8"/>
                <w:szCs w:val="8"/>
                <w:color w:val="auto"/>
                <w:w w:val="97"/>
              </w:rPr>
              <w:t>page 4</w:t>
            </w:r>
          </w:p>
        </w:tc>
      </w:tr>
      <w:tr>
        <w:trPr>
          <w:trHeight w:val="94"/>
        </w:trPr>
        <w:tc>
          <w:tcPr>
            <w:tcW w:w="520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08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20" w:type="dxa"/>
            <w:vAlign w:val="bottom"/>
            <w:tcBorders>
              <w:bottom w:val="single" w:sz="8" w:color="EEEEEE"/>
            </w:tcBorders>
          </w:tcPr>
          <w:p>
            <w:pPr>
              <w:spacing w:after="0"/>
              <w:rPr>
                <w:sz w:val="18"/>
                <w:szCs w:val="18"/>
                <w:color w:val="auto"/>
              </w:rPr>
            </w:pPr>
          </w:p>
        </w:tc>
        <w:tc>
          <w:tcPr>
            <w:tcW w:w="408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72" w:name="page73"/>
    <w:bookmarkEnd w:id="72"/>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hanging="270"/>
        <w:spacing w:after="0"/>
        <w:tabs>
          <w:tab w:leader="none" w:pos="1100" w:val="left"/>
        </w:tabs>
        <w:numPr>
          <w:ilvl w:val="0"/>
          <w:numId w:val="37"/>
        </w:numPr>
        <w:rPr>
          <w:rFonts w:ascii="Arial" w:cs="Arial" w:eastAsia="Arial" w:hAnsi="Arial"/>
          <w:sz w:val="11"/>
          <w:szCs w:val="11"/>
          <w:color w:val="auto"/>
        </w:rPr>
      </w:pPr>
      <w:r>
        <w:rPr>
          <w:rFonts w:ascii="Arial" w:cs="Arial" w:eastAsia="Arial" w:hAnsi="Arial"/>
          <w:sz w:val="11"/>
          <w:szCs w:val="11"/>
          <w:color w:val="auto"/>
        </w:rPr>
        <w:t>any Security which secures the payment of money owing (actually or contingently) from time to time by:</w:t>
      </w:r>
    </w:p>
    <w:p>
      <w:pPr>
        <w:spacing w:after="0" w:line="46" w:lineRule="exact"/>
        <w:rPr>
          <w:rFonts w:ascii="Arial" w:cs="Arial" w:eastAsia="Arial" w:hAnsi="Arial"/>
          <w:sz w:val="11"/>
          <w:szCs w:val="11"/>
          <w:color w:val="auto"/>
        </w:rPr>
      </w:pPr>
    </w:p>
    <w:p>
      <w:pPr>
        <w:ind w:left="1380" w:hanging="272"/>
        <w:spacing w:after="0"/>
        <w:tabs>
          <w:tab w:leader="none" w:pos="1380" w:val="left"/>
        </w:tabs>
        <w:numPr>
          <w:ilvl w:val="1"/>
          <w:numId w:val="37"/>
        </w:numPr>
        <w:rPr>
          <w:rFonts w:ascii="Arial" w:cs="Arial" w:eastAsia="Arial" w:hAnsi="Arial"/>
          <w:sz w:val="11"/>
          <w:szCs w:val="11"/>
          <w:color w:val="auto"/>
        </w:rPr>
      </w:pPr>
      <w:r>
        <w:rPr>
          <w:rFonts w:ascii="Arial" w:cs="Arial" w:eastAsia="Arial" w:hAnsi="Arial"/>
          <w:sz w:val="11"/>
          <w:szCs w:val="11"/>
          <w:color w:val="auto"/>
        </w:rPr>
        <w:t>any Transaction Party in relation to any of the Transaction Documents; or</w:t>
      </w:r>
    </w:p>
    <w:p>
      <w:pPr>
        <w:spacing w:after="0" w:line="46" w:lineRule="exact"/>
        <w:rPr>
          <w:rFonts w:ascii="Arial" w:cs="Arial" w:eastAsia="Arial" w:hAnsi="Arial"/>
          <w:sz w:val="11"/>
          <w:szCs w:val="11"/>
          <w:color w:val="auto"/>
        </w:rPr>
      </w:pPr>
    </w:p>
    <w:p>
      <w:pPr>
        <w:ind w:left="1380" w:hanging="272"/>
        <w:spacing w:after="0"/>
        <w:tabs>
          <w:tab w:leader="none" w:pos="1380" w:val="left"/>
        </w:tabs>
        <w:numPr>
          <w:ilvl w:val="1"/>
          <w:numId w:val="37"/>
        </w:numPr>
        <w:rPr>
          <w:rFonts w:ascii="Arial" w:cs="Arial" w:eastAsia="Arial" w:hAnsi="Arial"/>
          <w:sz w:val="11"/>
          <w:szCs w:val="11"/>
          <w:color w:val="auto"/>
        </w:rPr>
      </w:pPr>
      <w:r>
        <w:rPr>
          <w:rFonts w:ascii="Arial" w:cs="Arial" w:eastAsia="Arial" w:hAnsi="Arial"/>
          <w:sz w:val="11"/>
          <w:szCs w:val="11"/>
          <w:color w:val="auto"/>
        </w:rPr>
        <w:t>any person in relation to a Guarantee of any Transaction Party’s compliance with its obligations under any of the Transaction Documents; and</w:t>
      </w:r>
    </w:p>
    <w:p>
      <w:pPr>
        <w:spacing w:after="0" w:line="40" w:lineRule="exact"/>
        <w:rPr>
          <w:rFonts w:ascii="Arial" w:cs="Arial" w:eastAsia="Arial" w:hAnsi="Arial"/>
          <w:sz w:val="11"/>
          <w:szCs w:val="11"/>
          <w:color w:val="auto"/>
        </w:rPr>
      </w:pPr>
    </w:p>
    <w:p>
      <w:pPr>
        <w:ind w:left="1100" w:hanging="270"/>
        <w:spacing w:after="0"/>
        <w:tabs>
          <w:tab w:leader="none" w:pos="1100" w:val="left"/>
        </w:tabs>
        <w:numPr>
          <w:ilvl w:val="0"/>
          <w:numId w:val="37"/>
        </w:numPr>
        <w:rPr>
          <w:rFonts w:ascii="Arial" w:cs="Arial" w:eastAsia="Arial" w:hAnsi="Arial"/>
          <w:sz w:val="11"/>
          <w:szCs w:val="11"/>
          <w:color w:val="auto"/>
        </w:rPr>
      </w:pPr>
      <w:r>
        <w:rPr>
          <w:rFonts w:ascii="Arial" w:cs="Arial" w:eastAsia="Arial" w:hAnsi="Arial"/>
          <w:sz w:val="11"/>
          <w:szCs w:val="11"/>
          <w:color w:val="auto"/>
        </w:rPr>
        <w:t xml:space="preserve">without limiting the generality of paragraphs (a) and (b) each thing listed in </w:t>
      </w:r>
      <w:r>
        <w:rPr>
          <w:rFonts w:ascii="Arial" w:cs="Arial" w:eastAsia="Arial" w:hAnsi="Arial"/>
          <w:sz w:val="11"/>
          <w:szCs w:val="11"/>
          <w:b w:val="1"/>
          <w:bCs w:val="1"/>
          <w:color w:val="auto"/>
        </w:rPr>
        <w:t>schedule 3</w:t>
      </w:r>
      <w:r>
        <w:rPr>
          <w:rFonts w:ascii="Arial" w:cs="Arial" w:eastAsia="Arial" w:hAnsi="Arial"/>
          <w:sz w:val="11"/>
          <w:szCs w:val="11"/>
          <w:color w:val="auto"/>
        </w:rPr>
        <w:t>.</w:t>
      </w:r>
    </w:p>
    <w:p>
      <w:pPr>
        <w:spacing w:after="0" w:line="46" w:lineRule="exact"/>
        <w:rPr>
          <w:sz w:val="20"/>
          <w:szCs w:val="20"/>
          <w:color w:val="auto"/>
        </w:rPr>
      </w:pPr>
    </w:p>
    <w:p>
      <w:pPr>
        <w:ind w:left="840" w:right="120"/>
        <w:spacing w:after="0" w:line="247" w:lineRule="auto"/>
        <w:rPr>
          <w:sz w:val="20"/>
          <w:szCs w:val="20"/>
          <w:color w:val="auto"/>
        </w:rPr>
      </w:pPr>
      <w:r>
        <w:rPr>
          <w:rFonts w:ascii="Arial" w:cs="Arial" w:eastAsia="Arial" w:hAnsi="Arial"/>
          <w:sz w:val="11"/>
          <w:szCs w:val="11"/>
          <w:b w:val="1"/>
          <w:bCs w:val="1"/>
          <w:color w:val="auto"/>
        </w:rPr>
        <w:t xml:space="preserve">Contaminant </w:t>
      </w:r>
      <w:r>
        <w:rPr>
          <w:rFonts w:ascii="Arial" w:cs="Arial" w:eastAsia="Arial" w:hAnsi="Arial"/>
          <w:sz w:val="11"/>
          <w:szCs w:val="11"/>
          <w:color w:val="auto"/>
        </w:rPr>
        <w:t>means a noxious, harmful or hazardous condition (including an odour, temperature, sound, vibration or radiation) or substance the presence or use of</w:t>
      </w:r>
      <w:r>
        <w:rPr>
          <w:rFonts w:ascii="Arial" w:cs="Arial" w:eastAsia="Arial" w:hAnsi="Arial"/>
          <w:sz w:val="11"/>
          <w:szCs w:val="11"/>
          <w:b w:val="1"/>
          <w:bCs w:val="1"/>
          <w:color w:val="auto"/>
        </w:rPr>
        <w:t xml:space="preserve"> </w:t>
      </w:r>
      <w:r>
        <w:rPr>
          <w:rFonts w:ascii="Arial" w:cs="Arial" w:eastAsia="Arial" w:hAnsi="Arial"/>
          <w:sz w:val="11"/>
          <w:szCs w:val="11"/>
          <w:color w:val="auto"/>
        </w:rPr>
        <w:t>which (having regard, without limitation, to the nature and quantity of the substance and other substances with which it is stored or used) does or may result in the breach of an Environmental Law or the issuing of an order or direction under an Environmental Law.</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Corporate Markets Loan Facility </w:t>
      </w:r>
      <w:r>
        <w:rPr>
          <w:rFonts w:ascii="Arial" w:cs="Arial" w:eastAsia="Arial" w:hAnsi="Arial"/>
          <w:sz w:val="11"/>
          <w:szCs w:val="11"/>
          <w:color w:val="auto"/>
        </w:rPr>
        <w:t>means the Facility described as such in</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schedule 2 </w:t>
      </w:r>
      <w:r>
        <w:rPr>
          <w:rFonts w:ascii="Arial" w:cs="Arial" w:eastAsia="Arial" w:hAnsi="Arial"/>
          <w:sz w:val="11"/>
          <w:szCs w:val="11"/>
          <w:color w:val="auto"/>
        </w:rPr>
        <w:t>and granted pursuant to</w:t>
      </w:r>
      <w:r>
        <w:rPr>
          <w:rFonts w:ascii="Arial" w:cs="Arial" w:eastAsia="Arial" w:hAnsi="Arial"/>
          <w:sz w:val="11"/>
          <w:szCs w:val="11"/>
          <w:b w:val="1"/>
          <w:bCs w:val="1"/>
          <w:color w:val="auto"/>
        </w:rPr>
        <w:t xml:space="preserve"> clause 4.1(a)(i)</w:t>
      </w:r>
      <w:r>
        <w:rPr>
          <w:rFonts w:ascii="Arial" w:cs="Arial" w:eastAsia="Arial" w:hAnsi="Arial"/>
          <w:sz w:val="11"/>
          <w:szCs w:val="11"/>
          <w:color w:val="auto"/>
        </w:rPr>
        <w:t>.</w:t>
      </w:r>
      <w:r>
        <w:rPr>
          <w:rFonts w:ascii="Arial" w:cs="Arial" w:eastAsia="Arial" w:hAnsi="Arial"/>
          <w:sz w:val="11"/>
          <w:szCs w:val="11"/>
          <w:b w:val="1"/>
          <w:bCs w:val="1"/>
          <w:color w:val="auto"/>
        </w:rPr>
        <w:t xml:space="preserve"> Corporations Act </w:t>
      </w:r>
      <w:r>
        <w:rPr>
          <w:rFonts w:ascii="Arial" w:cs="Arial" w:eastAsia="Arial" w:hAnsi="Arial"/>
          <w:sz w:val="11"/>
          <w:szCs w:val="11"/>
          <w:color w:val="auto"/>
        </w:rPr>
        <w:t>means the</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Corporations Act 2001</w:t>
      </w:r>
      <w:r>
        <w:rPr>
          <w:rFonts w:ascii="Arial" w:cs="Arial" w:eastAsia="Arial" w:hAnsi="Arial"/>
          <w:sz w:val="11"/>
          <w:szCs w:val="11"/>
          <w:b w:val="1"/>
          <w:bCs w:val="1"/>
          <w:color w:val="auto"/>
        </w:rPr>
        <w:t xml:space="preserve"> </w:t>
      </w:r>
      <w:r>
        <w:rPr>
          <w:rFonts w:ascii="Arial" w:cs="Arial" w:eastAsia="Arial" w:hAnsi="Arial"/>
          <w:sz w:val="11"/>
          <w:szCs w:val="11"/>
          <w:color w:val="auto"/>
        </w:rPr>
        <w:t>(Cth).</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Current Bank Guarantee </w:t>
      </w:r>
      <w:r>
        <w:rPr>
          <w:rFonts w:ascii="Arial" w:cs="Arial" w:eastAsia="Arial" w:hAnsi="Arial"/>
          <w:sz w:val="11"/>
          <w:szCs w:val="11"/>
          <w:color w:val="auto"/>
        </w:rPr>
        <w:t>means a Bank Guarantee which has not Matured or Expired.</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Daily Interest Rate </w:t>
      </w:r>
      <w:r>
        <w:rPr>
          <w:rFonts w:ascii="Arial" w:cs="Arial" w:eastAsia="Arial" w:hAnsi="Arial"/>
          <w:sz w:val="11"/>
          <w:szCs w:val="11"/>
          <w:color w:val="auto"/>
        </w:rPr>
        <w:t>means, for any day, the Interest Rate on that day divided by 365.</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Debt to Debt plus Equity Ratio </w:t>
      </w:r>
      <w:r>
        <w:rPr>
          <w:rFonts w:ascii="Arial" w:cs="Arial" w:eastAsia="Arial" w:hAnsi="Arial"/>
          <w:sz w:val="11"/>
          <w:szCs w:val="11"/>
          <w:color w:val="auto"/>
        </w:rPr>
        <w:t>means, as at any date, the ratio of:</w:t>
      </w:r>
    </w:p>
    <w:p>
      <w:pPr>
        <w:spacing w:after="0" w:line="66" w:lineRule="exact"/>
        <w:rPr>
          <w:sz w:val="20"/>
          <w:szCs w:val="20"/>
          <w:color w:val="auto"/>
        </w:rPr>
      </w:pPr>
    </w:p>
    <w:p>
      <w:pPr>
        <w:ind w:left="1100" w:hanging="270"/>
        <w:spacing w:after="0"/>
        <w:tabs>
          <w:tab w:leader="none" w:pos="110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Total Gross Debt outstanding on that date; to</w:t>
      </w:r>
    </w:p>
    <w:p>
      <w:pPr>
        <w:spacing w:after="0" w:line="76" w:lineRule="exact"/>
        <w:rPr>
          <w:rFonts w:ascii="Arial" w:cs="Arial" w:eastAsia="Arial" w:hAnsi="Arial"/>
          <w:sz w:val="11"/>
          <w:szCs w:val="11"/>
          <w:color w:val="auto"/>
        </w:rPr>
      </w:pPr>
    </w:p>
    <w:p>
      <w:pPr>
        <w:ind w:left="1100" w:hanging="270"/>
        <w:spacing w:after="0"/>
        <w:tabs>
          <w:tab w:leader="none" w:pos="110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Total Gross Debt outstanding plus Equity on that date.</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Disposal </w:t>
      </w:r>
      <w:r>
        <w:rPr>
          <w:rFonts w:ascii="Arial" w:cs="Arial" w:eastAsia="Arial" w:hAnsi="Arial"/>
          <w:sz w:val="11"/>
          <w:szCs w:val="11"/>
          <w:color w:val="auto"/>
        </w:rPr>
        <w:t>means a sale, lease, transfer or other disposal by any Transaction Party of any interest in:</w:t>
      </w:r>
    </w:p>
    <w:p>
      <w:pPr>
        <w:spacing w:after="0" w:line="52" w:lineRule="exact"/>
        <w:rPr>
          <w:sz w:val="20"/>
          <w:szCs w:val="20"/>
          <w:color w:val="auto"/>
        </w:rPr>
      </w:pPr>
    </w:p>
    <w:p>
      <w:pPr>
        <w:ind w:left="1100" w:right="280" w:hanging="270"/>
        <w:spacing w:after="0" w:line="256" w:lineRule="auto"/>
        <w:tabs>
          <w:tab w:leader="none" w:pos="1100" w:val="left"/>
        </w:tabs>
        <w:numPr>
          <w:ilvl w:val="0"/>
          <w:numId w:val="39"/>
        </w:numPr>
        <w:rPr>
          <w:rFonts w:ascii="Arial" w:cs="Arial" w:eastAsia="Arial" w:hAnsi="Arial"/>
          <w:sz w:val="11"/>
          <w:szCs w:val="11"/>
          <w:color w:val="auto"/>
        </w:rPr>
      </w:pPr>
      <w:r>
        <w:rPr>
          <w:rFonts w:ascii="Arial" w:cs="Arial" w:eastAsia="Arial" w:hAnsi="Arial"/>
          <w:sz w:val="11"/>
          <w:szCs w:val="11"/>
          <w:color w:val="auto"/>
        </w:rPr>
        <w:t>any share or stock (whether or not ordinary or preference and whether or not redeemable) or any other instrument convertible or exchangeable into or entitling a person to acquire or subscribe for any share or stock;</w:t>
      </w:r>
    </w:p>
    <w:p>
      <w:pPr>
        <w:spacing w:after="0" w:line="37" w:lineRule="exact"/>
        <w:rPr>
          <w:rFonts w:ascii="Arial" w:cs="Arial" w:eastAsia="Arial" w:hAnsi="Arial"/>
          <w:sz w:val="11"/>
          <w:szCs w:val="11"/>
          <w:color w:val="auto"/>
        </w:rPr>
      </w:pPr>
    </w:p>
    <w:p>
      <w:pPr>
        <w:ind w:left="1100" w:hanging="270"/>
        <w:spacing w:after="0"/>
        <w:tabs>
          <w:tab w:leader="none" w:pos="1100"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whole or any part of a business, business unit or line of business; or</w:t>
      </w:r>
    </w:p>
    <w:p>
      <w:pPr>
        <w:spacing w:after="0" w:line="68" w:lineRule="exact"/>
        <w:rPr>
          <w:rFonts w:ascii="Arial" w:cs="Arial" w:eastAsia="Arial" w:hAnsi="Arial"/>
          <w:sz w:val="11"/>
          <w:szCs w:val="11"/>
          <w:color w:val="auto"/>
        </w:rPr>
      </w:pPr>
    </w:p>
    <w:p>
      <w:pPr>
        <w:ind w:left="1100" w:right="300" w:hanging="270"/>
        <w:spacing w:after="0" w:line="256" w:lineRule="auto"/>
        <w:tabs>
          <w:tab w:leader="none" w:pos="1100" w:val="left"/>
        </w:tabs>
        <w:numPr>
          <w:ilvl w:val="0"/>
          <w:numId w:val="39"/>
        </w:numPr>
        <w:rPr>
          <w:rFonts w:ascii="Arial" w:cs="Arial" w:eastAsia="Arial" w:hAnsi="Arial"/>
          <w:sz w:val="11"/>
          <w:szCs w:val="11"/>
          <w:color w:val="auto"/>
        </w:rPr>
      </w:pPr>
      <w:r>
        <w:rPr>
          <w:rFonts w:ascii="Arial" w:cs="Arial" w:eastAsia="Arial" w:hAnsi="Arial"/>
          <w:sz w:val="11"/>
          <w:szCs w:val="11"/>
          <w:color w:val="auto"/>
        </w:rPr>
        <w:t>any other asset under a particular transaction or related transactions not in the ordinary course of business of the Reading Entertainment Australia Group taken as a whole.</w:t>
      </w:r>
    </w:p>
    <w:p>
      <w:pPr>
        <w:spacing w:after="0" w:line="33"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Distribution </w:t>
      </w:r>
      <w:r>
        <w:rPr>
          <w:rFonts w:ascii="Arial" w:cs="Arial" w:eastAsia="Arial" w:hAnsi="Arial"/>
          <w:sz w:val="11"/>
          <w:szCs w:val="11"/>
          <w:color w:val="auto"/>
        </w:rPr>
        <w:t>means:</w:t>
      </w:r>
    </w:p>
    <w:p>
      <w:pPr>
        <w:spacing w:after="0" w:line="58" w:lineRule="exact"/>
        <w:rPr>
          <w:sz w:val="20"/>
          <w:szCs w:val="20"/>
          <w:color w:val="auto"/>
        </w:rPr>
      </w:pPr>
    </w:p>
    <w:p>
      <w:pPr>
        <w:ind w:left="1100" w:right="1520" w:hanging="270"/>
        <w:spacing w:after="0" w:line="256" w:lineRule="auto"/>
        <w:tabs>
          <w:tab w:leader="none" w:pos="1100" w:val="left"/>
        </w:tabs>
        <w:numPr>
          <w:ilvl w:val="0"/>
          <w:numId w:val="40"/>
        </w:numPr>
        <w:rPr>
          <w:rFonts w:ascii="Arial" w:cs="Arial" w:eastAsia="Arial" w:hAnsi="Arial"/>
          <w:sz w:val="11"/>
          <w:szCs w:val="11"/>
          <w:color w:val="auto"/>
        </w:rPr>
      </w:pPr>
      <w:r>
        <w:rPr>
          <w:rFonts w:ascii="Arial" w:cs="Arial" w:eastAsia="Arial" w:hAnsi="Arial"/>
          <w:sz w:val="11"/>
          <w:szCs w:val="11"/>
          <w:color w:val="auto"/>
        </w:rPr>
        <w:t>in relation to any share capital of a Transaction Party, any dividend, charge, interest, fee, payment or other distribution (whether in cash or in kind) or redemption, repurchase, defeasance, retirement or redemption;</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2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080" w:type="dxa"/>
            <w:vAlign w:val="bottom"/>
          </w:tcPr>
          <w:p>
            <w:pPr>
              <w:ind w:left="3820"/>
              <w:spacing w:after="0"/>
              <w:rPr>
                <w:sz w:val="20"/>
                <w:szCs w:val="20"/>
                <w:color w:val="auto"/>
              </w:rPr>
            </w:pPr>
            <w:r>
              <w:rPr>
                <w:rFonts w:ascii="Arial" w:cs="Arial" w:eastAsia="Arial" w:hAnsi="Arial"/>
                <w:sz w:val="8"/>
                <w:szCs w:val="8"/>
                <w:color w:val="auto"/>
                <w:w w:val="97"/>
              </w:rPr>
              <w:t>page 5</w:t>
            </w:r>
          </w:p>
        </w:tc>
      </w:tr>
      <w:tr>
        <w:trPr>
          <w:trHeight w:val="94"/>
        </w:trPr>
        <w:tc>
          <w:tcPr>
            <w:tcW w:w="520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08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20" w:type="dxa"/>
            <w:vAlign w:val="bottom"/>
            <w:tcBorders>
              <w:bottom w:val="single" w:sz="8" w:color="EEEEEE"/>
            </w:tcBorders>
          </w:tcPr>
          <w:p>
            <w:pPr>
              <w:spacing w:after="0"/>
              <w:rPr>
                <w:sz w:val="18"/>
                <w:szCs w:val="18"/>
                <w:color w:val="auto"/>
              </w:rPr>
            </w:pPr>
          </w:p>
        </w:tc>
        <w:tc>
          <w:tcPr>
            <w:tcW w:w="408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73" w:name="page74"/>
    <w:bookmarkEnd w:id="73"/>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right="580" w:hanging="270"/>
        <w:spacing w:after="0" w:line="256" w:lineRule="auto"/>
        <w:tabs>
          <w:tab w:leader="none" w:pos="1100" w:val="left"/>
        </w:tabs>
        <w:numPr>
          <w:ilvl w:val="0"/>
          <w:numId w:val="41"/>
        </w:numPr>
        <w:rPr>
          <w:rFonts w:ascii="Arial" w:cs="Arial" w:eastAsia="Arial" w:hAnsi="Arial"/>
          <w:sz w:val="11"/>
          <w:szCs w:val="11"/>
          <w:color w:val="auto"/>
        </w:rPr>
      </w:pPr>
      <w:r>
        <w:rPr>
          <w:rFonts w:ascii="Arial" w:cs="Arial" w:eastAsia="Arial" w:hAnsi="Arial"/>
          <w:sz w:val="11"/>
          <w:szCs w:val="11"/>
          <w:color w:val="auto"/>
        </w:rPr>
        <w:t>any interest, any redemption or early redemption of any amount of principal or any other payment in respect of any shareholder loan or other subordinated loans made to any Transaction Party; or</w:t>
      </w:r>
    </w:p>
    <w:p>
      <w:pPr>
        <w:spacing w:after="0" w:line="22" w:lineRule="exact"/>
        <w:rPr>
          <w:rFonts w:ascii="Arial" w:cs="Arial" w:eastAsia="Arial" w:hAnsi="Arial"/>
          <w:sz w:val="11"/>
          <w:szCs w:val="11"/>
          <w:color w:val="auto"/>
        </w:rPr>
      </w:pPr>
    </w:p>
    <w:p>
      <w:pPr>
        <w:ind w:left="1100" w:hanging="270"/>
        <w:spacing w:after="0"/>
        <w:tabs>
          <w:tab w:leader="none" w:pos="1100" w:val="left"/>
        </w:tabs>
        <w:numPr>
          <w:ilvl w:val="0"/>
          <w:numId w:val="41"/>
        </w:numPr>
        <w:rPr>
          <w:rFonts w:ascii="Arial" w:cs="Arial" w:eastAsia="Arial" w:hAnsi="Arial"/>
          <w:sz w:val="11"/>
          <w:szCs w:val="11"/>
          <w:color w:val="auto"/>
        </w:rPr>
      </w:pPr>
      <w:r>
        <w:rPr>
          <w:rFonts w:ascii="Arial" w:cs="Arial" w:eastAsia="Arial" w:hAnsi="Arial"/>
          <w:sz w:val="11"/>
          <w:szCs w:val="11"/>
          <w:color w:val="auto"/>
        </w:rPr>
        <w:t>any loan or other financial accommodation made available by a Transaction Party to a person other than another Transaction Party.</w:t>
      </w:r>
    </w:p>
    <w:p>
      <w:pPr>
        <w:spacing w:after="0" w:line="4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Drawing </w:t>
      </w:r>
      <w:r>
        <w:rPr>
          <w:rFonts w:ascii="Arial" w:cs="Arial" w:eastAsia="Arial" w:hAnsi="Arial"/>
          <w:sz w:val="11"/>
          <w:szCs w:val="11"/>
          <w:color w:val="auto"/>
        </w:rPr>
        <w:t>means each Bank Guarantee issued or to be issued in accordance with this document under the same Funding Notice.</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EBIT </w:t>
      </w:r>
      <w:r>
        <w:rPr>
          <w:rFonts w:ascii="Arial" w:cs="Arial" w:eastAsia="Arial" w:hAnsi="Arial"/>
          <w:sz w:val="11"/>
          <w:szCs w:val="11"/>
          <w:color w:val="auto"/>
        </w:rPr>
        <w:t>means, in relation to any period and without double counting, operating profit (loss) of the Reading Entertainment Australia Group (on a</w:t>
      </w:r>
    </w:p>
    <w:p>
      <w:pPr>
        <w:spacing w:after="0" w:line="8" w:lineRule="exact"/>
        <w:rPr>
          <w:sz w:val="20"/>
          <w:szCs w:val="20"/>
          <w:color w:val="auto"/>
        </w:rPr>
      </w:pPr>
    </w:p>
    <w:p>
      <w:pPr>
        <w:ind w:left="840" w:right="300"/>
        <w:spacing w:after="0" w:line="241" w:lineRule="auto"/>
        <w:rPr>
          <w:sz w:val="20"/>
          <w:szCs w:val="20"/>
          <w:color w:val="auto"/>
        </w:rPr>
      </w:pPr>
      <w:r>
        <w:rPr>
          <w:rFonts w:ascii="Arial" w:cs="Arial" w:eastAsia="Arial" w:hAnsi="Arial"/>
          <w:sz w:val="11"/>
          <w:szCs w:val="11"/>
          <w:color w:val="auto"/>
        </w:rPr>
        <w:t>consolidated basis) from ordinary operations before interest, income tax and minority interests, but after deduction of depreciation and amortisation for that period, as determined in accordance with Accounting Standards.</w:t>
      </w:r>
    </w:p>
    <w:p>
      <w:pPr>
        <w:spacing w:after="0" w:line="24" w:lineRule="exact"/>
        <w:rPr>
          <w:sz w:val="20"/>
          <w:szCs w:val="20"/>
          <w:color w:val="auto"/>
        </w:rPr>
      </w:pPr>
    </w:p>
    <w:p>
      <w:pPr>
        <w:ind w:left="840" w:right="460"/>
        <w:spacing w:after="0" w:line="268" w:lineRule="auto"/>
        <w:rPr>
          <w:sz w:val="20"/>
          <w:szCs w:val="20"/>
          <w:color w:val="auto"/>
        </w:rPr>
      </w:pPr>
      <w:r>
        <w:rPr>
          <w:rFonts w:ascii="Arial" w:cs="Arial" w:eastAsia="Arial" w:hAnsi="Arial"/>
          <w:sz w:val="11"/>
          <w:szCs w:val="11"/>
          <w:b w:val="1"/>
          <w:bCs w:val="1"/>
          <w:color w:val="auto"/>
        </w:rPr>
        <w:t xml:space="preserve">EBITDA </w:t>
      </w:r>
      <w:r>
        <w:rPr>
          <w:rFonts w:ascii="Arial" w:cs="Arial" w:eastAsia="Arial" w:hAnsi="Arial"/>
          <w:sz w:val="11"/>
          <w:szCs w:val="11"/>
          <w:color w:val="auto"/>
        </w:rPr>
        <w:t>means, in relation to any period, EBIT for the Reading Entertainment Australia Group for that period, plus depreciation and amortisation as determined in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accordance with Accounting Standards </w:t>
      </w:r>
      <w:r>
        <w:rPr>
          <w:rFonts w:ascii="Arial" w:cs="Arial" w:eastAsia="Arial" w:hAnsi="Arial"/>
          <w:sz w:val="11"/>
          <w:szCs w:val="11"/>
          <w:color w:val="B5082D"/>
          <w:strike w:val="1"/>
        </w:rPr>
        <w:t>including management fees received in cash., but excluding management fees accrued but not received in cash.</w:t>
      </w:r>
    </w:p>
    <w:p>
      <w:pPr>
        <w:spacing w:after="0" w:line="10" w:lineRule="exact"/>
        <w:rPr>
          <w:sz w:val="20"/>
          <w:szCs w:val="20"/>
          <w:color w:val="auto"/>
        </w:rPr>
      </w:pPr>
    </w:p>
    <w:p>
      <w:pPr>
        <w:ind w:left="840" w:right="300"/>
        <w:spacing w:after="0" w:line="268" w:lineRule="auto"/>
        <w:rPr>
          <w:sz w:val="20"/>
          <w:szCs w:val="20"/>
          <w:color w:val="auto"/>
        </w:rPr>
      </w:pPr>
      <w:r>
        <w:rPr>
          <w:rFonts w:ascii="Arial" w:cs="Arial" w:eastAsia="Arial" w:hAnsi="Arial"/>
          <w:sz w:val="11"/>
          <w:szCs w:val="11"/>
          <w:b w:val="1"/>
          <w:bCs w:val="1"/>
          <w:color w:val="auto"/>
        </w:rPr>
        <w:t xml:space="preserve">Encumbrance </w:t>
      </w:r>
      <w:r>
        <w:rPr>
          <w:rFonts w:ascii="Arial" w:cs="Arial" w:eastAsia="Arial" w:hAnsi="Arial"/>
          <w:sz w:val="11"/>
          <w:szCs w:val="11"/>
          <w:color w:val="auto"/>
        </w:rPr>
        <w:t>means any interest in or right over property and anything which would at any time prevent, restrict or delay the registration of any interest in or dealing</w:t>
      </w:r>
      <w:r>
        <w:rPr>
          <w:rFonts w:ascii="Arial" w:cs="Arial" w:eastAsia="Arial" w:hAnsi="Arial"/>
          <w:sz w:val="11"/>
          <w:szCs w:val="11"/>
          <w:b w:val="1"/>
          <w:bCs w:val="1"/>
          <w:color w:val="auto"/>
        </w:rPr>
        <w:t xml:space="preserve"> </w:t>
      </w:r>
      <w:r>
        <w:rPr>
          <w:rFonts w:ascii="Arial" w:cs="Arial" w:eastAsia="Arial" w:hAnsi="Arial"/>
          <w:sz w:val="11"/>
          <w:szCs w:val="11"/>
          <w:color w:val="auto"/>
        </w:rPr>
        <w:t>with property. It includes a Security Interest.</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Environmental Assessment Report </w:t>
      </w:r>
      <w:r>
        <w:rPr>
          <w:rFonts w:ascii="Arial" w:cs="Arial" w:eastAsia="Arial" w:hAnsi="Arial"/>
          <w:sz w:val="11"/>
          <w:szCs w:val="11"/>
          <w:color w:val="auto"/>
        </w:rPr>
        <w:t>means a report in relation to compliance with Environmental Law of the Land and any activities carried out on the Land.</w:t>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Environmental Law </w:t>
      </w:r>
      <w:r>
        <w:rPr>
          <w:rFonts w:ascii="Arial" w:cs="Arial" w:eastAsia="Arial" w:hAnsi="Arial"/>
          <w:sz w:val="11"/>
          <w:szCs w:val="11"/>
          <w:color w:val="auto"/>
        </w:rPr>
        <w:t>means any legislation, regulations or related codes, standards or policies which relate to environmental and</w:t>
      </w:r>
    </w:p>
    <w:p>
      <w:pPr>
        <w:spacing w:after="0" w:line="8" w:lineRule="exact"/>
        <w:rPr>
          <w:sz w:val="20"/>
          <w:szCs w:val="20"/>
          <w:color w:val="auto"/>
        </w:rPr>
      </w:pPr>
    </w:p>
    <w:p>
      <w:pPr>
        <w:ind w:left="840" w:right="480"/>
        <w:spacing w:after="0" w:line="241" w:lineRule="auto"/>
        <w:rPr>
          <w:sz w:val="20"/>
          <w:szCs w:val="20"/>
          <w:color w:val="auto"/>
        </w:rPr>
      </w:pPr>
      <w:r>
        <w:rPr>
          <w:rFonts w:ascii="Arial" w:cs="Arial" w:eastAsia="Arial" w:hAnsi="Arial"/>
          <w:sz w:val="11"/>
          <w:szCs w:val="11"/>
          <w:color w:val="auto"/>
        </w:rPr>
        <w:t>planning matters, including matters concerning land use, development, building works, pollution, contamination, waste, toxic and hazardous substances, disposal of waste or other substances, human health, conservation of natural or cultural resources, heritage and resource allocation.</w:t>
      </w:r>
    </w:p>
    <w:p>
      <w:pPr>
        <w:spacing w:after="0" w:line="24" w:lineRule="exact"/>
        <w:rPr>
          <w:sz w:val="20"/>
          <w:szCs w:val="20"/>
          <w:color w:val="auto"/>
        </w:rPr>
      </w:pPr>
    </w:p>
    <w:p>
      <w:pPr>
        <w:ind w:left="840" w:right="480"/>
        <w:spacing w:after="0" w:line="247" w:lineRule="auto"/>
        <w:rPr>
          <w:sz w:val="20"/>
          <w:szCs w:val="20"/>
          <w:color w:val="auto"/>
        </w:rPr>
      </w:pPr>
      <w:r>
        <w:rPr>
          <w:rFonts w:ascii="Arial" w:cs="Arial" w:eastAsia="Arial" w:hAnsi="Arial"/>
          <w:sz w:val="11"/>
          <w:szCs w:val="11"/>
          <w:b w:val="1"/>
          <w:bCs w:val="1"/>
          <w:color w:val="auto"/>
        </w:rPr>
        <w:t xml:space="preserve">Environmental Liability </w:t>
      </w:r>
      <w:r>
        <w:rPr>
          <w:rFonts w:ascii="Arial" w:cs="Arial" w:eastAsia="Arial" w:hAnsi="Arial"/>
          <w:sz w:val="11"/>
          <w:szCs w:val="11"/>
          <w:color w:val="auto"/>
        </w:rPr>
        <w:t>means any liability, obligation, expense, penalty or fine arising out of a breach of Environmental Law which could be imposed on any</w:t>
      </w:r>
      <w:r>
        <w:rPr>
          <w:rFonts w:ascii="Arial" w:cs="Arial" w:eastAsia="Arial" w:hAnsi="Arial"/>
          <w:sz w:val="11"/>
          <w:szCs w:val="11"/>
          <w:b w:val="1"/>
          <w:bCs w:val="1"/>
          <w:color w:val="auto"/>
        </w:rPr>
        <w:t xml:space="preserve"> </w:t>
      </w:r>
      <w:r>
        <w:rPr>
          <w:rFonts w:ascii="Arial" w:cs="Arial" w:eastAsia="Arial" w:hAnsi="Arial"/>
          <w:sz w:val="11"/>
          <w:szCs w:val="11"/>
          <w:color w:val="auto"/>
        </w:rPr>
        <w:t>Transaction Party or the Bank in respect of the Land as a result of activities carried on during the ownership, occupation or control of the Land by that Transaction Party, the Bank, any predecessor in title or any previous occupier or controller of the Land.</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Equity </w:t>
      </w:r>
      <w:r>
        <w:rPr>
          <w:rFonts w:ascii="Arial" w:cs="Arial" w:eastAsia="Arial" w:hAnsi="Arial"/>
          <w:sz w:val="11"/>
          <w:szCs w:val="11"/>
          <w:color w:val="auto"/>
        </w:rPr>
        <w:t>means total assets minus total liabilities of the Reading Entertainment Australia Group (on a consolidated basis).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Event of Default </w:t>
      </w:r>
      <w:r>
        <w:rPr>
          <w:rFonts w:ascii="Arial" w:cs="Arial" w:eastAsia="Arial" w:hAnsi="Arial"/>
          <w:sz w:val="11"/>
          <w:szCs w:val="11"/>
          <w:color w:val="auto"/>
        </w:rPr>
        <w:t>means any event or circumstance described in</w:t>
      </w:r>
      <w:r>
        <w:rPr>
          <w:rFonts w:ascii="Arial" w:cs="Arial" w:eastAsia="Arial" w:hAnsi="Arial"/>
          <w:sz w:val="11"/>
          <w:szCs w:val="11"/>
          <w:b w:val="1"/>
          <w:bCs w:val="1"/>
          <w:color w:val="auto"/>
        </w:rPr>
        <w:t xml:space="preserve"> clause 10.1</w:t>
      </w:r>
      <w:r>
        <w:rPr>
          <w:rFonts w:ascii="Arial" w:cs="Arial" w:eastAsia="Arial" w:hAnsi="Arial"/>
          <w:sz w:val="11"/>
          <w:szCs w:val="11"/>
          <w:color w:val="auto"/>
        </w:rPr>
        <w:t>.</w:t>
      </w:r>
    </w:p>
    <w:p>
      <w:pPr>
        <w:spacing w:after="0" w:line="52" w:lineRule="exact"/>
        <w:rPr>
          <w:sz w:val="20"/>
          <w:szCs w:val="20"/>
          <w:color w:val="auto"/>
        </w:rPr>
      </w:pPr>
    </w:p>
    <w:p>
      <w:pPr>
        <w:ind w:left="840" w:right="1320"/>
        <w:spacing w:after="0" w:line="268" w:lineRule="auto"/>
        <w:rPr>
          <w:sz w:val="20"/>
          <w:szCs w:val="20"/>
          <w:color w:val="auto"/>
        </w:rPr>
      </w:pPr>
      <w:r>
        <w:rPr>
          <w:rFonts w:ascii="Arial" w:cs="Arial" w:eastAsia="Arial" w:hAnsi="Arial"/>
          <w:sz w:val="11"/>
          <w:szCs w:val="11"/>
          <w:b w:val="1"/>
          <w:bCs w:val="1"/>
          <w:color w:val="auto"/>
        </w:rPr>
        <w:t xml:space="preserve">Excluded Financial Indebtedness </w:t>
      </w:r>
      <w:r>
        <w:rPr>
          <w:rFonts w:ascii="Arial" w:cs="Arial" w:eastAsia="Arial" w:hAnsi="Arial"/>
          <w:sz w:val="11"/>
          <w:szCs w:val="11"/>
          <w:color w:val="auto"/>
        </w:rPr>
        <w:t>means Financial Indebtedness of the kind referred to in paragraph (a), (c) or (d) of the definition of Permitted</w:t>
      </w:r>
      <w:r>
        <w:rPr>
          <w:rFonts w:ascii="Arial" w:cs="Arial" w:eastAsia="Arial" w:hAnsi="Arial"/>
          <w:sz w:val="11"/>
          <w:szCs w:val="11"/>
          <w:b w:val="1"/>
          <w:bCs w:val="1"/>
          <w:color w:val="auto"/>
        </w:rPr>
        <w:t xml:space="preserve"> </w:t>
      </w:r>
      <w:r>
        <w:rPr>
          <w:rFonts w:ascii="Arial" w:cs="Arial" w:eastAsia="Arial" w:hAnsi="Arial"/>
          <w:sz w:val="11"/>
          <w:szCs w:val="11"/>
          <w:color w:val="auto"/>
        </w:rPr>
        <w:t>Financial Indebtedness.</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Excluded Property </w:t>
      </w:r>
      <w:r>
        <w:rPr>
          <w:rFonts w:ascii="Arial" w:cs="Arial" w:eastAsia="Arial" w:hAnsi="Arial"/>
          <w:sz w:val="11"/>
          <w:szCs w:val="11"/>
          <w:color w:val="auto"/>
        </w:rPr>
        <w:t>means: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2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080" w:type="dxa"/>
            <w:vAlign w:val="bottom"/>
          </w:tcPr>
          <w:p>
            <w:pPr>
              <w:ind w:left="3820"/>
              <w:spacing w:after="0"/>
              <w:rPr>
                <w:sz w:val="20"/>
                <w:szCs w:val="20"/>
                <w:color w:val="auto"/>
              </w:rPr>
            </w:pPr>
            <w:r>
              <w:rPr>
                <w:rFonts w:ascii="Arial" w:cs="Arial" w:eastAsia="Arial" w:hAnsi="Arial"/>
                <w:sz w:val="8"/>
                <w:szCs w:val="8"/>
                <w:color w:val="auto"/>
                <w:w w:val="97"/>
              </w:rPr>
              <w:t>page 6</w:t>
            </w:r>
          </w:p>
        </w:tc>
      </w:tr>
      <w:tr>
        <w:trPr>
          <w:trHeight w:val="94"/>
        </w:trPr>
        <w:tc>
          <w:tcPr>
            <w:tcW w:w="520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08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20" w:type="dxa"/>
            <w:vAlign w:val="bottom"/>
            <w:tcBorders>
              <w:bottom w:val="single" w:sz="8" w:color="EEEEEE"/>
            </w:tcBorders>
          </w:tcPr>
          <w:p>
            <w:pPr>
              <w:spacing w:after="0"/>
              <w:rPr>
                <w:sz w:val="18"/>
                <w:szCs w:val="18"/>
                <w:color w:val="auto"/>
              </w:rPr>
            </w:pPr>
          </w:p>
        </w:tc>
        <w:tc>
          <w:tcPr>
            <w:tcW w:w="408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74" w:name="page75"/>
    <w:bookmarkEnd w:id="74"/>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right="340" w:hanging="270"/>
        <w:spacing w:after="0" w:line="256" w:lineRule="auto"/>
        <w:tabs>
          <w:tab w:leader="none" w:pos="1100"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 present or future interest of Reading Exhibition Pty Ltd in the Garden City Cinema joint venture with Village Roadshow Exhibition and Birch Carroll &amp; Coyle or the assets the subject of the joint venture or the relevant joint venture agreement; and</w:t>
      </w:r>
    </w:p>
    <w:p>
      <w:pPr>
        <w:spacing w:after="0" w:line="22" w:lineRule="exact"/>
        <w:rPr>
          <w:rFonts w:ascii="Arial" w:cs="Arial" w:eastAsia="Arial" w:hAnsi="Arial"/>
          <w:sz w:val="11"/>
          <w:szCs w:val="11"/>
          <w:color w:val="auto"/>
        </w:rPr>
      </w:pPr>
    </w:p>
    <w:p>
      <w:pPr>
        <w:ind w:left="1100" w:right="1060" w:hanging="270"/>
        <w:spacing w:after="0" w:line="256" w:lineRule="auto"/>
        <w:tabs>
          <w:tab w:leader="none" w:pos="1100"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 present or future interest of Epping Cinemas Pty Ltd in the lease granted by Bevendale Pty Ltd or the property the subject of the lease to the extent that the existence of a charge over that interest or property would cause a breach of the that lease.</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Expired </w:t>
      </w:r>
      <w:r>
        <w:rPr>
          <w:rFonts w:ascii="Arial" w:cs="Arial" w:eastAsia="Arial" w:hAnsi="Arial"/>
          <w:sz w:val="11"/>
          <w:szCs w:val="11"/>
          <w:color w:val="auto"/>
        </w:rPr>
        <w:t>means, in relation to a Bank Guarantee, that its Expiry Date has passed whether or not a claim has been made under it by the Beneficiary.</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Expiry Date </w:t>
      </w:r>
      <w:r>
        <w:rPr>
          <w:rFonts w:ascii="Arial" w:cs="Arial" w:eastAsia="Arial" w:hAnsi="Arial"/>
          <w:sz w:val="11"/>
          <w:szCs w:val="11"/>
          <w:color w:val="auto"/>
        </w:rPr>
        <w:t>means, in relation to a Bank Guarantee, the date specified in that Bank Guarantee as the latest date by which the Beneficiary may make a claim under it.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Face Value </w:t>
      </w:r>
      <w:r>
        <w:rPr>
          <w:rFonts w:ascii="Arial" w:cs="Arial" w:eastAsia="Arial" w:hAnsi="Arial"/>
          <w:sz w:val="11"/>
          <w:szCs w:val="11"/>
          <w:color w:val="auto"/>
        </w:rPr>
        <w:t>means, in relation to a Bank Guarantee:</w:t>
      </w:r>
    </w:p>
    <w:p>
      <w:pPr>
        <w:spacing w:after="0" w:line="58" w:lineRule="exact"/>
        <w:rPr>
          <w:sz w:val="20"/>
          <w:szCs w:val="20"/>
          <w:color w:val="auto"/>
        </w:rPr>
      </w:pPr>
    </w:p>
    <w:p>
      <w:pPr>
        <w:ind w:left="1100" w:hanging="270"/>
        <w:spacing w:after="0"/>
        <w:tabs>
          <w:tab w:leader="none" w:pos="1100" w:val="left"/>
        </w:tabs>
        <w:numPr>
          <w:ilvl w:val="0"/>
          <w:numId w:val="43"/>
        </w:numPr>
        <w:rPr>
          <w:rFonts w:ascii="Arial" w:cs="Arial" w:eastAsia="Arial" w:hAnsi="Arial"/>
          <w:sz w:val="11"/>
          <w:szCs w:val="11"/>
          <w:color w:val="auto"/>
        </w:rPr>
      </w:pPr>
      <w:r>
        <w:rPr>
          <w:rFonts w:ascii="Arial" w:cs="Arial" w:eastAsia="Arial" w:hAnsi="Arial"/>
          <w:sz w:val="11"/>
          <w:szCs w:val="11"/>
          <w:color w:val="auto"/>
        </w:rPr>
        <w:t>subject to paragraph (b), the amount specified in that Bank Guarantee as the aggregate maximum amount which the Beneficiary may claim under it; or</w:t>
      </w:r>
    </w:p>
    <w:p>
      <w:pPr>
        <w:spacing w:after="0" w:line="46" w:lineRule="exact"/>
        <w:rPr>
          <w:rFonts w:ascii="Arial" w:cs="Arial" w:eastAsia="Arial" w:hAnsi="Arial"/>
          <w:sz w:val="11"/>
          <w:szCs w:val="11"/>
          <w:color w:val="auto"/>
        </w:rPr>
      </w:pPr>
    </w:p>
    <w:p>
      <w:pPr>
        <w:ind w:left="1100" w:right="540" w:hanging="270"/>
        <w:spacing w:after="0" w:line="256" w:lineRule="auto"/>
        <w:tabs>
          <w:tab w:leader="none" w:pos="1100" w:val="left"/>
        </w:tabs>
        <w:numPr>
          <w:ilvl w:val="0"/>
          <w:numId w:val="43"/>
        </w:numPr>
        <w:rPr>
          <w:rFonts w:ascii="Arial" w:cs="Arial" w:eastAsia="Arial" w:hAnsi="Arial"/>
          <w:sz w:val="11"/>
          <w:szCs w:val="11"/>
          <w:color w:val="auto"/>
        </w:rPr>
      </w:pPr>
      <w:r>
        <w:rPr>
          <w:rFonts w:ascii="Arial" w:cs="Arial" w:eastAsia="Arial" w:hAnsi="Arial"/>
          <w:sz w:val="11"/>
          <w:szCs w:val="11"/>
          <w:color w:val="auto"/>
        </w:rPr>
        <w:t>if the Beneficiary makes a claim, then between when the Beneficiary makes the first of those claims and the first to occur of the Bank Guarantee Maturing or Expiring, the Face Value of the Bank Guarantee will be the difference between its original face value and the aggregate of all valid claims made under it.</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Facility </w:t>
      </w:r>
      <w:r>
        <w:rPr>
          <w:rFonts w:ascii="Arial" w:cs="Arial" w:eastAsia="Arial" w:hAnsi="Arial"/>
          <w:sz w:val="11"/>
          <w:szCs w:val="11"/>
          <w:color w:val="auto"/>
        </w:rPr>
        <w:t>means each of the facilities listed in</w:t>
      </w:r>
      <w:r>
        <w:rPr>
          <w:rFonts w:ascii="Arial" w:cs="Arial" w:eastAsia="Arial" w:hAnsi="Arial"/>
          <w:sz w:val="11"/>
          <w:szCs w:val="11"/>
          <w:b w:val="1"/>
          <w:bCs w:val="1"/>
          <w:color w:val="auto"/>
        </w:rPr>
        <w:t xml:space="preserve"> schedule 2 </w:t>
      </w:r>
      <w:r>
        <w:rPr>
          <w:rFonts w:ascii="Arial" w:cs="Arial" w:eastAsia="Arial" w:hAnsi="Arial"/>
          <w:sz w:val="11"/>
          <w:szCs w:val="11"/>
          <w:color w:val="auto"/>
        </w:rPr>
        <w:t>(and each Facility may be referred to by the Facility Name listed in</w:t>
      </w:r>
      <w:r>
        <w:rPr>
          <w:rFonts w:ascii="Arial" w:cs="Arial" w:eastAsia="Arial" w:hAnsi="Arial"/>
          <w:sz w:val="11"/>
          <w:szCs w:val="11"/>
          <w:b w:val="1"/>
          <w:bCs w:val="1"/>
          <w:color w:val="auto"/>
        </w:rPr>
        <w:t xml:space="preserve"> schedule 2</w:t>
      </w:r>
      <w:r>
        <w:rPr>
          <w:rFonts w:ascii="Arial" w:cs="Arial" w:eastAsia="Arial" w:hAnsi="Arial"/>
          <w:sz w:val="11"/>
          <w:szCs w:val="11"/>
          <w:color w:val="auto"/>
        </w:rPr>
        <w:t>).</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Facility Limit </w:t>
      </w:r>
      <w:r>
        <w:rPr>
          <w:rFonts w:ascii="Arial" w:cs="Arial" w:eastAsia="Arial" w:hAnsi="Arial"/>
          <w:sz w:val="11"/>
          <w:szCs w:val="11"/>
          <w:color w:val="auto"/>
        </w:rPr>
        <w:t>means, in respect of each Facility, the relevant Facility Limit set out in</w:t>
      </w:r>
      <w:r>
        <w:rPr>
          <w:rFonts w:ascii="Arial" w:cs="Arial" w:eastAsia="Arial" w:hAnsi="Arial"/>
          <w:sz w:val="11"/>
          <w:szCs w:val="11"/>
          <w:b w:val="1"/>
          <w:bCs w:val="1"/>
          <w:color w:val="auto"/>
        </w:rPr>
        <w:t xml:space="preserve"> schedule 2</w:t>
      </w:r>
      <w:r>
        <w:rPr>
          <w:rFonts w:ascii="Arial" w:cs="Arial" w:eastAsia="Arial" w:hAnsi="Arial"/>
          <w:sz w:val="11"/>
          <w:szCs w:val="11"/>
          <w:color w:val="auto"/>
        </w:rPr>
        <w:t>, as reduced under this document including in accordance with</w:t>
      </w:r>
      <w:r>
        <w:rPr>
          <w:rFonts w:ascii="Arial" w:cs="Arial" w:eastAsia="Arial" w:hAnsi="Arial"/>
          <w:sz w:val="11"/>
          <w:szCs w:val="11"/>
          <w:b w:val="1"/>
          <w:bCs w:val="1"/>
          <w:color w:val="auto"/>
        </w:rPr>
        <w:t xml:space="preserve"> clause 5.6</w:t>
      </w:r>
      <w:r>
        <w:rPr>
          <w:rFonts w:ascii="Arial" w:cs="Arial" w:eastAsia="Arial" w:hAnsi="Arial"/>
          <w:sz w:val="11"/>
          <w:szCs w:val="11"/>
          <w:color w:val="auto"/>
        </w:rPr>
        <w:t>.</w:t>
      </w:r>
    </w:p>
    <w:p>
      <w:pPr>
        <w:spacing w:after="0" w:line="39"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Financial Close </w:t>
      </w:r>
      <w:r>
        <w:rPr>
          <w:rFonts w:ascii="Arial" w:cs="Arial" w:eastAsia="Arial" w:hAnsi="Arial"/>
          <w:sz w:val="11"/>
          <w:szCs w:val="11"/>
          <w:color w:val="auto"/>
        </w:rPr>
        <w:t>means the initial Funding Date.</w:t>
      </w:r>
    </w:p>
    <w:p>
      <w:pPr>
        <w:spacing w:after="0" w:line="52" w:lineRule="exact"/>
        <w:rPr>
          <w:sz w:val="20"/>
          <w:szCs w:val="20"/>
          <w:color w:val="auto"/>
        </w:rPr>
      </w:pPr>
    </w:p>
    <w:p>
      <w:pPr>
        <w:ind w:left="840" w:right="2460"/>
        <w:spacing w:after="0" w:line="268" w:lineRule="auto"/>
        <w:rPr>
          <w:sz w:val="20"/>
          <w:szCs w:val="20"/>
          <w:color w:val="auto"/>
        </w:rPr>
      </w:pPr>
      <w:r>
        <w:rPr>
          <w:rFonts w:ascii="Arial" w:cs="Arial" w:eastAsia="Arial" w:hAnsi="Arial"/>
          <w:sz w:val="11"/>
          <w:szCs w:val="11"/>
          <w:b w:val="1"/>
          <w:bCs w:val="1"/>
          <w:color w:val="auto"/>
        </w:rPr>
        <w:t xml:space="preserve">Financial Indebtedness </w:t>
      </w:r>
      <w:r>
        <w:rPr>
          <w:rFonts w:ascii="Arial" w:cs="Arial" w:eastAsia="Arial" w:hAnsi="Arial"/>
          <w:sz w:val="11"/>
          <w:szCs w:val="11"/>
          <w:color w:val="auto"/>
        </w:rPr>
        <w:t>means any indebtedness or other liability (present or future, actual or contingent) relating to any</w:t>
      </w:r>
      <w:r>
        <w:rPr>
          <w:rFonts w:ascii="Arial" w:cs="Arial" w:eastAsia="Arial" w:hAnsi="Arial"/>
          <w:sz w:val="11"/>
          <w:szCs w:val="11"/>
          <w:b w:val="1"/>
          <w:bCs w:val="1"/>
          <w:color w:val="auto"/>
        </w:rPr>
        <w:t xml:space="preserve"> </w:t>
      </w:r>
      <w:r>
        <w:rPr>
          <w:rFonts w:ascii="Arial" w:cs="Arial" w:eastAsia="Arial" w:hAnsi="Arial"/>
          <w:sz w:val="11"/>
          <w:szCs w:val="11"/>
          <w:color w:val="auto"/>
        </w:rPr>
        <w:t>financial accommodation including indebtedness or other liability:</w:t>
      </w:r>
    </w:p>
    <w:p>
      <w:pPr>
        <w:spacing w:after="0" w:line="24" w:lineRule="exact"/>
        <w:rPr>
          <w:sz w:val="20"/>
          <w:szCs w:val="20"/>
          <w:color w:val="auto"/>
        </w:rPr>
      </w:pPr>
    </w:p>
    <w:p>
      <w:pPr>
        <w:ind w:left="1100" w:hanging="270"/>
        <w:spacing w:after="0"/>
        <w:tabs>
          <w:tab w:leader="none" w:pos="11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for money borrowed or raised;</w:t>
      </w:r>
    </w:p>
    <w:p>
      <w:pPr>
        <w:spacing w:after="0" w:line="76" w:lineRule="exact"/>
        <w:rPr>
          <w:rFonts w:ascii="Arial" w:cs="Arial" w:eastAsia="Arial" w:hAnsi="Arial"/>
          <w:sz w:val="11"/>
          <w:szCs w:val="11"/>
          <w:color w:val="auto"/>
        </w:rPr>
      </w:pPr>
    </w:p>
    <w:p>
      <w:pPr>
        <w:ind w:left="1100" w:hanging="270"/>
        <w:spacing w:after="0"/>
        <w:tabs>
          <w:tab w:leader="none" w:pos="11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relating to the sale or negotiation of any negotiable instrument;</w:t>
      </w:r>
    </w:p>
    <w:p>
      <w:pPr>
        <w:spacing w:after="0" w:line="68" w:lineRule="exact"/>
        <w:rPr>
          <w:rFonts w:ascii="Arial" w:cs="Arial" w:eastAsia="Arial" w:hAnsi="Arial"/>
          <w:sz w:val="11"/>
          <w:szCs w:val="11"/>
          <w:color w:val="auto"/>
        </w:rPr>
      </w:pPr>
    </w:p>
    <w:p>
      <w:pPr>
        <w:ind w:left="1100" w:hanging="270"/>
        <w:spacing w:after="0"/>
        <w:tabs>
          <w:tab w:leader="none" w:pos="11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as lessee under any finance lease, as hirer under any hire purchase agreement or as purchaser under any title retention agreement;</w:t>
      </w:r>
    </w:p>
    <w:p>
      <w:pPr>
        <w:spacing w:after="0" w:line="46" w:lineRule="exact"/>
        <w:rPr>
          <w:rFonts w:ascii="Arial" w:cs="Arial" w:eastAsia="Arial" w:hAnsi="Arial"/>
          <w:sz w:val="11"/>
          <w:szCs w:val="11"/>
          <w:color w:val="auto"/>
        </w:rPr>
      </w:pPr>
    </w:p>
    <w:p>
      <w:pPr>
        <w:ind w:left="1100" w:hanging="270"/>
        <w:spacing w:after="0"/>
        <w:tabs>
          <w:tab w:leader="none" w:pos="11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relating to any preference share or unit categorised as debt under Accounting Standards;</w:t>
      </w:r>
    </w:p>
    <w:p>
      <w:pPr>
        <w:spacing w:after="0" w:line="46" w:lineRule="exact"/>
        <w:rPr>
          <w:rFonts w:ascii="Arial" w:cs="Arial" w:eastAsia="Arial" w:hAnsi="Arial"/>
          <w:sz w:val="11"/>
          <w:szCs w:val="11"/>
          <w:color w:val="auto"/>
        </w:rPr>
      </w:pPr>
    </w:p>
    <w:p>
      <w:pPr>
        <w:ind w:left="1100" w:hanging="270"/>
        <w:spacing w:after="0"/>
        <w:tabs>
          <w:tab w:leader="none" w:pos="11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under any commodity, currency or interest rate swap agreement, forward exchange rate agreement or futures contract (as defined in any statute);</w:t>
      </w:r>
    </w:p>
    <w:p>
      <w:pPr>
        <w:spacing w:after="0" w:line="53" w:lineRule="exact"/>
        <w:rPr>
          <w:rFonts w:ascii="Arial" w:cs="Arial" w:eastAsia="Arial" w:hAnsi="Arial"/>
          <w:sz w:val="11"/>
          <w:szCs w:val="11"/>
          <w:color w:val="auto"/>
        </w:rPr>
      </w:pPr>
    </w:p>
    <w:p>
      <w:pPr>
        <w:ind w:left="1100" w:hanging="270"/>
        <w:spacing w:after="0"/>
        <w:tabs>
          <w:tab w:leader="none" w:pos="11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under any Guarantee relating to any financial accommodation; or</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2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080" w:type="dxa"/>
            <w:vAlign w:val="bottom"/>
          </w:tcPr>
          <w:p>
            <w:pPr>
              <w:ind w:left="3820"/>
              <w:spacing w:after="0"/>
              <w:rPr>
                <w:sz w:val="20"/>
                <w:szCs w:val="20"/>
                <w:color w:val="auto"/>
              </w:rPr>
            </w:pPr>
            <w:r>
              <w:rPr>
                <w:rFonts w:ascii="Arial" w:cs="Arial" w:eastAsia="Arial" w:hAnsi="Arial"/>
                <w:sz w:val="8"/>
                <w:szCs w:val="8"/>
                <w:color w:val="auto"/>
                <w:w w:val="97"/>
              </w:rPr>
              <w:t>page 7</w:t>
            </w:r>
          </w:p>
        </w:tc>
      </w:tr>
      <w:tr>
        <w:trPr>
          <w:trHeight w:val="94"/>
        </w:trPr>
        <w:tc>
          <w:tcPr>
            <w:tcW w:w="520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08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20" w:type="dxa"/>
            <w:vAlign w:val="bottom"/>
            <w:tcBorders>
              <w:bottom w:val="single" w:sz="8" w:color="EEEEEE"/>
            </w:tcBorders>
          </w:tcPr>
          <w:p>
            <w:pPr>
              <w:spacing w:after="0"/>
              <w:rPr>
                <w:sz w:val="18"/>
                <w:szCs w:val="18"/>
                <w:color w:val="auto"/>
              </w:rPr>
            </w:pPr>
          </w:p>
        </w:tc>
        <w:tc>
          <w:tcPr>
            <w:tcW w:w="408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75" w:name="page76"/>
    <w:bookmarkEnd w:id="75"/>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right="2640" w:hanging="10"/>
        <w:spacing w:after="0" w:line="342" w:lineRule="auto"/>
        <w:tabs>
          <w:tab w:leader="none" w:pos="1118" w:val="left"/>
        </w:tabs>
        <w:numPr>
          <w:ilvl w:val="0"/>
          <w:numId w:val="45"/>
        </w:numPr>
        <w:rPr>
          <w:rFonts w:ascii="Arial" w:cs="Arial" w:eastAsia="Arial" w:hAnsi="Arial"/>
          <w:sz w:val="11"/>
          <w:szCs w:val="11"/>
          <w:color w:val="auto"/>
        </w:rPr>
      </w:pPr>
      <w:r>
        <w:rPr>
          <w:rFonts w:ascii="Arial" w:cs="Arial" w:eastAsia="Arial" w:hAnsi="Arial"/>
          <w:sz w:val="11"/>
          <w:szCs w:val="11"/>
          <w:color w:val="auto"/>
        </w:rPr>
        <w:t xml:space="preserve">for any deferred purchase price (other than in the nature of warranty retention amounts) for any asset or service. </w:t>
      </w:r>
      <w:r>
        <w:rPr>
          <w:rFonts w:ascii="Arial" w:cs="Arial" w:eastAsia="Arial" w:hAnsi="Arial"/>
          <w:sz w:val="10"/>
          <w:szCs w:val="10"/>
          <w:b w:val="1"/>
          <w:bCs w:val="1"/>
          <w:color w:val="auto"/>
        </w:rPr>
        <w:t xml:space="preserve">Financial Ratio </w:t>
      </w:r>
      <w:r>
        <w:rPr>
          <w:rFonts w:ascii="Arial" w:cs="Arial" w:eastAsia="Arial" w:hAnsi="Arial"/>
          <w:sz w:val="10"/>
          <w:szCs w:val="10"/>
          <w:color w:val="auto"/>
        </w:rPr>
        <w:t>means any of the financial ratios referred to in</w:t>
      </w:r>
      <w:r>
        <w:rPr>
          <w:rFonts w:ascii="Arial" w:cs="Arial" w:eastAsia="Arial" w:hAnsi="Arial"/>
          <w:sz w:val="10"/>
          <w:szCs w:val="10"/>
          <w:b w:val="1"/>
          <w:bCs w:val="1"/>
          <w:color w:val="auto"/>
        </w:rPr>
        <w:t xml:space="preserve"> clause 9.8</w:t>
      </w:r>
      <w:r>
        <w:rPr>
          <w:rFonts w:ascii="Arial" w:cs="Arial" w:eastAsia="Arial" w:hAnsi="Arial"/>
          <w:sz w:val="10"/>
          <w:szCs w:val="10"/>
          <w:color w:val="auto"/>
        </w:rPr>
        <w:t>.</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Financial Statements </w:t>
      </w:r>
      <w:r>
        <w:rPr>
          <w:rFonts w:ascii="Arial" w:cs="Arial" w:eastAsia="Arial" w:hAnsi="Arial"/>
          <w:sz w:val="11"/>
          <w:szCs w:val="11"/>
          <w:color w:val="auto"/>
        </w:rPr>
        <w:t>means a balance sheet, an income statement, a statement of changes in equity, a cash flow statement, notes comprising</w:t>
      </w:r>
    </w:p>
    <w:p>
      <w:pPr>
        <w:spacing w:after="0" w:line="8" w:lineRule="exact"/>
        <w:rPr>
          <w:sz w:val="20"/>
          <w:szCs w:val="20"/>
          <w:color w:val="auto"/>
        </w:rPr>
      </w:pPr>
    </w:p>
    <w:p>
      <w:pPr>
        <w:ind w:left="840" w:right="180"/>
        <w:spacing w:after="0" w:line="241" w:lineRule="auto"/>
        <w:rPr>
          <w:sz w:val="20"/>
          <w:szCs w:val="20"/>
          <w:color w:val="auto"/>
        </w:rPr>
      </w:pPr>
      <w:r>
        <w:rPr>
          <w:rFonts w:ascii="Arial" w:cs="Arial" w:eastAsia="Arial" w:hAnsi="Arial"/>
          <w:sz w:val="11"/>
          <w:szCs w:val="11"/>
          <w:color w:val="auto"/>
        </w:rPr>
        <w:t>a summary of significant accounting policies and other explanatory note; and any directors’ declarations, directors’ reports and auditor’s reports attached to, intended to be read with or required by the Corporations Act to accompany, all or any of those documents.</w:t>
      </w:r>
    </w:p>
    <w:p>
      <w:pPr>
        <w:spacing w:after="0" w:line="33"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Financial Year </w:t>
      </w:r>
      <w:r>
        <w:rPr>
          <w:rFonts w:ascii="Arial" w:cs="Arial" w:eastAsia="Arial" w:hAnsi="Arial"/>
          <w:sz w:val="11"/>
          <w:szCs w:val="11"/>
          <w:color w:val="auto"/>
        </w:rPr>
        <w:t>means a period of 12 months ending on 31 December.</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Fixed Charges Cover Ratio </w:t>
      </w:r>
      <w:r>
        <w:rPr>
          <w:rFonts w:ascii="Arial" w:cs="Arial" w:eastAsia="Arial" w:hAnsi="Arial"/>
          <w:sz w:val="11"/>
          <w:szCs w:val="11"/>
          <w:color w:val="auto"/>
        </w:rPr>
        <w:t>means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at any date the ratio of</w:t>
      </w:r>
      <w:r>
        <w:rPr>
          <w:rFonts w:ascii="Arial" w:cs="Arial" w:eastAsia="Arial" w:hAnsi="Arial"/>
          <w:sz w:val="11"/>
          <w:szCs w:val="11"/>
          <w:color w:val="auto"/>
        </w:rPr>
        <w:t>:</w:t>
      </w:r>
    </w:p>
    <w:p>
      <w:pPr>
        <w:spacing w:after="0" w:line="58" w:lineRule="exact"/>
        <w:rPr>
          <w:sz w:val="20"/>
          <w:szCs w:val="20"/>
          <w:color w:val="auto"/>
        </w:rPr>
      </w:pPr>
    </w:p>
    <w:p>
      <w:pPr>
        <w:ind w:left="1080" w:hanging="280"/>
        <w:spacing w:after="0"/>
        <w:tabs>
          <w:tab w:leader="none" w:pos="1080" w:val="left"/>
        </w:tabs>
        <w:numPr>
          <w:ilvl w:val="0"/>
          <w:numId w:val="46"/>
        </w:numPr>
        <w:rPr>
          <w:rFonts w:ascii="Arial" w:cs="Arial" w:eastAsia="Arial" w:hAnsi="Arial"/>
          <w:sz w:val="11"/>
          <w:szCs w:val="11"/>
          <w:color w:val="auto"/>
          <w:strike w:val="1"/>
        </w:rPr>
      </w:pPr>
      <w:r>
        <w:rPr>
          <w:rFonts w:ascii="Arial" w:cs="Arial" w:eastAsia="Arial" w:hAnsi="Arial"/>
          <w:sz w:val="11"/>
          <w:szCs w:val="11"/>
          <w:color w:val="B5082D"/>
          <w:strike w:val="1"/>
        </w:rPr>
        <w:t>at any date (other than 31 March 2021, 30 June 2021 and 30 September 2021), the ratio of:</w:t>
      </w:r>
    </w:p>
    <w:p>
      <w:pPr>
        <w:spacing w:after="0" w:line="53" w:lineRule="exact"/>
        <w:rPr>
          <w:rFonts w:ascii="Arial" w:cs="Arial" w:eastAsia="Arial" w:hAnsi="Arial"/>
          <w:sz w:val="11"/>
          <w:szCs w:val="11"/>
          <w:color w:val="auto"/>
          <w:strike w:val="1"/>
        </w:rPr>
      </w:pPr>
    </w:p>
    <w:p>
      <w:pPr>
        <w:ind w:left="800"/>
        <w:spacing w:after="0"/>
        <w:rPr>
          <w:rFonts w:ascii="Arial" w:cs="Arial" w:eastAsia="Arial" w:hAnsi="Arial"/>
          <w:sz w:val="11"/>
          <w:szCs w:val="11"/>
          <w:color w:val="auto"/>
          <w:strike w:val="1"/>
        </w:rPr>
      </w:pPr>
      <w:r>
        <w:rPr>
          <w:rFonts w:ascii="Arial" w:cs="Arial" w:eastAsia="Arial" w:hAnsi="Arial"/>
          <w:sz w:val="11"/>
          <w:szCs w:val="11"/>
          <w:color w:val="B5082D"/>
          <w:strike w:val="1"/>
        </w:rPr>
        <w:t>(b)</w:t>
      </w:r>
      <w:r>
        <w:rPr>
          <w:rFonts w:ascii="Arial" w:cs="Arial" w:eastAsia="Arial" w:hAnsi="Arial"/>
          <w:sz w:val="11"/>
          <w:szCs w:val="11"/>
          <w:u w:val="single" w:color="auto"/>
          <w:color w:val="2D96D2"/>
        </w:rPr>
        <w:t>(a)</w:t>
      </w:r>
      <w:r>
        <w:rPr>
          <w:rFonts w:ascii="Arial" w:cs="Arial" w:eastAsia="Arial" w:hAnsi="Arial"/>
          <w:sz w:val="11"/>
          <w:szCs w:val="11"/>
          <w:color w:val="B5082D"/>
        </w:rPr>
        <w:t xml:space="preserve"> </w:t>
      </w:r>
      <w:r>
        <w:rPr>
          <w:rFonts w:ascii="Arial" w:cs="Arial" w:eastAsia="Arial" w:hAnsi="Arial"/>
          <w:sz w:val="11"/>
          <w:szCs w:val="11"/>
          <w:color w:val="000000"/>
        </w:rPr>
        <w:t>the aggregate amount of:</w:t>
      </w:r>
    </w:p>
    <w:p>
      <w:pPr>
        <w:spacing w:after="0" w:line="68" w:lineRule="exact"/>
        <w:rPr>
          <w:rFonts w:ascii="Arial" w:cs="Arial" w:eastAsia="Arial" w:hAnsi="Arial"/>
          <w:sz w:val="11"/>
          <w:szCs w:val="11"/>
          <w:color w:val="auto"/>
          <w:strike w:val="1"/>
        </w:rPr>
      </w:pPr>
    </w:p>
    <w:p>
      <w:pPr>
        <w:ind w:left="1380" w:hanging="272"/>
        <w:spacing w:after="0"/>
        <w:tabs>
          <w:tab w:leader="none" w:pos="1380" w:val="left"/>
        </w:tabs>
        <w:numPr>
          <w:ilvl w:val="1"/>
          <w:numId w:val="46"/>
        </w:numPr>
        <w:rPr>
          <w:rFonts w:ascii="Arial" w:cs="Arial" w:eastAsia="Arial" w:hAnsi="Arial"/>
          <w:sz w:val="11"/>
          <w:szCs w:val="11"/>
          <w:color w:val="auto"/>
        </w:rPr>
      </w:pPr>
      <w:r>
        <w:rPr>
          <w:rFonts w:ascii="Arial" w:cs="Arial" w:eastAsia="Arial" w:hAnsi="Arial"/>
          <w:sz w:val="11"/>
          <w:szCs w:val="11"/>
          <w:color w:val="auto"/>
        </w:rPr>
        <w:t>Adjusted EBITDA in respect of the 12 month period ending on that date; and</w:t>
      </w:r>
    </w:p>
    <w:p>
      <w:pPr>
        <w:spacing w:after="0" w:line="46" w:lineRule="exact"/>
        <w:rPr>
          <w:rFonts w:ascii="Arial" w:cs="Arial" w:eastAsia="Arial" w:hAnsi="Arial"/>
          <w:sz w:val="11"/>
          <w:szCs w:val="11"/>
          <w:color w:val="auto"/>
        </w:rPr>
      </w:pPr>
    </w:p>
    <w:p>
      <w:pPr>
        <w:ind w:left="1380" w:hanging="272"/>
        <w:spacing w:after="0"/>
        <w:tabs>
          <w:tab w:leader="none" w:pos="1380" w:val="left"/>
        </w:tabs>
        <w:numPr>
          <w:ilvl w:val="1"/>
          <w:numId w:val="46"/>
        </w:numPr>
        <w:rPr>
          <w:rFonts w:ascii="Arial" w:cs="Arial" w:eastAsia="Arial" w:hAnsi="Arial"/>
          <w:sz w:val="11"/>
          <w:szCs w:val="11"/>
          <w:color w:val="auto"/>
        </w:rPr>
      </w:pPr>
      <w:r>
        <w:rPr>
          <w:rFonts w:ascii="Arial" w:cs="Arial" w:eastAsia="Arial" w:hAnsi="Arial"/>
          <w:sz w:val="11"/>
          <w:szCs w:val="11"/>
          <w:color w:val="auto"/>
        </w:rPr>
        <w:t>Total Lease Payments in respect of the 12 month period ending on that date,</w:t>
      </w:r>
    </w:p>
    <w:p>
      <w:pPr>
        <w:spacing w:after="0" w:line="61"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to</w:t>
      </w:r>
    </w:p>
    <w:p>
      <w:pPr>
        <w:spacing w:after="0" w:line="76" w:lineRule="exact"/>
        <w:rPr>
          <w:sz w:val="20"/>
          <w:szCs w:val="20"/>
          <w:color w:val="auto"/>
        </w:rPr>
      </w:pPr>
    </w:p>
    <w:p>
      <w:pPr>
        <w:ind w:left="800"/>
        <w:spacing w:after="0"/>
        <w:rPr>
          <w:sz w:val="20"/>
          <w:szCs w:val="20"/>
          <w:color w:val="auto"/>
        </w:rPr>
      </w:pPr>
      <w:r>
        <w:rPr>
          <w:rFonts w:ascii="Arial" w:cs="Arial" w:eastAsia="Arial" w:hAnsi="Arial"/>
          <w:sz w:val="11"/>
          <w:szCs w:val="11"/>
          <w:color w:val="B5082D"/>
          <w:strike w:val="1"/>
        </w:rPr>
        <w:t>(c)</w:t>
      </w:r>
      <w:r>
        <w:rPr>
          <w:rFonts w:ascii="Arial" w:cs="Arial" w:eastAsia="Arial" w:hAnsi="Arial"/>
          <w:sz w:val="11"/>
          <w:szCs w:val="11"/>
          <w:u w:val="single" w:color="auto"/>
          <w:color w:val="2D96D2"/>
        </w:rPr>
        <w:t>(b)</w:t>
      </w:r>
      <w:r>
        <w:rPr>
          <w:rFonts w:ascii="Arial" w:cs="Arial" w:eastAsia="Arial" w:hAnsi="Arial"/>
          <w:sz w:val="11"/>
          <w:szCs w:val="11"/>
          <w:color w:val="B5082D"/>
        </w:rPr>
        <w:t xml:space="preserve"> </w:t>
      </w:r>
      <w:r>
        <w:rPr>
          <w:rFonts w:ascii="Arial" w:cs="Arial" w:eastAsia="Arial" w:hAnsi="Arial"/>
          <w:sz w:val="11"/>
          <w:szCs w:val="11"/>
          <w:color w:val="000000"/>
        </w:rPr>
        <w:t>the aggregate amount of:</w:t>
      </w:r>
    </w:p>
    <w:p>
      <w:pPr>
        <w:spacing w:after="0" w:line="69" w:lineRule="exact"/>
        <w:rPr>
          <w:sz w:val="20"/>
          <w:szCs w:val="20"/>
          <w:color w:val="auto"/>
        </w:rPr>
      </w:pPr>
    </w:p>
    <w:p>
      <w:pPr>
        <w:ind w:left="1380" w:right="640" w:hanging="272"/>
        <w:spacing w:after="0" w:line="256" w:lineRule="auto"/>
        <w:tabs>
          <w:tab w:leader="none" w:pos="1380" w:val="left"/>
        </w:tabs>
        <w:numPr>
          <w:ilvl w:val="0"/>
          <w:numId w:val="47"/>
        </w:numPr>
        <w:rPr>
          <w:rFonts w:ascii="Arial" w:cs="Arial" w:eastAsia="Arial" w:hAnsi="Arial"/>
          <w:sz w:val="11"/>
          <w:szCs w:val="11"/>
          <w:color w:val="auto"/>
        </w:rPr>
      </w:pPr>
      <w:r>
        <w:rPr>
          <w:rFonts w:ascii="Arial" w:cs="Arial" w:eastAsia="Arial" w:hAnsi="Arial"/>
          <w:sz w:val="11"/>
          <w:szCs w:val="11"/>
          <w:color w:val="auto"/>
        </w:rPr>
        <w:t>Gross Interest Expense paid or payable by the Reading Entertainment Australia Group (whether payable in respect of the Facilities or otherwise) in respect of the 12 month period ending on that date; and</w:t>
      </w:r>
    </w:p>
    <w:p>
      <w:pPr>
        <w:spacing w:after="0" w:line="22" w:lineRule="exact"/>
        <w:rPr>
          <w:rFonts w:ascii="Arial" w:cs="Arial" w:eastAsia="Arial" w:hAnsi="Arial"/>
          <w:sz w:val="11"/>
          <w:szCs w:val="11"/>
          <w:color w:val="auto"/>
        </w:rPr>
      </w:pPr>
    </w:p>
    <w:p>
      <w:pPr>
        <w:ind w:left="1380" w:hanging="272"/>
        <w:spacing w:after="0"/>
        <w:tabs>
          <w:tab w:leader="none" w:pos="1380" w:val="left"/>
        </w:tabs>
        <w:numPr>
          <w:ilvl w:val="0"/>
          <w:numId w:val="47"/>
        </w:numPr>
        <w:rPr>
          <w:rFonts w:ascii="Arial" w:cs="Arial" w:eastAsia="Arial" w:hAnsi="Arial"/>
          <w:sz w:val="11"/>
          <w:szCs w:val="11"/>
          <w:color w:val="auto"/>
        </w:rPr>
      </w:pPr>
      <w:r>
        <w:rPr>
          <w:rFonts w:ascii="Arial" w:cs="Arial" w:eastAsia="Arial" w:hAnsi="Arial"/>
          <w:sz w:val="11"/>
          <w:szCs w:val="11"/>
          <w:color w:val="auto"/>
        </w:rPr>
        <w:t>Total Lease Payments in respect of the 12 month period ending on that date;</w:t>
      </w:r>
    </w:p>
    <w:p>
      <w:pPr>
        <w:spacing w:after="0" w:line="84" w:lineRule="exact"/>
        <w:rPr>
          <w:sz w:val="20"/>
          <w:szCs w:val="20"/>
          <w:color w:val="auto"/>
        </w:rPr>
      </w:pPr>
    </w:p>
    <w:p>
      <w:pPr>
        <w:ind w:left="840"/>
        <w:spacing w:after="0"/>
        <w:tabs>
          <w:tab w:leader="none" w:pos="2520" w:val="left"/>
        </w:tabs>
        <w:rPr>
          <w:sz w:val="20"/>
          <w:szCs w:val="20"/>
          <w:color w:val="auto"/>
        </w:rPr>
      </w:pPr>
      <w:r>
        <w:rPr>
          <w:rFonts w:ascii="Arial" w:cs="Arial" w:eastAsia="Arial" w:hAnsi="Arial"/>
          <w:sz w:val="11"/>
          <w:szCs w:val="11"/>
          <w:color w:val="B5082D"/>
        </w:rPr>
        <w:t>at</w:t>
      </w:r>
      <w:r>
        <w:rPr>
          <w:rFonts w:ascii="Arial" w:cs="Arial" w:eastAsia="Arial" w:hAnsi="Arial"/>
          <w:sz w:val="11"/>
          <w:szCs w:val="11"/>
          <w:color w:val="000000"/>
          <w:strike w:val="1"/>
        </w:rPr>
        <w:t>(b)</w:t>
      </w:r>
      <w:r>
        <w:rPr>
          <w:rFonts w:ascii="Arial" w:cs="Arial" w:eastAsia="Arial" w:hAnsi="Arial"/>
          <w:sz w:val="11"/>
          <w:szCs w:val="11"/>
          <w:color w:val="B5082D"/>
        </w:rPr>
        <w:t>31 March 2021, the ratio of: (i)</w:t>
        <w:tab/>
        <w:t>the aggregate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-33655</wp:posOffset>
            </wp:positionV>
            <wp:extent cx="1885950" cy="50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5950" cy="5080"/>
                    </a:xfrm>
                    <a:prstGeom prst="rect">
                      <a:avLst/>
                    </a:prstGeom>
                    <a:noFill/>
                  </pic:spPr>
                </pic:pic>
              </a:graphicData>
            </a:graphic>
          </wp:anchor>
        </w:drawing>
      </w:r>
    </w:p>
    <w:p>
      <w:pPr>
        <w:spacing w:after="0" w:line="4" w:lineRule="exact"/>
        <w:rPr>
          <w:sz w:val="20"/>
          <w:szCs w:val="20"/>
          <w:color w:val="auto"/>
        </w:rPr>
      </w:pPr>
    </w:p>
    <w:p>
      <w:pPr>
        <w:ind w:left="1660" w:hanging="275"/>
        <w:spacing w:after="0"/>
        <w:tabs>
          <w:tab w:leader="none" w:pos="1660" w:val="left"/>
        </w:tabs>
        <w:numPr>
          <w:ilvl w:val="0"/>
          <w:numId w:val="48"/>
        </w:numPr>
        <w:rPr>
          <w:rFonts w:ascii="Arial" w:cs="Arial" w:eastAsia="Arial" w:hAnsi="Arial"/>
          <w:sz w:val="11"/>
          <w:szCs w:val="11"/>
          <w:color w:val="auto"/>
          <w:strike w:val="1"/>
        </w:rPr>
      </w:pPr>
      <w:r>
        <w:rPr>
          <w:rFonts w:ascii="Arial" w:cs="Arial" w:eastAsia="Arial" w:hAnsi="Arial"/>
          <w:sz w:val="11"/>
          <w:szCs w:val="11"/>
          <w:color w:val="B5082D"/>
          <w:strike w:val="1"/>
        </w:rPr>
        <w:t>Adjusted EBITDA in respect of the 3 month period ending on that date; and</w:t>
      </w:r>
    </w:p>
    <w:p>
      <w:pPr>
        <w:spacing w:after="0" w:line="46" w:lineRule="exact"/>
        <w:rPr>
          <w:rFonts w:ascii="Arial" w:cs="Arial" w:eastAsia="Arial" w:hAnsi="Arial"/>
          <w:sz w:val="11"/>
          <w:szCs w:val="11"/>
          <w:color w:val="auto"/>
          <w:strike w:val="1"/>
        </w:rPr>
      </w:pPr>
    </w:p>
    <w:p>
      <w:pPr>
        <w:ind w:left="1660" w:hanging="275"/>
        <w:spacing w:after="0"/>
        <w:tabs>
          <w:tab w:leader="none" w:pos="1660" w:val="left"/>
        </w:tabs>
        <w:numPr>
          <w:ilvl w:val="0"/>
          <w:numId w:val="48"/>
        </w:numPr>
        <w:rPr>
          <w:rFonts w:ascii="Arial" w:cs="Arial" w:eastAsia="Arial" w:hAnsi="Arial"/>
          <w:sz w:val="11"/>
          <w:szCs w:val="11"/>
          <w:color w:val="auto"/>
          <w:strike w:val="1"/>
        </w:rPr>
      </w:pPr>
      <w:r>
        <w:rPr>
          <w:rFonts w:ascii="Arial" w:cs="Arial" w:eastAsia="Arial" w:hAnsi="Arial"/>
          <w:sz w:val="11"/>
          <w:szCs w:val="11"/>
          <w:color w:val="B5082D"/>
          <w:strike w:val="1"/>
        </w:rPr>
        <w:t>Total Lease Payments in respect of the 3 month period ending on that date,</w:t>
      </w:r>
    </w:p>
    <w:p>
      <w:pPr>
        <w:spacing w:after="0" w:line="61" w:lineRule="exact"/>
        <w:rPr>
          <w:sz w:val="20"/>
          <w:szCs w:val="20"/>
          <w:color w:val="auto"/>
        </w:rPr>
      </w:pPr>
    </w:p>
    <w:p>
      <w:pPr>
        <w:ind w:left="1100"/>
        <w:spacing w:after="0"/>
        <w:rPr>
          <w:sz w:val="20"/>
          <w:szCs w:val="20"/>
          <w:color w:val="auto"/>
        </w:rPr>
      </w:pPr>
      <w:r>
        <w:rPr>
          <w:rFonts w:ascii="Arial" w:cs="Arial" w:eastAsia="Arial" w:hAnsi="Arial"/>
          <w:sz w:val="11"/>
          <w:szCs w:val="11"/>
          <w:color w:val="B5082D"/>
          <w:strike w:val="1"/>
        </w:rPr>
        <w:t>to</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1"/>
          <w:szCs w:val="11"/>
          <w:color w:val="auto"/>
          <w:strike w:val="1"/>
        </w:rPr>
        <w:t>(ii)</w:t>
      </w:r>
      <w:r>
        <w:rPr>
          <w:rFonts w:ascii="Arial" w:cs="Arial" w:eastAsia="Arial" w:hAnsi="Arial"/>
          <w:sz w:val="11"/>
          <w:szCs w:val="11"/>
          <w:color w:val="B5082D"/>
          <w:strike w:val="1"/>
        </w:rPr>
        <w:t>t</w:t>
      </w:r>
      <w:r>
        <w:rPr>
          <w:rFonts w:ascii="Arial" w:cs="Arial" w:eastAsia="Arial" w:hAnsi="Arial"/>
          <w:sz w:val="11"/>
          <w:szCs w:val="11"/>
          <w:color w:val="B5082D"/>
        </w:rPr>
        <w:t>he aggregate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-33655</wp:posOffset>
            </wp:positionV>
            <wp:extent cx="795655" cy="5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95655" cy="5080"/>
                    </a:xfrm>
                    <a:prstGeom prst="rect">
                      <a:avLst/>
                    </a:prstGeom>
                    <a:noFill/>
                  </pic:spPr>
                </pic:pic>
              </a:graphicData>
            </a:graphic>
          </wp:anchor>
        </w:drawing>
      </w:r>
    </w:p>
    <w:p>
      <w:pPr>
        <w:spacing w:after="0" w:line="49" w:lineRule="exact"/>
        <w:rPr>
          <w:sz w:val="20"/>
          <w:szCs w:val="20"/>
          <w:color w:val="auto"/>
        </w:rPr>
      </w:pPr>
    </w:p>
    <w:p>
      <w:pPr>
        <w:ind w:left="1660" w:right="360" w:hanging="275"/>
        <w:spacing w:after="0" w:line="256" w:lineRule="auto"/>
        <w:tabs>
          <w:tab w:leader="none" w:pos="1660" w:val="left"/>
        </w:tabs>
        <w:numPr>
          <w:ilvl w:val="0"/>
          <w:numId w:val="49"/>
        </w:numPr>
        <w:rPr>
          <w:rFonts w:ascii="Arial" w:cs="Arial" w:eastAsia="Arial" w:hAnsi="Arial"/>
          <w:sz w:val="11"/>
          <w:szCs w:val="11"/>
          <w:color w:val="auto"/>
          <w:strike w:val="1"/>
        </w:rPr>
      </w:pPr>
      <w:r>
        <w:rPr>
          <w:rFonts w:ascii="Arial" w:cs="Arial" w:eastAsia="Arial" w:hAnsi="Arial"/>
          <w:sz w:val="11"/>
          <w:szCs w:val="11"/>
          <w:color w:val="B5082D"/>
          <w:strike w:val="1"/>
        </w:rPr>
        <w:t>Gross Interest Expense paid or payable by the Reading Entertainment Australia Group (whether payable in respect of the Facilities or otherwise) in respect of the 3 month period ending on that date; and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2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080" w:type="dxa"/>
            <w:vAlign w:val="bottom"/>
          </w:tcPr>
          <w:p>
            <w:pPr>
              <w:ind w:left="3820"/>
              <w:spacing w:after="0"/>
              <w:rPr>
                <w:sz w:val="20"/>
                <w:szCs w:val="20"/>
                <w:color w:val="auto"/>
              </w:rPr>
            </w:pPr>
            <w:r>
              <w:rPr>
                <w:rFonts w:ascii="Arial" w:cs="Arial" w:eastAsia="Arial" w:hAnsi="Arial"/>
                <w:sz w:val="8"/>
                <w:szCs w:val="8"/>
                <w:color w:val="auto"/>
                <w:w w:val="97"/>
              </w:rPr>
              <w:t>page 8</w:t>
            </w:r>
          </w:p>
        </w:tc>
      </w:tr>
      <w:tr>
        <w:trPr>
          <w:trHeight w:val="94"/>
        </w:trPr>
        <w:tc>
          <w:tcPr>
            <w:tcW w:w="520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08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20" w:type="dxa"/>
            <w:vAlign w:val="bottom"/>
            <w:tcBorders>
              <w:bottom w:val="single" w:sz="8" w:color="EEEEEE"/>
            </w:tcBorders>
          </w:tcPr>
          <w:p>
            <w:pPr>
              <w:spacing w:after="0"/>
              <w:rPr>
                <w:sz w:val="18"/>
                <w:szCs w:val="18"/>
                <w:color w:val="auto"/>
              </w:rPr>
            </w:pPr>
          </w:p>
        </w:tc>
        <w:tc>
          <w:tcPr>
            <w:tcW w:w="408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76" w:name="page77"/>
    <w:bookmarkEnd w:id="76"/>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60" w:hanging="275"/>
        <w:spacing w:after="0"/>
        <w:tabs>
          <w:tab w:leader="none" w:pos="1660" w:val="left"/>
        </w:tabs>
        <w:numPr>
          <w:ilvl w:val="0"/>
          <w:numId w:val="50"/>
        </w:numPr>
        <w:rPr>
          <w:rFonts w:ascii="Arial" w:cs="Arial" w:eastAsia="Arial" w:hAnsi="Arial"/>
          <w:sz w:val="11"/>
          <w:szCs w:val="11"/>
          <w:color w:val="auto"/>
          <w:strike w:val="1"/>
        </w:rPr>
      </w:pPr>
      <w:r>
        <w:rPr>
          <w:rFonts w:ascii="Arial" w:cs="Arial" w:eastAsia="Arial" w:hAnsi="Arial"/>
          <w:sz w:val="11"/>
          <w:szCs w:val="11"/>
          <w:color w:val="B5082D"/>
          <w:strike w:val="1"/>
        </w:rPr>
        <w:t>Total Lease payments in respect of the 3 month period ending on that date;</w:t>
      </w:r>
    </w:p>
    <w:p>
      <w:pPr>
        <w:spacing w:after="0" w:line="84" w:lineRule="exact"/>
        <w:rPr>
          <w:sz w:val="20"/>
          <w:szCs w:val="20"/>
          <w:color w:val="auto"/>
        </w:rPr>
      </w:pPr>
    </w:p>
    <w:p>
      <w:pPr>
        <w:ind w:left="840"/>
        <w:spacing w:after="0"/>
        <w:tabs>
          <w:tab w:leader="none" w:pos="2340" w:val="left"/>
          <w:tab w:leader="none" w:pos="2980" w:val="left"/>
        </w:tabs>
        <w:rPr>
          <w:sz w:val="20"/>
          <w:szCs w:val="20"/>
          <w:color w:val="auto"/>
        </w:rPr>
      </w:pPr>
      <w:r>
        <w:rPr>
          <w:rFonts w:ascii="Arial" w:cs="Arial" w:eastAsia="Arial" w:hAnsi="Arial"/>
          <w:sz w:val="11"/>
          <w:szCs w:val="11"/>
          <w:color w:val="auto"/>
          <w:strike w:val="1"/>
        </w:rPr>
        <w:t>(c)</w:t>
      </w:r>
      <w:r>
        <w:rPr>
          <w:rFonts w:ascii="Arial" w:cs="Arial" w:eastAsia="Arial" w:hAnsi="Arial"/>
          <w:sz w:val="11"/>
          <w:szCs w:val="11"/>
          <w:color w:val="B5082D"/>
        </w:rPr>
        <w:t>at30 June 2021, the ratio of:</w:t>
      </w:r>
      <w:r>
        <w:rPr>
          <w:sz w:val="20"/>
          <w:szCs w:val="20"/>
          <w:color w:val="auto"/>
        </w:rPr>
        <w:tab/>
      </w:r>
      <w:r>
        <w:rPr>
          <w:rFonts w:ascii="Arial" w:cs="Arial" w:eastAsia="Arial" w:hAnsi="Arial"/>
          <w:sz w:val="11"/>
          <w:szCs w:val="11"/>
          <w:color w:val="B5082D"/>
        </w:rPr>
        <w:t>(i)</w:t>
      </w:r>
      <w:r>
        <w:rPr>
          <w:sz w:val="20"/>
          <w:szCs w:val="20"/>
          <w:color w:val="auto"/>
        </w:rPr>
        <w:tab/>
      </w:r>
      <w:r>
        <w:rPr>
          <w:rFonts w:ascii="Arial" w:cs="Arial" w:eastAsia="Arial" w:hAnsi="Arial"/>
          <w:sz w:val="11"/>
          <w:szCs w:val="11"/>
          <w:color w:val="B5082D"/>
        </w:rPr>
        <w:t>the aggregate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-33655</wp:posOffset>
            </wp:positionV>
            <wp:extent cx="2171700" cy="50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71700" cy="5080"/>
                    </a:xfrm>
                    <a:prstGeom prst="rect">
                      <a:avLst/>
                    </a:prstGeom>
                    <a:noFill/>
                  </pic:spPr>
                </pic:pic>
              </a:graphicData>
            </a:graphic>
          </wp:anchor>
        </w:drawing>
      </w:r>
    </w:p>
    <w:p>
      <w:pPr>
        <w:spacing w:after="0" w:line="4" w:lineRule="exact"/>
        <w:rPr>
          <w:sz w:val="20"/>
          <w:szCs w:val="20"/>
          <w:color w:val="auto"/>
        </w:rPr>
      </w:pPr>
    </w:p>
    <w:p>
      <w:pPr>
        <w:ind w:left="1660" w:hanging="275"/>
        <w:spacing w:after="0"/>
        <w:tabs>
          <w:tab w:leader="none" w:pos="1660" w:val="left"/>
        </w:tabs>
        <w:numPr>
          <w:ilvl w:val="0"/>
          <w:numId w:val="51"/>
        </w:numPr>
        <w:rPr>
          <w:rFonts w:ascii="Arial" w:cs="Arial" w:eastAsia="Arial" w:hAnsi="Arial"/>
          <w:sz w:val="11"/>
          <w:szCs w:val="11"/>
          <w:color w:val="auto"/>
          <w:strike w:val="1"/>
        </w:rPr>
      </w:pPr>
      <w:r>
        <w:rPr>
          <w:rFonts w:ascii="Arial" w:cs="Arial" w:eastAsia="Arial" w:hAnsi="Arial"/>
          <w:sz w:val="11"/>
          <w:szCs w:val="11"/>
          <w:color w:val="B5082D"/>
          <w:strike w:val="1"/>
        </w:rPr>
        <w:t>Adjusted EBITDA in respect of the 6 month period ending on that date; and</w:t>
      </w:r>
    </w:p>
    <w:p>
      <w:pPr>
        <w:spacing w:after="0" w:line="46" w:lineRule="exact"/>
        <w:rPr>
          <w:rFonts w:ascii="Arial" w:cs="Arial" w:eastAsia="Arial" w:hAnsi="Arial"/>
          <w:sz w:val="11"/>
          <w:szCs w:val="11"/>
          <w:color w:val="auto"/>
          <w:strike w:val="1"/>
        </w:rPr>
      </w:pPr>
    </w:p>
    <w:p>
      <w:pPr>
        <w:ind w:left="1660" w:hanging="275"/>
        <w:spacing w:after="0"/>
        <w:tabs>
          <w:tab w:leader="none" w:pos="1660" w:val="left"/>
        </w:tabs>
        <w:numPr>
          <w:ilvl w:val="0"/>
          <w:numId w:val="51"/>
        </w:numPr>
        <w:rPr>
          <w:rFonts w:ascii="Arial" w:cs="Arial" w:eastAsia="Arial" w:hAnsi="Arial"/>
          <w:sz w:val="11"/>
          <w:szCs w:val="11"/>
          <w:color w:val="auto"/>
          <w:strike w:val="1"/>
        </w:rPr>
      </w:pPr>
      <w:r>
        <w:rPr>
          <w:rFonts w:ascii="Arial" w:cs="Arial" w:eastAsia="Arial" w:hAnsi="Arial"/>
          <w:sz w:val="11"/>
          <w:szCs w:val="11"/>
          <w:color w:val="B5082D"/>
          <w:strike w:val="1"/>
        </w:rPr>
        <w:t>Total Lease Payments in respect of the 6 month period ending on that date,</w:t>
      </w:r>
    </w:p>
    <w:p>
      <w:pPr>
        <w:spacing w:after="0" w:line="61" w:lineRule="exact"/>
        <w:rPr>
          <w:sz w:val="20"/>
          <w:szCs w:val="20"/>
          <w:color w:val="auto"/>
        </w:rPr>
      </w:pPr>
    </w:p>
    <w:p>
      <w:pPr>
        <w:ind w:left="1100"/>
        <w:spacing w:after="0"/>
        <w:rPr>
          <w:sz w:val="20"/>
          <w:szCs w:val="20"/>
          <w:color w:val="auto"/>
        </w:rPr>
      </w:pPr>
      <w:r>
        <w:rPr>
          <w:rFonts w:ascii="Arial" w:cs="Arial" w:eastAsia="Arial" w:hAnsi="Arial"/>
          <w:sz w:val="11"/>
          <w:szCs w:val="11"/>
          <w:color w:val="B5082D"/>
          <w:strike w:val="1"/>
        </w:rPr>
        <w:t>to</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1"/>
          <w:szCs w:val="11"/>
          <w:color w:val="auto"/>
          <w:strike w:val="1"/>
        </w:rPr>
        <w:t>(ii)</w:t>
      </w:r>
      <w:r>
        <w:rPr>
          <w:rFonts w:ascii="Arial" w:cs="Arial" w:eastAsia="Arial" w:hAnsi="Arial"/>
          <w:sz w:val="11"/>
          <w:szCs w:val="11"/>
          <w:color w:val="B5082D"/>
          <w:strike w:val="1"/>
        </w:rPr>
        <w:t>t</w:t>
      </w:r>
      <w:r>
        <w:rPr>
          <w:rFonts w:ascii="Arial" w:cs="Arial" w:eastAsia="Arial" w:hAnsi="Arial"/>
          <w:sz w:val="11"/>
          <w:szCs w:val="11"/>
          <w:color w:val="B5082D"/>
        </w:rPr>
        <w:t>he aggregate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-33655</wp:posOffset>
            </wp:positionV>
            <wp:extent cx="795655" cy="50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95655" cy="5080"/>
                    </a:xfrm>
                    <a:prstGeom prst="rect">
                      <a:avLst/>
                    </a:prstGeom>
                    <a:noFill/>
                  </pic:spPr>
                </pic:pic>
              </a:graphicData>
            </a:graphic>
          </wp:anchor>
        </w:drawing>
      </w:r>
    </w:p>
    <w:p>
      <w:pPr>
        <w:spacing w:after="0" w:line="49" w:lineRule="exact"/>
        <w:rPr>
          <w:sz w:val="20"/>
          <w:szCs w:val="20"/>
          <w:color w:val="auto"/>
        </w:rPr>
      </w:pPr>
    </w:p>
    <w:p>
      <w:pPr>
        <w:ind w:left="1660" w:right="360" w:hanging="275"/>
        <w:spacing w:after="0" w:line="256" w:lineRule="auto"/>
        <w:tabs>
          <w:tab w:leader="none" w:pos="1660" w:val="left"/>
        </w:tabs>
        <w:numPr>
          <w:ilvl w:val="0"/>
          <w:numId w:val="52"/>
        </w:numPr>
        <w:rPr>
          <w:rFonts w:ascii="Arial" w:cs="Arial" w:eastAsia="Arial" w:hAnsi="Arial"/>
          <w:sz w:val="11"/>
          <w:szCs w:val="11"/>
          <w:color w:val="auto"/>
          <w:strike w:val="1"/>
        </w:rPr>
      </w:pPr>
      <w:r>
        <w:rPr>
          <w:rFonts w:ascii="Arial" w:cs="Arial" w:eastAsia="Arial" w:hAnsi="Arial"/>
          <w:sz w:val="11"/>
          <w:szCs w:val="11"/>
          <w:color w:val="B5082D"/>
          <w:strike w:val="1"/>
        </w:rPr>
        <w:t>Gross Interest Expense paid or payable by the Reading Entertainment Australia Group (whether payable in respect of the Facilities or otherwise) in respect of the 6 month period ending on that date; and</w:t>
      </w:r>
    </w:p>
    <w:p>
      <w:pPr>
        <w:spacing w:after="0" w:line="22" w:lineRule="exact"/>
        <w:rPr>
          <w:rFonts w:ascii="Arial" w:cs="Arial" w:eastAsia="Arial" w:hAnsi="Arial"/>
          <w:sz w:val="11"/>
          <w:szCs w:val="11"/>
          <w:color w:val="auto"/>
          <w:strike w:val="1"/>
        </w:rPr>
      </w:pPr>
    </w:p>
    <w:p>
      <w:pPr>
        <w:ind w:left="1660" w:hanging="275"/>
        <w:spacing w:after="0"/>
        <w:tabs>
          <w:tab w:leader="none" w:pos="1660" w:val="left"/>
        </w:tabs>
        <w:numPr>
          <w:ilvl w:val="0"/>
          <w:numId w:val="52"/>
        </w:numPr>
        <w:rPr>
          <w:rFonts w:ascii="Arial" w:cs="Arial" w:eastAsia="Arial" w:hAnsi="Arial"/>
          <w:sz w:val="11"/>
          <w:szCs w:val="11"/>
          <w:color w:val="auto"/>
          <w:strike w:val="1"/>
        </w:rPr>
      </w:pPr>
      <w:r>
        <w:rPr>
          <w:rFonts w:ascii="Arial" w:cs="Arial" w:eastAsia="Arial" w:hAnsi="Arial"/>
          <w:sz w:val="11"/>
          <w:szCs w:val="11"/>
          <w:color w:val="B5082D"/>
          <w:strike w:val="1"/>
        </w:rPr>
        <w:t>Total Lease payments in respect of the 6 month period ending on that date; and</w:t>
      </w:r>
    </w:p>
    <w:p>
      <w:pPr>
        <w:spacing w:after="0" w:line="84" w:lineRule="exact"/>
        <w:rPr>
          <w:sz w:val="20"/>
          <w:szCs w:val="20"/>
          <w:color w:val="auto"/>
        </w:rPr>
      </w:pPr>
    </w:p>
    <w:p>
      <w:pPr>
        <w:ind w:left="840"/>
        <w:spacing w:after="0"/>
        <w:tabs>
          <w:tab w:leader="none" w:pos="3120" w:val="left"/>
        </w:tabs>
        <w:rPr>
          <w:sz w:val="20"/>
          <w:szCs w:val="20"/>
          <w:color w:val="auto"/>
        </w:rPr>
      </w:pPr>
      <w:r>
        <w:rPr>
          <w:rFonts w:ascii="Arial" w:cs="Arial" w:eastAsia="Arial" w:hAnsi="Arial"/>
          <w:sz w:val="11"/>
          <w:szCs w:val="11"/>
          <w:color w:val="auto"/>
          <w:strike w:val="1"/>
        </w:rPr>
        <w:t>(d)</w:t>
      </w:r>
      <w:r>
        <w:rPr>
          <w:rFonts w:ascii="Arial" w:cs="Arial" w:eastAsia="Arial" w:hAnsi="Arial"/>
          <w:sz w:val="11"/>
          <w:szCs w:val="11"/>
          <w:color w:val="B5082D"/>
        </w:rPr>
        <w:t>at30 September 2021, the ratio of: (i)</w:t>
      </w:r>
      <w:r>
        <w:rPr>
          <w:sz w:val="20"/>
          <w:szCs w:val="20"/>
          <w:color w:val="auto"/>
        </w:rPr>
        <w:tab/>
      </w:r>
      <w:r>
        <w:rPr>
          <w:rFonts w:ascii="Arial" w:cs="Arial" w:eastAsia="Arial" w:hAnsi="Arial"/>
          <w:sz w:val="11"/>
          <w:szCs w:val="11"/>
          <w:color w:val="B5082D"/>
        </w:rPr>
        <w:t>the aggregate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-33655</wp:posOffset>
            </wp:positionV>
            <wp:extent cx="2262505" cy="5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62505" cy="5080"/>
                    </a:xfrm>
                    <a:prstGeom prst="rect">
                      <a:avLst/>
                    </a:prstGeom>
                    <a:noFill/>
                  </pic:spPr>
                </pic:pic>
              </a:graphicData>
            </a:graphic>
          </wp:anchor>
        </w:drawing>
      </w:r>
    </w:p>
    <w:p>
      <w:pPr>
        <w:spacing w:after="0" w:line="4" w:lineRule="exact"/>
        <w:rPr>
          <w:sz w:val="20"/>
          <w:szCs w:val="20"/>
          <w:color w:val="auto"/>
        </w:rPr>
      </w:pPr>
    </w:p>
    <w:p>
      <w:pPr>
        <w:ind w:left="1660" w:hanging="275"/>
        <w:spacing w:after="0"/>
        <w:tabs>
          <w:tab w:leader="none" w:pos="1660" w:val="left"/>
        </w:tabs>
        <w:numPr>
          <w:ilvl w:val="0"/>
          <w:numId w:val="53"/>
        </w:numPr>
        <w:rPr>
          <w:rFonts w:ascii="Arial" w:cs="Arial" w:eastAsia="Arial" w:hAnsi="Arial"/>
          <w:sz w:val="11"/>
          <w:szCs w:val="11"/>
          <w:color w:val="auto"/>
          <w:strike w:val="1"/>
        </w:rPr>
      </w:pPr>
      <w:r>
        <w:rPr>
          <w:rFonts w:ascii="Arial" w:cs="Arial" w:eastAsia="Arial" w:hAnsi="Arial"/>
          <w:sz w:val="11"/>
          <w:szCs w:val="11"/>
          <w:color w:val="B5082D"/>
          <w:strike w:val="1"/>
        </w:rPr>
        <w:t>Adjusted EBITDA in respect of the 9 month period ending on that date; and</w:t>
      </w:r>
    </w:p>
    <w:p>
      <w:pPr>
        <w:spacing w:after="0" w:line="46" w:lineRule="exact"/>
        <w:rPr>
          <w:rFonts w:ascii="Arial" w:cs="Arial" w:eastAsia="Arial" w:hAnsi="Arial"/>
          <w:sz w:val="11"/>
          <w:szCs w:val="11"/>
          <w:color w:val="auto"/>
          <w:strike w:val="1"/>
        </w:rPr>
      </w:pPr>
    </w:p>
    <w:p>
      <w:pPr>
        <w:ind w:left="1660" w:hanging="275"/>
        <w:spacing w:after="0"/>
        <w:tabs>
          <w:tab w:leader="none" w:pos="1660" w:val="left"/>
        </w:tabs>
        <w:numPr>
          <w:ilvl w:val="0"/>
          <w:numId w:val="53"/>
        </w:numPr>
        <w:rPr>
          <w:rFonts w:ascii="Arial" w:cs="Arial" w:eastAsia="Arial" w:hAnsi="Arial"/>
          <w:sz w:val="11"/>
          <w:szCs w:val="11"/>
          <w:color w:val="auto"/>
          <w:strike w:val="1"/>
        </w:rPr>
      </w:pPr>
      <w:r>
        <w:rPr>
          <w:rFonts w:ascii="Arial" w:cs="Arial" w:eastAsia="Arial" w:hAnsi="Arial"/>
          <w:sz w:val="11"/>
          <w:szCs w:val="11"/>
          <w:color w:val="B5082D"/>
          <w:strike w:val="1"/>
        </w:rPr>
        <w:t>Total Lease Payments in respect of the 9 month period ending on that date,</w:t>
      </w:r>
    </w:p>
    <w:p>
      <w:pPr>
        <w:spacing w:after="0" w:line="61" w:lineRule="exact"/>
        <w:rPr>
          <w:sz w:val="20"/>
          <w:szCs w:val="20"/>
          <w:color w:val="auto"/>
        </w:rPr>
      </w:pPr>
    </w:p>
    <w:p>
      <w:pPr>
        <w:ind w:left="1100"/>
        <w:spacing w:after="0"/>
        <w:rPr>
          <w:sz w:val="20"/>
          <w:szCs w:val="20"/>
          <w:color w:val="auto"/>
        </w:rPr>
      </w:pPr>
      <w:r>
        <w:rPr>
          <w:rFonts w:ascii="Arial" w:cs="Arial" w:eastAsia="Arial" w:hAnsi="Arial"/>
          <w:sz w:val="11"/>
          <w:szCs w:val="11"/>
          <w:color w:val="B5082D"/>
          <w:strike w:val="1"/>
        </w:rPr>
        <w:t>to</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1"/>
          <w:szCs w:val="11"/>
          <w:color w:val="auto"/>
          <w:strike w:val="1"/>
        </w:rPr>
        <w:t>(ii)</w:t>
      </w:r>
      <w:r>
        <w:rPr>
          <w:rFonts w:ascii="Arial" w:cs="Arial" w:eastAsia="Arial" w:hAnsi="Arial"/>
          <w:sz w:val="11"/>
          <w:szCs w:val="11"/>
          <w:color w:val="B5082D"/>
          <w:strike w:val="1"/>
        </w:rPr>
        <w:t>t</w:t>
      </w:r>
      <w:r>
        <w:rPr>
          <w:rFonts w:ascii="Arial" w:cs="Arial" w:eastAsia="Arial" w:hAnsi="Arial"/>
          <w:sz w:val="11"/>
          <w:szCs w:val="11"/>
          <w:color w:val="B5082D"/>
        </w:rPr>
        <w:t>he aggregate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-33655</wp:posOffset>
            </wp:positionV>
            <wp:extent cx="795655" cy="5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95655" cy="5080"/>
                    </a:xfrm>
                    <a:prstGeom prst="rect">
                      <a:avLst/>
                    </a:prstGeom>
                    <a:noFill/>
                  </pic:spPr>
                </pic:pic>
              </a:graphicData>
            </a:graphic>
          </wp:anchor>
        </w:drawing>
      </w:r>
    </w:p>
    <w:p>
      <w:pPr>
        <w:spacing w:after="0" w:line="49" w:lineRule="exact"/>
        <w:rPr>
          <w:sz w:val="20"/>
          <w:szCs w:val="20"/>
          <w:color w:val="auto"/>
        </w:rPr>
      </w:pPr>
    </w:p>
    <w:p>
      <w:pPr>
        <w:ind w:left="1660" w:right="360" w:hanging="275"/>
        <w:spacing w:after="0" w:line="256" w:lineRule="auto"/>
        <w:tabs>
          <w:tab w:leader="none" w:pos="1660" w:val="left"/>
        </w:tabs>
        <w:numPr>
          <w:ilvl w:val="0"/>
          <w:numId w:val="54"/>
        </w:numPr>
        <w:rPr>
          <w:rFonts w:ascii="Arial" w:cs="Arial" w:eastAsia="Arial" w:hAnsi="Arial"/>
          <w:sz w:val="11"/>
          <w:szCs w:val="11"/>
          <w:color w:val="auto"/>
          <w:strike w:val="1"/>
        </w:rPr>
      </w:pPr>
      <w:r>
        <w:rPr>
          <w:rFonts w:ascii="Arial" w:cs="Arial" w:eastAsia="Arial" w:hAnsi="Arial"/>
          <w:sz w:val="11"/>
          <w:szCs w:val="11"/>
          <w:color w:val="B5082D"/>
          <w:strike w:val="1"/>
        </w:rPr>
        <w:t>Gross Interest Expense paid or payable by the Reading Entertainment Australia Group (whether payable in respect of the Facilities or otherwise) in respect of the 9 month period ending on that date; and</w:t>
      </w:r>
    </w:p>
    <w:p>
      <w:pPr>
        <w:spacing w:after="0" w:line="22" w:lineRule="exact"/>
        <w:rPr>
          <w:rFonts w:ascii="Arial" w:cs="Arial" w:eastAsia="Arial" w:hAnsi="Arial"/>
          <w:sz w:val="11"/>
          <w:szCs w:val="11"/>
          <w:color w:val="auto"/>
          <w:strike w:val="1"/>
        </w:rPr>
      </w:pPr>
    </w:p>
    <w:p>
      <w:pPr>
        <w:ind w:left="1660" w:hanging="275"/>
        <w:spacing w:after="0"/>
        <w:tabs>
          <w:tab w:leader="none" w:pos="1660" w:val="left"/>
        </w:tabs>
        <w:numPr>
          <w:ilvl w:val="0"/>
          <w:numId w:val="54"/>
        </w:numPr>
        <w:rPr>
          <w:rFonts w:ascii="Arial" w:cs="Arial" w:eastAsia="Arial" w:hAnsi="Arial"/>
          <w:sz w:val="11"/>
          <w:szCs w:val="11"/>
          <w:color w:val="auto"/>
          <w:strike w:val="1"/>
        </w:rPr>
      </w:pPr>
      <w:r>
        <w:rPr>
          <w:rFonts w:ascii="Arial" w:cs="Arial" w:eastAsia="Arial" w:hAnsi="Arial"/>
          <w:sz w:val="11"/>
          <w:szCs w:val="11"/>
          <w:color w:val="B5082D"/>
          <w:strike w:val="1"/>
        </w:rPr>
        <w:t>Total Lease payments in respect of the 9 month period ending on that date.</w:t>
      </w:r>
    </w:p>
    <w:p>
      <w:pPr>
        <w:spacing w:after="0" w:line="4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Freehold Property </w:t>
      </w:r>
      <w:r>
        <w:rPr>
          <w:rFonts w:ascii="Arial" w:cs="Arial" w:eastAsia="Arial" w:hAnsi="Arial"/>
          <w:sz w:val="11"/>
          <w:szCs w:val="11"/>
          <w:color w:val="auto"/>
        </w:rPr>
        <w:t>means each freehold property owned by a Transaction Party that is the subject of a real property mortgage referred to in of</w:t>
      </w:r>
      <w:r>
        <w:rPr>
          <w:rFonts w:ascii="Arial" w:cs="Arial" w:eastAsia="Arial" w:hAnsi="Arial"/>
          <w:sz w:val="11"/>
          <w:szCs w:val="11"/>
          <w:b w:val="1"/>
          <w:bCs w:val="1"/>
          <w:color w:val="auto"/>
        </w:rPr>
        <w:t xml:space="preserve"> schedule 3</w:t>
      </w:r>
      <w:r>
        <w:rPr>
          <w:rFonts w:ascii="Arial" w:cs="Arial" w:eastAsia="Arial" w:hAnsi="Arial"/>
          <w:sz w:val="11"/>
          <w:szCs w:val="11"/>
          <w:color w:val="auto"/>
        </w:rPr>
        <w: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Funding Date </w:t>
      </w:r>
      <w:r>
        <w:rPr>
          <w:rFonts w:ascii="Arial" w:cs="Arial" w:eastAsia="Arial" w:hAnsi="Arial"/>
          <w:sz w:val="11"/>
          <w:szCs w:val="11"/>
          <w:color w:val="auto"/>
        </w:rPr>
        <w:t>means a date on which:</w:t>
      </w:r>
    </w:p>
    <w:p>
      <w:pPr>
        <w:spacing w:after="0" w:line="66" w:lineRule="exact"/>
        <w:rPr>
          <w:sz w:val="20"/>
          <w:szCs w:val="20"/>
          <w:color w:val="auto"/>
        </w:rPr>
      </w:pPr>
    </w:p>
    <w:p>
      <w:pPr>
        <w:ind w:left="1140" w:hanging="310"/>
        <w:spacing w:after="0"/>
        <w:tabs>
          <w:tab w:leader="none" w:pos="1140" w:val="left"/>
        </w:tabs>
        <w:numPr>
          <w:ilvl w:val="0"/>
          <w:numId w:val="55"/>
        </w:numPr>
        <w:rPr>
          <w:rFonts w:ascii="Arial" w:cs="Arial" w:eastAsia="Arial" w:hAnsi="Arial"/>
          <w:sz w:val="11"/>
          <w:szCs w:val="11"/>
          <w:color w:val="auto"/>
        </w:rPr>
      </w:pPr>
      <w:r>
        <w:rPr>
          <w:rFonts w:ascii="Arial" w:cs="Arial" w:eastAsia="Arial" w:hAnsi="Arial"/>
          <w:sz w:val="11"/>
          <w:szCs w:val="11"/>
          <w:color w:val="auto"/>
        </w:rPr>
        <w:t>an Advance is, or is proposed to be, made; or</w:t>
      </w:r>
    </w:p>
    <w:p>
      <w:pPr>
        <w:spacing w:after="0" w:line="98" w:lineRule="exact"/>
        <w:rPr>
          <w:rFonts w:ascii="Arial" w:cs="Arial" w:eastAsia="Arial" w:hAnsi="Arial"/>
          <w:sz w:val="11"/>
          <w:szCs w:val="11"/>
          <w:color w:val="auto"/>
        </w:rPr>
      </w:pPr>
    </w:p>
    <w:p>
      <w:pPr>
        <w:ind w:left="840" w:right="3460" w:hanging="10"/>
        <w:spacing w:after="0" w:line="325" w:lineRule="auto"/>
        <w:tabs>
          <w:tab w:leader="none" w:pos="2273" w:val="left"/>
        </w:tabs>
        <w:numPr>
          <w:ilvl w:val="0"/>
          <w:numId w:val="55"/>
        </w:numPr>
        <w:rPr>
          <w:rFonts w:ascii="Arial" w:cs="Arial" w:eastAsia="Arial" w:hAnsi="Arial"/>
          <w:sz w:val="11"/>
          <w:szCs w:val="11"/>
          <w:color w:val="auto"/>
        </w:rPr>
      </w:pPr>
      <w:r>
        <w:rPr>
          <w:rFonts w:ascii="Arial" w:cs="Arial" w:eastAsia="Arial" w:hAnsi="Arial"/>
          <w:sz w:val="11"/>
          <w:szCs w:val="11"/>
          <w:color w:val="auto"/>
        </w:rPr>
        <w:t xml:space="preserve">a Bank Guarantee is, or is proposed to be, issued, under this document. </w:t>
      </w:r>
      <w:r>
        <w:rPr>
          <w:rFonts w:ascii="Arial" w:cs="Arial" w:eastAsia="Arial" w:hAnsi="Arial"/>
          <w:sz w:val="10"/>
          <w:szCs w:val="10"/>
          <w:b w:val="1"/>
          <w:bCs w:val="1"/>
          <w:color w:val="auto"/>
        </w:rPr>
        <w:t xml:space="preserve">Funding Notice </w:t>
      </w:r>
      <w:r>
        <w:rPr>
          <w:rFonts w:ascii="Arial" w:cs="Arial" w:eastAsia="Arial" w:hAnsi="Arial"/>
          <w:sz w:val="10"/>
          <w:szCs w:val="10"/>
          <w:color w:val="auto"/>
        </w:rPr>
        <w:t>means a notice in accordance with</w:t>
      </w:r>
      <w:r>
        <w:rPr>
          <w:rFonts w:ascii="Arial" w:cs="Arial" w:eastAsia="Arial" w:hAnsi="Arial"/>
          <w:sz w:val="10"/>
          <w:szCs w:val="10"/>
          <w:b w:val="1"/>
          <w:bCs w:val="1"/>
          <w:color w:val="auto"/>
        </w:rPr>
        <w:t xml:space="preserve"> clause 4.4</w:t>
      </w:r>
      <w:r>
        <w:rPr>
          <w:rFonts w:ascii="Arial" w:cs="Arial" w:eastAsia="Arial" w:hAnsi="Arial"/>
          <w:sz w:val="10"/>
          <w:szCs w:val="10"/>
          <w:color w:val="auto"/>
        </w:rPr>
        <w: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2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080" w:type="dxa"/>
            <w:vAlign w:val="bottom"/>
          </w:tcPr>
          <w:p>
            <w:pPr>
              <w:ind w:left="3820"/>
              <w:spacing w:after="0"/>
              <w:rPr>
                <w:sz w:val="20"/>
                <w:szCs w:val="20"/>
                <w:color w:val="auto"/>
              </w:rPr>
            </w:pPr>
            <w:r>
              <w:rPr>
                <w:rFonts w:ascii="Arial" w:cs="Arial" w:eastAsia="Arial" w:hAnsi="Arial"/>
                <w:sz w:val="8"/>
                <w:szCs w:val="8"/>
                <w:color w:val="auto"/>
                <w:w w:val="97"/>
              </w:rPr>
              <w:t>page 9</w:t>
            </w:r>
          </w:p>
        </w:tc>
      </w:tr>
      <w:tr>
        <w:trPr>
          <w:trHeight w:val="94"/>
        </w:trPr>
        <w:tc>
          <w:tcPr>
            <w:tcW w:w="520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08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20" w:type="dxa"/>
            <w:vAlign w:val="bottom"/>
            <w:tcBorders>
              <w:bottom w:val="single" w:sz="8" w:color="EEEEEE"/>
            </w:tcBorders>
          </w:tcPr>
          <w:p>
            <w:pPr>
              <w:spacing w:after="0"/>
              <w:rPr>
                <w:sz w:val="18"/>
                <w:szCs w:val="18"/>
                <w:color w:val="auto"/>
              </w:rPr>
            </w:pPr>
          </w:p>
        </w:tc>
        <w:tc>
          <w:tcPr>
            <w:tcW w:w="408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77" w:name="page78"/>
    <w:bookmarkEnd w:id="77"/>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40" w:right="300"/>
        <w:spacing w:after="0" w:line="247" w:lineRule="auto"/>
        <w:rPr>
          <w:sz w:val="20"/>
          <w:szCs w:val="20"/>
          <w:color w:val="auto"/>
        </w:rPr>
      </w:pPr>
      <w:r>
        <w:rPr>
          <w:rFonts w:ascii="Arial" w:cs="Arial" w:eastAsia="Arial" w:hAnsi="Arial"/>
          <w:sz w:val="11"/>
          <w:szCs w:val="11"/>
          <w:b w:val="1"/>
          <w:bCs w:val="1"/>
          <w:color w:val="auto"/>
        </w:rPr>
        <w:t xml:space="preserve">Government Body </w:t>
      </w:r>
      <w:r>
        <w:rPr>
          <w:rFonts w:ascii="Arial" w:cs="Arial" w:eastAsia="Arial" w:hAnsi="Arial"/>
          <w:sz w:val="11"/>
          <w:szCs w:val="11"/>
          <w:color w:val="auto"/>
        </w:rPr>
        <w:t>means any person or body exercising an executive, legislative, judicial or other governmental function. It includes any public authority constituted</w:t>
      </w:r>
      <w:r>
        <w:rPr>
          <w:rFonts w:ascii="Arial" w:cs="Arial" w:eastAsia="Arial" w:hAnsi="Arial"/>
          <w:sz w:val="11"/>
          <w:szCs w:val="11"/>
          <w:b w:val="1"/>
          <w:bCs w:val="1"/>
          <w:color w:val="auto"/>
        </w:rPr>
        <w:t xml:space="preserve"> </w:t>
      </w:r>
      <w:r>
        <w:rPr>
          <w:rFonts w:ascii="Arial" w:cs="Arial" w:eastAsia="Arial" w:hAnsi="Arial"/>
          <w:sz w:val="11"/>
          <w:szCs w:val="11"/>
          <w:color w:val="auto"/>
        </w:rPr>
        <w:t>under a law of any country or political sub-division of any country. It also includes any person deriving a power directly or indirectly from any other person or body referred to in this definition.</w:t>
      </w:r>
    </w:p>
    <w:p>
      <w:pPr>
        <w:spacing w:after="0" w:line="22" w:lineRule="exact"/>
        <w:rPr>
          <w:sz w:val="20"/>
          <w:szCs w:val="20"/>
          <w:color w:val="auto"/>
        </w:rPr>
      </w:pPr>
    </w:p>
    <w:p>
      <w:pPr>
        <w:ind w:left="840" w:right="1240"/>
        <w:spacing w:after="0"/>
        <w:rPr>
          <w:sz w:val="20"/>
          <w:szCs w:val="20"/>
          <w:color w:val="auto"/>
        </w:rPr>
      </w:pPr>
      <w:r>
        <w:rPr>
          <w:rFonts w:ascii="Arial" w:cs="Arial" w:eastAsia="Arial" w:hAnsi="Arial"/>
          <w:sz w:val="11"/>
          <w:szCs w:val="11"/>
          <w:b w:val="1"/>
          <w:bCs w:val="1"/>
          <w:color w:val="auto"/>
        </w:rPr>
        <w:t xml:space="preserve">Gross Interest Expense </w:t>
      </w:r>
      <w:r>
        <w:rPr>
          <w:rFonts w:ascii="Arial" w:cs="Arial" w:eastAsia="Arial" w:hAnsi="Arial"/>
          <w:sz w:val="11"/>
          <w:szCs w:val="11"/>
          <w:color w:val="auto"/>
        </w:rPr>
        <w:t>means, in relation to any period, the aggregate of all interest and amounts in the nature of interest (including</w:t>
      </w:r>
      <w:r>
        <w:rPr>
          <w:rFonts w:ascii="Arial" w:cs="Arial" w:eastAsia="Arial" w:hAnsi="Arial"/>
          <w:sz w:val="11"/>
          <w:szCs w:val="11"/>
          <w:b w:val="1"/>
          <w:bCs w:val="1"/>
          <w:color w:val="auto"/>
        </w:rPr>
        <w:t xml:space="preserve"> </w:t>
      </w:r>
      <w:r>
        <w:rPr>
          <w:rFonts w:ascii="Arial" w:cs="Arial" w:eastAsia="Arial" w:hAnsi="Arial"/>
          <w:sz w:val="11"/>
          <w:szCs w:val="11"/>
          <w:color w:val="auto"/>
        </w:rPr>
        <w:t>commissions, discount fees, acceptance fees, facility fees, the interest element of a finance lease and fees or charges) payable in connection with</w:t>
      </w:r>
    </w:p>
    <w:p>
      <w:pPr>
        <w:spacing w:after="0" w:line="1" w:lineRule="exact"/>
        <w:rPr>
          <w:sz w:val="20"/>
          <w:szCs w:val="20"/>
          <w:color w:val="auto"/>
        </w:rPr>
      </w:pPr>
    </w:p>
    <w:p>
      <w:pPr>
        <w:ind w:left="840" w:right="560"/>
        <w:spacing w:after="0" w:line="241" w:lineRule="auto"/>
        <w:rPr>
          <w:sz w:val="20"/>
          <w:szCs w:val="20"/>
          <w:color w:val="auto"/>
        </w:rPr>
      </w:pPr>
      <w:r>
        <w:rPr>
          <w:rFonts w:ascii="Arial" w:cs="Arial" w:eastAsia="Arial" w:hAnsi="Arial"/>
          <w:sz w:val="11"/>
          <w:szCs w:val="11"/>
          <w:color w:val="auto"/>
        </w:rPr>
        <w:t>any Financial Indebtedness of the Reading Entertainment Australia Group (other than Excluded Financial Indebtedness) for that period on a consolidated basis, whether accrued, paid, payable or expensed (including interest expense under each of the Facilities).</w:t>
      </w:r>
    </w:p>
    <w:p>
      <w:pPr>
        <w:spacing w:after="0" w:line="4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Guarantee </w:t>
      </w:r>
      <w:r>
        <w:rPr>
          <w:rFonts w:ascii="Arial" w:cs="Arial" w:eastAsia="Arial" w:hAnsi="Arial"/>
          <w:sz w:val="11"/>
          <w:szCs w:val="11"/>
          <w:color w:val="auto"/>
        </w:rPr>
        <w:t>means:</w:t>
      </w:r>
    </w:p>
    <w:p>
      <w:pPr>
        <w:spacing w:after="0" w:line="58" w:lineRule="exact"/>
        <w:rPr>
          <w:sz w:val="20"/>
          <w:szCs w:val="20"/>
          <w:color w:val="auto"/>
        </w:rPr>
      </w:pPr>
    </w:p>
    <w:p>
      <w:pPr>
        <w:ind w:left="1100" w:right="1140" w:hanging="270"/>
        <w:spacing w:after="0" w:line="256" w:lineRule="auto"/>
        <w:tabs>
          <w:tab w:leader="none" w:pos="1100" w:val="left"/>
        </w:tabs>
        <w:numPr>
          <w:ilvl w:val="0"/>
          <w:numId w:val="56"/>
        </w:numPr>
        <w:rPr>
          <w:rFonts w:ascii="Arial" w:cs="Arial" w:eastAsia="Arial" w:hAnsi="Arial"/>
          <w:sz w:val="11"/>
          <w:szCs w:val="11"/>
          <w:color w:val="auto"/>
        </w:rPr>
      </w:pPr>
      <w:r>
        <w:rPr>
          <w:rFonts w:ascii="Arial" w:cs="Arial" w:eastAsia="Arial" w:hAnsi="Arial"/>
          <w:sz w:val="11"/>
          <w:szCs w:val="11"/>
          <w:color w:val="auto"/>
        </w:rPr>
        <w:t>a guarantee, indemnity, undertaking, letter of credit, Security, acceptance or endorsement of a negotiable instrument or other obligation (actual or contingent) given by any person to secure compliance with an obligation by another person;</w:t>
      </w:r>
    </w:p>
    <w:p>
      <w:pPr>
        <w:spacing w:after="0" w:line="22" w:lineRule="exact"/>
        <w:rPr>
          <w:rFonts w:ascii="Arial" w:cs="Arial" w:eastAsia="Arial" w:hAnsi="Arial"/>
          <w:sz w:val="11"/>
          <w:szCs w:val="11"/>
          <w:color w:val="auto"/>
        </w:rPr>
      </w:pPr>
    </w:p>
    <w:p>
      <w:pPr>
        <w:ind w:left="1100" w:right="220" w:hanging="270"/>
        <w:spacing w:after="0" w:line="256" w:lineRule="auto"/>
        <w:tabs>
          <w:tab w:leader="none" w:pos="1100" w:val="left"/>
        </w:tabs>
        <w:numPr>
          <w:ilvl w:val="0"/>
          <w:numId w:val="56"/>
        </w:numPr>
        <w:rPr>
          <w:rFonts w:ascii="Arial" w:cs="Arial" w:eastAsia="Arial" w:hAnsi="Arial"/>
          <w:sz w:val="11"/>
          <w:szCs w:val="11"/>
          <w:color w:val="auto"/>
        </w:rPr>
      </w:pPr>
      <w:r>
        <w:rPr>
          <w:rFonts w:ascii="Arial" w:cs="Arial" w:eastAsia="Arial" w:hAnsi="Arial"/>
          <w:sz w:val="11"/>
          <w:szCs w:val="11"/>
          <w:color w:val="auto"/>
        </w:rPr>
        <w:t>an obligation (actual or contingent) of a person to ensure the solvency of another person or the ability of another person to comply with an obligation, including by the advance of money or the acquisition for valuable consideration of property or services; and</w:t>
      </w:r>
    </w:p>
    <w:p>
      <w:pPr>
        <w:spacing w:after="0" w:line="22" w:lineRule="exact"/>
        <w:rPr>
          <w:rFonts w:ascii="Arial" w:cs="Arial" w:eastAsia="Arial" w:hAnsi="Arial"/>
          <w:sz w:val="11"/>
          <w:szCs w:val="11"/>
          <w:color w:val="auto"/>
        </w:rPr>
      </w:pPr>
    </w:p>
    <w:p>
      <w:pPr>
        <w:ind w:left="1100" w:hanging="270"/>
        <w:spacing w:after="0"/>
        <w:tabs>
          <w:tab w:leader="none" w:pos="1100" w:val="left"/>
        </w:tabs>
        <w:numPr>
          <w:ilvl w:val="0"/>
          <w:numId w:val="56"/>
        </w:numPr>
        <w:rPr>
          <w:rFonts w:ascii="Arial" w:cs="Arial" w:eastAsia="Arial" w:hAnsi="Arial"/>
          <w:sz w:val="11"/>
          <w:szCs w:val="11"/>
          <w:color w:val="auto"/>
        </w:rPr>
      </w:pPr>
      <w:r>
        <w:rPr>
          <w:rFonts w:ascii="Arial" w:cs="Arial" w:eastAsia="Arial" w:hAnsi="Arial"/>
          <w:sz w:val="11"/>
          <w:szCs w:val="11"/>
          <w:color w:val="auto"/>
        </w:rPr>
        <w:t>an option under which a person is obliged on the exercise of the option to buy:</w:t>
      </w:r>
    </w:p>
    <w:p>
      <w:pPr>
        <w:spacing w:after="0" w:line="53" w:lineRule="exact"/>
        <w:rPr>
          <w:rFonts w:ascii="Arial" w:cs="Arial" w:eastAsia="Arial" w:hAnsi="Arial"/>
          <w:sz w:val="11"/>
          <w:szCs w:val="11"/>
          <w:color w:val="auto"/>
        </w:rPr>
      </w:pPr>
    </w:p>
    <w:p>
      <w:pPr>
        <w:ind w:left="1380" w:hanging="272"/>
        <w:spacing w:after="0"/>
        <w:tabs>
          <w:tab w:leader="none" w:pos="1380" w:val="left"/>
        </w:tabs>
        <w:numPr>
          <w:ilvl w:val="1"/>
          <w:numId w:val="56"/>
        </w:numPr>
        <w:rPr>
          <w:rFonts w:ascii="Arial" w:cs="Arial" w:eastAsia="Arial" w:hAnsi="Arial"/>
          <w:sz w:val="11"/>
          <w:szCs w:val="11"/>
          <w:color w:val="auto"/>
        </w:rPr>
      </w:pPr>
      <w:r>
        <w:rPr>
          <w:rFonts w:ascii="Arial" w:cs="Arial" w:eastAsia="Arial" w:hAnsi="Arial"/>
          <w:sz w:val="11"/>
          <w:szCs w:val="11"/>
          <w:color w:val="auto"/>
        </w:rPr>
        <w:t>any debt or liability owed by another person; or</w:t>
      </w:r>
    </w:p>
    <w:p>
      <w:pPr>
        <w:spacing w:after="0" w:line="76" w:lineRule="exact"/>
        <w:rPr>
          <w:rFonts w:ascii="Arial" w:cs="Arial" w:eastAsia="Arial" w:hAnsi="Arial"/>
          <w:sz w:val="11"/>
          <w:szCs w:val="11"/>
          <w:color w:val="auto"/>
        </w:rPr>
      </w:pPr>
    </w:p>
    <w:p>
      <w:pPr>
        <w:ind w:left="1380" w:hanging="272"/>
        <w:spacing w:after="0"/>
        <w:tabs>
          <w:tab w:leader="none" w:pos="1380" w:val="left"/>
        </w:tabs>
        <w:numPr>
          <w:ilvl w:val="1"/>
          <w:numId w:val="56"/>
        </w:numPr>
        <w:rPr>
          <w:rFonts w:ascii="Arial" w:cs="Arial" w:eastAsia="Arial" w:hAnsi="Arial"/>
          <w:sz w:val="11"/>
          <w:szCs w:val="11"/>
          <w:color w:val="auto"/>
        </w:rPr>
      </w:pPr>
      <w:r>
        <w:rPr>
          <w:rFonts w:ascii="Arial" w:cs="Arial" w:eastAsia="Arial" w:hAnsi="Arial"/>
          <w:sz w:val="11"/>
          <w:szCs w:val="11"/>
          <w:color w:val="auto"/>
        </w:rPr>
        <w:t>any property which is subject to a Security Interest.</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Guaranteed Money </w:t>
      </w:r>
      <w:r>
        <w:rPr>
          <w:rFonts w:ascii="Arial" w:cs="Arial" w:eastAsia="Arial" w:hAnsi="Arial"/>
          <w:sz w:val="11"/>
          <w:szCs w:val="11"/>
          <w:color w:val="auto"/>
        </w:rPr>
        <w:t>means all money:</w:t>
      </w:r>
    </w:p>
    <w:p>
      <w:pPr>
        <w:spacing w:after="0" w:line="58" w:lineRule="exact"/>
        <w:rPr>
          <w:sz w:val="20"/>
          <w:szCs w:val="20"/>
          <w:color w:val="auto"/>
        </w:rPr>
      </w:pPr>
    </w:p>
    <w:p>
      <w:pPr>
        <w:ind w:left="1100" w:hanging="270"/>
        <w:spacing w:after="0"/>
        <w:tabs>
          <w:tab w:leader="none" w:pos="1100" w:val="left"/>
        </w:tabs>
        <w:numPr>
          <w:ilvl w:val="0"/>
          <w:numId w:val="57"/>
        </w:numPr>
        <w:rPr>
          <w:rFonts w:ascii="Arial" w:cs="Arial" w:eastAsia="Arial" w:hAnsi="Arial"/>
          <w:sz w:val="11"/>
          <w:szCs w:val="11"/>
          <w:color w:val="auto"/>
        </w:rPr>
      </w:pPr>
      <w:r>
        <w:rPr>
          <w:rFonts w:ascii="Arial" w:cs="Arial" w:eastAsia="Arial" w:hAnsi="Arial"/>
          <w:sz w:val="11"/>
          <w:szCs w:val="11"/>
          <w:color w:val="auto"/>
        </w:rPr>
        <w:t>which now or in the future is owing (actually or contingently) by a Transaction Party to the Bank under or in relation to any of the Transaction Documents;</w:t>
      </w:r>
    </w:p>
    <w:p>
      <w:pPr>
        <w:spacing w:after="0" w:line="46" w:lineRule="exact"/>
        <w:rPr>
          <w:rFonts w:ascii="Arial" w:cs="Arial" w:eastAsia="Arial" w:hAnsi="Arial"/>
          <w:sz w:val="11"/>
          <w:szCs w:val="11"/>
          <w:color w:val="auto"/>
        </w:rPr>
      </w:pPr>
    </w:p>
    <w:p>
      <w:pPr>
        <w:ind w:left="1100" w:right="640" w:hanging="270"/>
        <w:spacing w:after="0" w:line="242" w:lineRule="auto"/>
        <w:tabs>
          <w:tab w:leader="none" w:pos="1100" w:val="left"/>
        </w:tabs>
        <w:numPr>
          <w:ilvl w:val="0"/>
          <w:numId w:val="57"/>
        </w:numPr>
        <w:rPr>
          <w:rFonts w:ascii="Arial" w:cs="Arial" w:eastAsia="Arial" w:hAnsi="Arial"/>
          <w:sz w:val="11"/>
          <w:szCs w:val="11"/>
          <w:color w:val="auto"/>
        </w:rPr>
      </w:pPr>
      <w:r>
        <w:rPr>
          <w:rFonts w:ascii="Arial" w:cs="Arial" w:eastAsia="Arial" w:hAnsi="Arial"/>
          <w:sz w:val="11"/>
          <w:szCs w:val="11"/>
          <w:color w:val="auto"/>
        </w:rPr>
        <w:t>which having now or in the future become owing (actually or contingently) by a Transaction Party to the Bank under or in relation to any of the Transaction Documents, ceases to be owing by reason of any law relating to insolvency and remains unpaid by the Transaction Party and unreleased by the Bank; or</w:t>
      </w:r>
    </w:p>
    <w:p>
      <w:pPr>
        <w:spacing w:after="0" w:line="157" w:lineRule="exact"/>
        <w:rPr>
          <w:rFonts w:ascii="Arial" w:cs="Arial" w:eastAsia="Arial" w:hAnsi="Arial"/>
          <w:sz w:val="11"/>
          <w:szCs w:val="11"/>
          <w:color w:val="auto"/>
        </w:rPr>
      </w:pPr>
    </w:p>
    <w:p>
      <w:pPr>
        <w:ind w:left="840" w:right="180" w:hanging="10"/>
        <w:spacing w:after="0" w:line="362" w:lineRule="auto"/>
        <w:tabs>
          <w:tab w:leader="none" w:pos="1118" w:val="left"/>
        </w:tabs>
        <w:numPr>
          <w:ilvl w:val="0"/>
          <w:numId w:val="57"/>
        </w:numPr>
        <w:rPr>
          <w:rFonts w:ascii="Arial" w:cs="Arial" w:eastAsia="Arial" w:hAnsi="Arial"/>
          <w:sz w:val="11"/>
          <w:szCs w:val="11"/>
          <w:color w:val="auto"/>
        </w:rPr>
      </w:pPr>
      <w:r>
        <w:rPr>
          <w:rFonts w:ascii="Arial" w:cs="Arial" w:eastAsia="Arial" w:hAnsi="Arial"/>
          <w:sz w:val="11"/>
          <w:szCs w:val="11"/>
          <w:color w:val="auto"/>
        </w:rPr>
        <w:t>that now or in the future may become owing (actually or contingently) by a Transaction Party to the Bank under or in relation to any of the Transaction Documents, for any reason, whether such money is payable:</w:t>
      </w:r>
    </w:p>
    <w:p>
      <w:pPr>
        <w:ind w:left="1100" w:hanging="270"/>
        <w:spacing w:after="0"/>
        <w:tabs>
          <w:tab w:leader="none" w:pos="1100" w:val="left"/>
        </w:tabs>
        <w:numPr>
          <w:ilvl w:val="0"/>
          <w:numId w:val="57"/>
        </w:numPr>
        <w:rPr>
          <w:rFonts w:ascii="Arial" w:cs="Arial" w:eastAsia="Arial" w:hAnsi="Arial"/>
          <w:sz w:val="11"/>
          <w:szCs w:val="11"/>
          <w:color w:val="auto"/>
        </w:rPr>
      </w:pPr>
      <w:r>
        <w:rPr>
          <w:rFonts w:ascii="Arial" w:cs="Arial" w:eastAsia="Arial" w:hAnsi="Arial"/>
          <w:sz w:val="11"/>
          <w:szCs w:val="11"/>
          <w:color w:val="auto"/>
        </w:rPr>
        <w:t>by a Transaction Party alone or jointly or severally with any other person;</w:t>
      </w:r>
    </w:p>
    <w:p>
      <w:pPr>
        <w:spacing w:after="0" w:line="76" w:lineRule="exact"/>
        <w:rPr>
          <w:rFonts w:ascii="Arial" w:cs="Arial" w:eastAsia="Arial" w:hAnsi="Arial"/>
          <w:sz w:val="11"/>
          <w:szCs w:val="11"/>
          <w:color w:val="auto"/>
        </w:rPr>
      </w:pPr>
    </w:p>
    <w:p>
      <w:pPr>
        <w:ind w:left="1100" w:hanging="270"/>
        <w:spacing w:after="0"/>
        <w:tabs>
          <w:tab w:leader="none" w:pos="1100" w:val="left"/>
        </w:tabs>
        <w:numPr>
          <w:ilvl w:val="0"/>
          <w:numId w:val="57"/>
        </w:numPr>
        <w:rPr>
          <w:rFonts w:ascii="Arial" w:cs="Arial" w:eastAsia="Arial" w:hAnsi="Arial"/>
          <w:sz w:val="11"/>
          <w:szCs w:val="11"/>
          <w:color w:val="auto"/>
        </w:rPr>
      </w:pPr>
      <w:r>
        <w:rPr>
          <w:rFonts w:ascii="Arial" w:cs="Arial" w:eastAsia="Arial" w:hAnsi="Arial"/>
          <w:sz w:val="11"/>
          <w:szCs w:val="11"/>
          <w:color w:val="auto"/>
        </w:rPr>
        <w:t>by a Transaction Party in its own right or in any capacity;</w:t>
      </w:r>
    </w:p>
    <w:p>
      <w:pPr>
        <w:spacing w:after="0" w:line="76" w:lineRule="exact"/>
        <w:rPr>
          <w:rFonts w:ascii="Arial" w:cs="Arial" w:eastAsia="Arial" w:hAnsi="Arial"/>
          <w:sz w:val="11"/>
          <w:szCs w:val="11"/>
          <w:color w:val="auto"/>
        </w:rPr>
      </w:pPr>
    </w:p>
    <w:p>
      <w:pPr>
        <w:ind w:left="1100" w:hanging="270"/>
        <w:spacing w:after="0"/>
        <w:tabs>
          <w:tab w:leader="none" w:pos="1100" w:val="left"/>
        </w:tabs>
        <w:numPr>
          <w:ilvl w:val="0"/>
          <w:numId w:val="57"/>
        </w:numPr>
        <w:rPr>
          <w:rFonts w:ascii="Arial" w:cs="Arial" w:eastAsia="Arial" w:hAnsi="Arial"/>
          <w:sz w:val="11"/>
          <w:szCs w:val="11"/>
          <w:color w:val="auto"/>
        </w:rPr>
      </w:pPr>
      <w:r>
        <w:rPr>
          <w:rFonts w:ascii="Arial" w:cs="Arial" w:eastAsia="Arial" w:hAnsi="Arial"/>
          <w:sz w:val="11"/>
          <w:szCs w:val="11"/>
          <w:color w:val="auto"/>
        </w:rPr>
        <w:t>to the Bank in its own right or in any capacity; and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10</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78" w:name="page79"/>
    <w:bookmarkEnd w:id="78"/>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right="460" w:hanging="270"/>
        <w:spacing w:after="0" w:line="256" w:lineRule="auto"/>
        <w:tabs>
          <w:tab w:leader="none" w:pos="1100" w:val="left"/>
        </w:tabs>
        <w:numPr>
          <w:ilvl w:val="0"/>
          <w:numId w:val="58"/>
        </w:numPr>
        <w:rPr>
          <w:rFonts w:ascii="Arial" w:cs="Arial" w:eastAsia="Arial" w:hAnsi="Arial"/>
          <w:sz w:val="11"/>
          <w:szCs w:val="11"/>
          <w:color w:val="auto"/>
        </w:rPr>
      </w:pPr>
      <w:r>
        <w:rPr>
          <w:rFonts w:ascii="Arial" w:cs="Arial" w:eastAsia="Arial" w:hAnsi="Arial"/>
          <w:sz w:val="11"/>
          <w:szCs w:val="11"/>
          <w:color w:val="auto"/>
        </w:rPr>
        <w:t>by a Transaction Party as liquidated or unliquidated damages caused or contributed to by any breach by the Transaction Party of any obligation owed by the Transaction Party (or any other Transaction Party) to the Bank under or in relation to any of the Transaction Documents,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and if any Transaction Document or any obligation of a Transaction Party to the Bank under or in relation to any of the Transaction Documents is void, voidable</w:t>
      </w:r>
    </w:p>
    <w:p>
      <w:pPr>
        <w:spacing w:after="0" w:line="2" w:lineRule="exact"/>
        <w:rPr>
          <w:sz w:val="20"/>
          <w:szCs w:val="20"/>
          <w:color w:val="auto"/>
        </w:rPr>
      </w:pPr>
    </w:p>
    <w:p>
      <w:pPr>
        <w:ind w:left="840" w:right="360"/>
        <w:spacing w:after="0" w:line="241" w:lineRule="auto"/>
        <w:rPr>
          <w:sz w:val="20"/>
          <w:szCs w:val="20"/>
          <w:color w:val="auto"/>
        </w:rPr>
      </w:pPr>
      <w:r>
        <w:rPr>
          <w:rFonts w:ascii="Arial" w:cs="Arial" w:eastAsia="Arial" w:hAnsi="Arial"/>
          <w:sz w:val="11"/>
          <w:szCs w:val="11"/>
          <w:color w:val="auto"/>
        </w:rPr>
        <w:t>or otherwise unenforceable by the Bank in accordance with its terms, it includes all money which would have been within this definition if that Transaction Document or obligation was not void, voidable or otherwise unenforceable.</w:t>
      </w:r>
    </w:p>
    <w:p>
      <w:pPr>
        <w:spacing w:after="0" w:line="24" w:lineRule="exact"/>
        <w:rPr>
          <w:sz w:val="20"/>
          <w:szCs w:val="20"/>
          <w:color w:val="auto"/>
        </w:rPr>
      </w:pPr>
    </w:p>
    <w:p>
      <w:pPr>
        <w:ind w:left="840" w:right="2440"/>
        <w:spacing w:after="0" w:line="268" w:lineRule="auto"/>
        <w:rPr>
          <w:sz w:val="20"/>
          <w:szCs w:val="20"/>
          <w:color w:val="auto"/>
        </w:rPr>
      </w:pPr>
      <w:r>
        <w:rPr>
          <w:rFonts w:ascii="Arial" w:cs="Arial" w:eastAsia="Arial" w:hAnsi="Arial"/>
          <w:sz w:val="11"/>
          <w:szCs w:val="11"/>
          <w:b w:val="1"/>
          <w:bCs w:val="1"/>
          <w:color w:val="auto"/>
        </w:rPr>
        <w:t xml:space="preserve">Guarantor </w:t>
      </w:r>
      <w:r>
        <w:rPr>
          <w:rFonts w:ascii="Arial" w:cs="Arial" w:eastAsia="Arial" w:hAnsi="Arial"/>
          <w:sz w:val="11"/>
          <w:szCs w:val="11"/>
          <w:color w:val="auto"/>
        </w:rPr>
        <w:t>means the Original Guarantors and each person that becomes a guarantor under</w:t>
      </w:r>
      <w:r>
        <w:rPr>
          <w:rFonts w:ascii="Arial" w:cs="Arial" w:eastAsia="Arial" w:hAnsi="Arial"/>
          <w:sz w:val="11"/>
          <w:szCs w:val="11"/>
          <w:b w:val="1"/>
          <w:bCs w:val="1"/>
          <w:color w:val="auto"/>
        </w:rPr>
        <w:t xml:space="preserve"> clause 16</w:t>
      </w:r>
      <w:r>
        <w:rPr>
          <w:rFonts w:ascii="Arial" w:cs="Arial" w:eastAsia="Arial" w:hAnsi="Arial"/>
          <w:sz w:val="11"/>
          <w:szCs w:val="11"/>
          <w:color w:val="auto"/>
        </w:rPr>
        <w:t>. If there are more</w:t>
      </w:r>
      <w:r>
        <w:rPr>
          <w:rFonts w:ascii="Arial" w:cs="Arial" w:eastAsia="Arial" w:hAnsi="Arial"/>
          <w:sz w:val="11"/>
          <w:szCs w:val="11"/>
          <w:b w:val="1"/>
          <w:bCs w:val="1"/>
          <w:color w:val="auto"/>
        </w:rPr>
        <w:t xml:space="preserve"> </w:t>
      </w:r>
      <w:r>
        <w:rPr>
          <w:rFonts w:ascii="Arial" w:cs="Arial" w:eastAsia="Arial" w:hAnsi="Arial"/>
          <w:sz w:val="11"/>
          <w:szCs w:val="11"/>
          <w:color w:val="auto"/>
        </w:rPr>
        <w:t>than one, Guarantor means each of them individually and every two or more of them jointly.</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Guarantor Accession Deed </w:t>
      </w:r>
      <w:r>
        <w:rPr>
          <w:rFonts w:ascii="Arial" w:cs="Arial" w:eastAsia="Arial" w:hAnsi="Arial"/>
          <w:sz w:val="11"/>
          <w:szCs w:val="11"/>
          <w:color w:val="auto"/>
        </w:rPr>
        <w:t>means a deed substantially in the form of</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schedule 8</w:t>
      </w:r>
      <w:r>
        <w:rPr>
          <w:rFonts w:ascii="Arial" w:cs="Arial" w:eastAsia="Arial" w:hAnsi="Arial"/>
          <w:sz w:val="11"/>
          <w:szCs w:val="11"/>
          <w:color w:val="auto"/>
        </w:rPr>
        <w: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Half </w:t>
      </w:r>
      <w:r>
        <w:rPr>
          <w:rFonts w:ascii="Arial" w:cs="Arial" w:eastAsia="Arial" w:hAnsi="Arial"/>
          <w:sz w:val="11"/>
          <w:szCs w:val="11"/>
          <w:color w:val="auto"/>
        </w:rPr>
        <w:t>means each six month period ending on 30 June and 31 December in each year.</w:t>
      </w:r>
    </w:p>
    <w:p>
      <w:pPr>
        <w:spacing w:after="0" w:line="46" w:lineRule="exact"/>
        <w:rPr>
          <w:sz w:val="20"/>
          <w:szCs w:val="20"/>
          <w:color w:val="auto"/>
        </w:rPr>
      </w:pPr>
    </w:p>
    <w:p>
      <w:pPr>
        <w:ind w:left="840" w:right="560"/>
        <w:spacing w:after="0" w:line="247" w:lineRule="auto"/>
        <w:rPr>
          <w:sz w:val="20"/>
          <w:szCs w:val="20"/>
          <w:color w:val="auto"/>
        </w:rPr>
      </w:pPr>
      <w:r>
        <w:rPr>
          <w:rFonts w:ascii="Arial" w:cs="Arial" w:eastAsia="Arial" w:hAnsi="Arial"/>
          <w:sz w:val="11"/>
          <w:szCs w:val="11"/>
          <w:b w:val="1"/>
          <w:bCs w:val="1"/>
          <w:color w:val="auto"/>
        </w:rPr>
        <w:t xml:space="preserve">Hedging Transaction </w:t>
      </w:r>
      <w:r>
        <w:rPr>
          <w:rFonts w:ascii="Arial" w:cs="Arial" w:eastAsia="Arial" w:hAnsi="Arial"/>
          <w:sz w:val="11"/>
          <w:szCs w:val="11"/>
          <w:color w:val="auto"/>
        </w:rPr>
        <w:t>means a contract, agreement or arrangement (other than in respect of the price of electricity, gas, oil, foreign exchange or any other non-interest rate derivative contract) which is a futures contract or an interest rate hedge, swap, option, swaption, forward rate agreement or any other contract, agreement or arrangement similar to or having in respect of its subject matter a similar effect to any of the preceding.</w:t>
      </w:r>
    </w:p>
    <w:p>
      <w:pPr>
        <w:spacing w:after="0" w:line="22" w:lineRule="exact"/>
        <w:rPr>
          <w:sz w:val="20"/>
          <w:szCs w:val="20"/>
          <w:color w:val="auto"/>
        </w:rPr>
      </w:pPr>
    </w:p>
    <w:p>
      <w:pPr>
        <w:ind w:left="840" w:right="220"/>
        <w:spacing w:after="0" w:line="287" w:lineRule="auto"/>
        <w:rPr>
          <w:sz w:val="20"/>
          <w:szCs w:val="20"/>
          <w:color w:val="auto"/>
        </w:rPr>
      </w:pPr>
      <w:r>
        <w:rPr>
          <w:rFonts w:ascii="Arial" w:cs="Arial" w:eastAsia="Arial" w:hAnsi="Arial"/>
          <w:sz w:val="11"/>
          <w:szCs w:val="11"/>
          <w:b w:val="1"/>
          <w:bCs w:val="1"/>
          <w:color w:val="auto"/>
        </w:rPr>
        <w:t xml:space="preserve">Indemnity Amount </w:t>
      </w:r>
      <w:r>
        <w:rPr>
          <w:rFonts w:ascii="Arial" w:cs="Arial" w:eastAsia="Arial" w:hAnsi="Arial"/>
          <w:sz w:val="11"/>
          <w:szCs w:val="11"/>
          <w:color w:val="auto"/>
        </w:rPr>
        <w:t>means, in relation to a Bank Guarantee, the amount or, as the case may be, the aggregate of the amounts payable by the Borrower in relation to a</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Bank Guarantee in accordance with </w:t>
      </w:r>
      <w:r>
        <w:rPr>
          <w:rFonts w:ascii="Arial" w:cs="Arial" w:eastAsia="Arial" w:hAnsi="Arial"/>
          <w:sz w:val="11"/>
          <w:szCs w:val="11"/>
          <w:b w:val="1"/>
          <w:bCs w:val="1"/>
          <w:color w:val="auto"/>
        </w:rPr>
        <w:t>clause 5.3</w:t>
      </w:r>
      <w:r>
        <w:rPr>
          <w:rFonts w:ascii="Arial" w:cs="Arial" w:eastAsia="Arial" w:hAnsi="Arial"/>
          <w:sz w:val="11"/>
          <w:szCs w:val="11"/>
          <w:color w:val="auto"/>
        </w:rPr>
        <w:t>.</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Insolvency </w:t>
      </w:r>
      <w:r>
        <w:rPr>
          <w:rFonts w:ascii="Arial" w:cs="Arial" w:eastAsia="Arial" w:hAnsi="Arial"/>
          <w:sz w:val="11"/>
          <w:szCs w:val="11"/>
          <w:color w:val="auto"/>
        </w:rPr>
        <w:t>means:</w:t>
      </w:r>
    </w:p>
    <w:p>
      <w:pPr>
        <w:spacing w:after="0" w:line="58" w:lineRule="exact"/>
        <w:rPr>
          <w:sz w:val="20"/>
          <w:szCs w:val="20"/>
          <w:color w:val="auto"/>
        </w:rPr>
      </w:pPr>
    </w:p>
    <w:p>
      <w:pPr>
        <w:ind w:left="1100" w:hanging="270"/>
        <w:spacing w:after="0"/>
        <w:tabs>
          <w:tab w:leader="none" w:pos="1100" w:val="left"/>
        </w:tabs>
        <w:numPr>
          <w:ilvl w:val="0"/>
          <w:numId w:val="59"/>
        </w:numPr>
        <w:rPr>
          <w:rFonts w:ascii="Arial" w:cs="Arial" w:eastAsia="Arial" w:hAnsi="Arial"/>
          <w:sz w:val="11"/>
          <w:szCs w:val="11"/>
          <w:color w:val="auto"/>
        </w:rPr>
      </w:pPr>
      <w:r>
        <w:rPr>
          <w:rFonts w:ascii="Arial" w:cs="Arial" w:eastAsia="Arial" w:hAnsi="Arial"/>
          <w:sz w:val="11"/>
          <w:szCs w:val="11"/>
          <w:color w:val="auto"/>
        </w:rPr>
        <w:t>in relation to a corporation, its winding up or dissolution or its administration, provisional liquidation or any administration having a similar effect;</w:t>
      </w:r>
    </w:p>
    <w:p>
      <w:pPr>
        <w:spacing w:after="0" w:line="61" w:lineRule="exact"/>
        <w:rPr>
          <w:rFonts w:ascii="Arial" w:cs="Arial" w:eastAsia="Arial" w:hAnsi="Arial"/>
          <w:sz w:val="11"/>
          <w:szCs w:val="11"/>
          <w:color w:val="auto"/>
        </w:rPr>
      </w:pPr>
    </w:p>
    <w:p>
      <w:pPr>
        <w:ind w:left="1100" w:hanging="270"/>
        <w:spacing w:after="0"/>
        <w:tabs>
          <w:tab w:leader="none" w:pos="1100" w:val="left"/>
        </w:tabs>
        <w:numPr>
          <w:ilvl w:val="0"/>
          <w:numId w:val="59"/>
        </w:numPr>
        <w:rPr>
          <w:rFonts w:ascii="Arial" w:cs="Arial" w:eastAsia="Arial" w:hAnsi="Arial"/>
          <w:sz w:val="11"/>
          <w:szCs w:val="11"/>
          <w:color w:val="auto"/>
        </w:rPr>
      </w:pPr>
      <w:r>
        <w:rPr>
          <w:rFonts w:ascii="Arial" w:cs="Arial" w:eastAsia="Arial" w:hAnsi="Arial"/>
          <w:sz w:val="11"/>
          <w:szCs w:val="11"/>
          <w:color w:val="auto"/>
        </w:rPr>
        <w:t>in relation to an individual, his or her bankruptcy; and</w:t>
      </w:r>
    </w:p>
    <w:p>
      <w:pPr>
        <w:spacing w:after="0" w:line="68" w:lineRule="exact"/>
        <w:rPr>
          <w:rFonts w:ascii="Arial" w:cs="Arial" w:eastAsia="Arial" w:hAnsi="Arial"/>
          <w:sz w:val="11"/>
          <w:szCs w:val="11"/>
          <w:color w:val="auto"/>
        </w:rPr>
      </w:pPr>
    </w:p>
    <w:p>
      <w:pPr>
        <w:ind w:left="1100" w:hanging="270"/>
        <w:spacing w:after="0"/>
        <w:tabs>
          <w:tab w:leader="none" w:pos="1100" w:val="left"/>
        </w:tabs>
        <w:numPr>
          <w:ilvl w:val="0"/>
          <w:numId w:val="59"/>
        </w:numPr>
        <w:rPr>
          <w:rFonts w:ascii="Arial" w:cs="Arial" w:eastAsia="Arial" w:hAnsi="Arial"/>
          <w:sz w:val="11"/>
          <w:szCs w:val="11"/>
          <w:color w:val="auto"/>
        </w:rPr>
      </w:pPr>
      <w:r>
        <w:rPr>
          <w:rFonts w:ascii="Arial" w:cs="Arial" w:eastAsia="Arial" w:hAnsi="Arial"/>
          <w:sz w:val="11"/>
          <w:szCs w:val="11"/>
          <w:color w:val="auto"/>
        </w:rPr>
        <w:t>in relation to a person, any arrangement (including a scheme of arrangement or deed of company</w:t>
      </w:r>
    </w:p>
    <w:p>
      <w:pPr>
        <w:spacing w:after="0" w:line="1" w:lineRule="exact"/>
        <w:rPr>
          <w:rFonts w:ascii="Arial" w:cs="Arial" w:eastAsia="Arial" w:hAnsi="Arial"/>
          <w:sz w:val="11"/>
          <w:szCs w:val="11"/>
          <w:color w:val="auto"/>
        </w:rPr>
      </w:pPr>
    </w:p>
    <w:p>
      <w:pPr>
        <w:ind w:left="1100" w:right="280"/>
        <w:spacing w:after="0" w:line="241" w:lineRule="auto"/>
        <w:rPr>
          <w:rFonts w:ascii="Arial" w:cs="Arial" w:eastAsia="Arial" w:hAnsi="Arial"/>
          <w:sz w:val="11"/>
          <w:szCs w:val="11"/>
          <w:color w:val="auto"/>
        </w:rPr>
      </w:pPr>
      <w:r>
        <w:rPr>
          <w:rFonts w:ascii="Arial" w:cs="Arial" w:eastAsia="Arial" w:hAnsi="Arial"/>
          <w:sz w:val="11"/>
          <w:szCs w:val="11"/>
          <w:color w:val="auto"/>
        </w:rPr>
        <w:t>arrangement), composition or compromise with, or assignment for the benefit of, all or any class of that person’s creditors or members or a moratorium involving any of them.</w:t>
      </w:r>
    </w:p>
    <w:p>
      <w:pPr>
        <w:spacing w:after="0" w:line="33"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Insolvency Event </w:t>
      </w:r>
      <w:r>
        <w:rPr>
          <w:rFonts w:ascii="Arial" w:cs="Arial" w:eastAsia="Arial" w:hAnsi="Arial"/>
          <w:sz w:val="11"/>
          <w:szCs w:val="11"/>
          <w:color w:val="auto"/>
        </w:rPr>
        <w:t>means any of the following:</w:t>
      </w:r>
    </w:p>
    <w:p>
      <w:pPr>
        <w:spacing w:after="0" w:line="58" w:lineRule="exact"/>
        <w:rPr>
          <w:sz w:val="20"/>
          <w:szCs w:val="20"/>
          <w:color w:val="auto"/>
        </w:rPr>
      </w:pPr>
    </w:p>
    <w:p>
      <w:pPr>
        <w:ind w:left="1100" w:hanging="270"/>
        <w:spacing w:after="0"/>
        <w:tabs>
          <w:tab w:leader="none" w:pos="1100" w:val="left"/>
        </w:tabs>
        <w:numPr>
          <w:ilvl w:val="0"/>
          <w:numId w:val="60"/>
        </w:numPr>
        <w:rPr>
          <w:rFonts w:ascii="Arial" w:cs="Arial" w:eastAsia="Arial" w:hAnsi="Arial"/>
          <w:sz w:val="11"/>
          <w:szCs w:val="11"/>
          <w:color w:val="auto"/>
        </w:rPr>
      </w:pPr>
      <w:r>
        <w:rPr>
          <w:rFonts w:ascii="Arial" w:cs="Arial" w:eastAsia="Arial" w:hAnsi="Arial"/>
          <w:sz w:val="11"/>
          <w:szCs w:val="11"/>
          <w:color w:val="auto"/>
        </w:rPr>
        <w:t xml:space="preserve">a person is or states that the person is unable to pay from the person’s own money </w:t>
      </w:r>
      <w:r>
        <w:rPr>
          <w:rFonts w:ascii="Arial" w:cs="Arial" w:eastAsia="Arial" w:hAnsi="Arial"/>
          <w:sz w:val="11"/>
          <w:szCs w:val="11"/>
          <w:u w:val="single" w:color="auto"/>
          <w:color w:val="2D96D2"/>
        </w:rPr>
        <w:t>(or funds or commitments provided</w:t>
      </w:r>
    </w:p>
    <w:p>
      <w:pPr>
        <w:spacing w:after="0" w:line="1" w:lineRule="exact"/>
        <w:rPr>
          <w:rFonts w:ascii="Arial" w:cs="Arial" w:eastAsia="Arial" w:hAnsi="Arial"/>
          <w:sz w:val="11"/>
          <w:szCs w:val="11"/>
          <w:color w:val="auto"/>
        </w:rPr>
      </w:pPr>
    </w:p>
    <w:p>
      <w:pPr>
        <w:ind w:left="1100"/>
        <w:spacing w:after="0"/>
        <w:rPr>
          <w:rFonts w:ascii="Arial" w:cs="Arial" w:eastAsia="Arial" w:hAnsi="Arial"/>
          <w:sz w:val="11"/>
          <w:szCs w:val="11"/>
          <w:color w:val="auto"/>
        </w:rPr>
      </w:pPr>
      <w:r>
        <w:rPr>
          <w:rFonts w:ascii="Arial" w:cs="Arial" w:eastAsia="Arial" w:hAnsi="Arial"/>
          <w:sz w:val="11"/>
          <w:szCs w:val="11"/>
          <w:u w:val="single" w:color="auto"/>
          <w:color w:val="2D96D2"/>
        </w:rPr>
        <w:t>by another Reading Entertainment Australia Group Member)</w:t>
      </w:r>
      <w:r>
        <w:rPr>
          <w:rFonts w:ascii="Arial" w:cs="Arial" w:eastAsia="Arial" w:hAnsi="Arial"/>
          <w:sz w:val="11"/>
          <w:szCs w:val="11"/>
          <w:color w:val="2D96D2"/>
        </w:rPr>
        <w:t xml:space="preserve"> </w:t>
      </w:r>
      <w:r>
        <w:rPr>
          <w:rFonts w:ascii="Arial" w:cs="Arial" w:eastAsia="Arial" w:hAnsi="Arial"/>
          <w:sz w:val="11"/>
          <w:szCs w:val="11"/>
          <w:color w:val="000000"/>
        </w:rPr>
        <w:t>all the person’s debts as and when they become due and payable;</w:t>
      </w:r>
    </w:p>
    <w:p>
      <w:pPr>
        <w:spacing w:after="0" w:line="38" w:lineRule="exact"/>
        <w:rPr>
          <w:rFonts w:ascii="Arial" w:cs="Arial" w:eastAsia="Arial" w:hAnsi="Arial"/>
          <w:sz w:val="11"/>
          <w:szCs w:val="11"/>
          <w:color w:val="auto"/>
        </w:rPr>
      </w:pPr>
    </w:p>
    <w:p>
      <w:pPr>
        <w:ind w:left="1100" w:hanging="270"/>
        <w:spacing w:after="0"/>
        <w:tabs>
          <w:tab w:leader="none" w:pos="1100" w:val="left"/>
        </w:tabs>
        <w:numPr>
          <w:ilvl w:val="0"/>
          <w:numId w:val="60"/>
        </w:numPr>
        <w:rPr>
          <w:rFonts w:ascii="Arial" w:cs="Arial" w:eastAsia="Arial" w:hAnsi="Arial"/>
          <w:sz w:val="11"/>
          <w:szCs w:val="11"/>
          <w:color w:val="auto"/>
        </w:rPr>
      </w:pPr>
      <w:r>
        <w:rPr>
          <w:rFonts w:ascii="Arial" w:cs="Arial" w:eastAsia="Arial" w:hAnsi="Arial"/>
          <w:sz w:val="11"/>
          <w:szCs w:val="11"/>
          <w:color w:val="auto"/>
        </w:rPr>
        <w:t>a person is taken or must be presumed to be insolvent or unable to pay the person’s debts under any applicable legislation;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11</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79" w:name="page80"/>
    <w:bookmarkEnd w:id="79"/>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hanging="270"/>
        <w:spacing w:after="0"/>
        <w:tabs>
          <w:tab w:leader="none" w:pos="11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an order is made for the winding up or dissolution or an effective resolution is passed for the winding up or dissolution of a corporation;</w:t>
      </w:r>
    </w:p>
    <w:p>
      <w:pPr>
        <w:spacing w:after="0" w:line="46" w:lineRule="exact"/>
        <w:rPr>
          <w:rFonts w:ascii="Arial" w:cs="Arial" w:eastAsia="Arial" w:hAnsi="Arial"/>
          <w:sz w:val="11"/>
          <w:szCs w:val="11"/>
          <w:color w:val="auto"/>
        </w:rPr>
      </w:pPr>
    </w:p>
    <w:p>
      <w:pPr>
        <w:ind w:left="1100" w:right="120" w:hanging="270"/>
        <w:spacing w:after="0" w:line="256" w:lineRule="auto"/>
        <w:tabs>
          <w:tab w:leader="none" w:pos="11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an administrator, provisional liquidator, liquidator or person having a similar or analogous function under the laws of any relevant jurisdiction is appointed in relation to a corporation or an effective resolution is passed to appoint any such person and the action is not stayed, withdrawn or dismissed within 10 Business Days;</w:t>
      </w:r>
    </w:p>
    <w:p>
      <w:pPr>
        <w:spacing w:after="0" w:line="30" w:lineRule="exact"/>
        <w:rPr>
          <w:rFonts w:ascii="Arial" w:cs="Arial" w:eastAsia="Arial" w:hAnsi="Arial"/>
          <w:sz w:val="11"/>
          <w:szCs w:val="11"/>
          <w:color w:val="auto"/>
        </w:rPr>
      </w:pPr>
    </w:p>
    <w:p>
      <w:pPr>
        <w:ind w:left="1100" w:hanging="270"/>
        <w:spacing w:after="0"/>
        <w:tabs>
          <w:tab w:leader="none" w:pos="11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 controller is appointed in relation to any property of a corporation;</w:t>
      </w:r>
    </w:p>
    <w:p>
      <w:pPr>
        <w:spacing w:after="0" w:line="68" w:lineRule="exact"/>
        <w:rPr>
          <w:rFonts w:ascii="Arial" w:cs="Arial" w:eastAsia="Arial" w:hAnsi="Arial"/>
          <w:sz w:val="11"/>
          <w:szCs w:val="11"/>
          <w:color w:val="auto"/>
        </w:rPr>
      </w:pPr>
    </w:p>
    <w:p>
      <w:pPr>
        <w:ind w:left="1100" w:hanging="270"/>
        <w:spacing w:after="0"/>
        <w:tabs>
          <w:tab w:leader="none" w:pos="11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 corporation is deregistered under the Corporations Act or notice of its proposed deregistration is given to the corporation;</w:t>
      </w:r>
    </w:p>
    <w:p>
      <w:pPr>
        <w:spacing w:after="0" w:line="46" w:lineRule="exact"/>
        <w:rPr>
          <w:rFonts w:ascii="Arial" w:cs="Arial" w:eastAsia="Arial" w:hAnsi="Arial"/>
          <w:sz w:val="11"/>
          <w:szCs w:val="11"/>
          <w:color w:val="auto"/>
        </w:rPr>
      </w:pPr>
    </w:p>
    <w:p>
      <w:pPr>
        <w:ind w:left="1100" w:hanging="270"/>
        <w:spacing w:after="0"/>
        <w:tabs>
          <w:tab w:leader="none" w:pos="11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 distress, attachment or execution is levied or becomes enforceable against any property of a person;</w:t>
      </w:r>
    </w:p>
    <w:p>
      <w:pPr>
        <w:spacing w:after="0" w:line="46" w:lineRule="exact"/>
        <w:rPr>
          <w:rFonts w:ascii="Arial" w:cs="Arial" w:eastAsia="Arial" w:hAnsi="Arial"/>
          <w:sz w:val="11"/>
          <w:szCs w:val="11"/>
          <w:color w:val="auto"/>
        </w:rPr>
      </w:pPr>
    </w:p>
    <w:p>
      <w:pPr>
        <w:ind w:left="1100" w:right="460" w:hanging="270"/>
        <w:spacing w:after="0" w:line="256" w:lineRule="auto"/>
        <w:tabs>
          <w:tab w:leader="none" w:pos="11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 person enters into or takes any action to enter into an arrangement (including a scheme of arrangement or deed of Borrower arrangement), composition or compromise with, or assignment for the benefit of, all or any class of the person’s creditors or members or a moratorium involving any of them;</w:t>
      </w:r>
    </w:p>
    <w:p>
      <w:pPr>
        <w:spacing w:after="0" w:line="22" w:lineRule="exact"/>
        <w:rPr>
          <w:rFonts w:ascii="Arial" w:cs="Arial" w:eastAsia="Arial" w:hAnsi="Arial"/>
          <w:sz w:val="11"/>
          <w:szCs w:val="11"/>
          <w:color w:val="auto"/>
        </w:rPr>
      </w:pPr>
    </w:p>
    <w:p>
      <w:pPr>
        <w:ind w:left="1100" w:right="320" w:hanging="270"/>
        <w:spacing w:after="0" w:line="256" w:lineRule="auto"/>
        <w:tabs>
          <w:tab w:leader="none" w:pos="11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 petition for the making of a sequestration order against the estate of a person is presented and the petition is not stayed, withdrawn or dismissed within seven days or a person presents a petition against himself or herself;</w:t>
      </w:r>
    </w:p>
    <w:p>
      <w:pPr>
        <w:spacing w:after="0" w:line="30" w:lineRule="exact"/>
        <w:rPr>
          <w:rFonts w:ascii="Arial" w:cs="Arial" w:eastAsia="Arial" w:hAnsi="Arial"/>
          <w:sz w:val="11"/>
          <w:szCs w:val="11"/>
          <w:color w:val="auto"/>
        </w:rPr>
      </w:pPr>
    </w:p>
    <w:p>
      <w:pPr>
        <w:ind w:left="1100" w:right="4800" w:hanging="270"/>
        <w:spacing w:after="0" w:line="281" w:lineRule="auto"/>
        <w:tabs>
          <w:tab w:leader="none" w:pos="11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 xml:space="preserve">a person presents a declaration of intention under section 54A of the </w:t>
      </w:r>
      <w:r>
        <w:rPr>
          <w:rFonts w:ascii="Arial" w:cs="Arial" w:eastAsia="Arial" w:hAnsi="Arial"/>
          <w:sz w:val="10"/>
          <w:szCs w:val="10"/>
          <w:i w:val="1"/>
          <w:iCs w:val="1"/>
          <w:color w:val="auto"/>
        </w:rPr>
        <w:t>Bankruptcy Act 1966</w:t>
      </w:r>
      <w:r>
        <w:rPr>
          <w:rFonts w:ascii="Arial" w:cs="Arial" w:eastAsia="Arial" w:hAnsi="Arial"/>
          <w:sz w:val="10"/>
          <w:szCs w:val="10"/>
          <w:color w:val="auto"/>
        </w:rPr>
        <w:t>; or</w:t>
      </w:r>
    </w:p>
    <w:p>
      <w:pPr>
        <w:spacing w:after="0" w:line="26" w:lineRule="exact"/>
        <w:rPr>
          <w:rFonts w:ascii="Arial" w:cs="Arial" w:eastAsia="Arial" w:hAnsi="Arial"/>
          <w:sz w:val="11"/>
          <w:szCs w:val="11"/>
          <w:color w:val="auto"/>
        </w:rPr>
      </w:pPr>
    </w:p>
    <w:p>
      <w:pPr>
        <w:ind w:left="1100" w:hanging="270"/>
        <w:spacing w:after="0"/>
        <w:tabs>
          <w:tab w:leader="none" w:pos="11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anything analogous to or of a similar effect to anything described above under the law of any relevant jurisdiction occurs in relation to a person.</w:t>
      </w:r>
    </w:p>
    <w:p>
      <w:pPr>
        <w:spacing w:after="0" w:line="4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Insurance </w:t>
      </w:r>
      <w:r>
        <w:rPr>
          <w:rFonts w:ascii="Arial" w:cs="Arial" w:eastAsia="Arial" w:hAnsi="Arial"/>
          <w:sz w:val="11"/>
          <w:szCs w:val="11"/>
          <w:color w:val="auto"/>
        </w:rPr>
        <w:t>means insurance which a Transaction Party is obliged to take out or maintain under a Transaction Document.</w:t>
      </w:r>
    </w:p>
    <w:p>
      <w:pPr>
        <w:spacing w:after="0" w:line="46" w:lineRule="exact"/>
        <w:rPr>
          <w:sz w:val="20"/>
          <w:szCs w:val="20"/>
          <w:color w:val="auto"/>
        </w:rPr>
      </w:pPr>
    </w:p>
    <w:p>
      <w:pPr>
        <w:ind w:left="840" w:right="760"/>
        <w:spacing w:after="0" w:line="268" w:lineRule="auto"/>
        <w:rPr>
          <w:sz w:val="20"/>
          <w:szCs w:val="20"/>
          <w:color w:val="auto"/>
        </w:rPr>
      </w:pPr>
      <w:r>
        <w:rPr>
          <w:rFonts w:ascii="Arial" w:cs="Arial" w:eastAsia="Arial" w:hAnsi="Arial"/>
          <w:sz w:val="11"/>
          <w:szCs w:val="11"/>
          <w:b w:val="1"/>
          <w:bCs w:val="1"/>
          <w:color w:val="auto"/>
        </w:rPr>
        <w:t xml:space="preserve">Interest Rate </w:t>
      </w:r>
      <w:r>
        <w:rPr>
          <w:rFonts w:ascii="Arial" w:cs="Arial" w:eastAsia="Arial" w:hAnsi="Arial"/>
          <w:sz w:val="11"/>
          <w:szCs w:val="11"/>
          <w:color w:val="auto"/>
        </w:rPr>
        <w:t>means, in relation to a Pricing Period for an Advance until it becomes due and owing, an interest rate equal to the aggregate of the Base Rate</w:t>
      </w:r>
      <w:r>
        <w:rPr>
          <w:rFonts w:ascii="Arial" w:cs="Arial" w:eastAsia="Arial" w:hAnsi="Arial"/>
          <w:sz w:val="11"/>
          <w:szCs w:val="11"/>
          <w:b w:val="1"/>
          <w:bCs w:val="1"/>
          <w:color w:val="auto"/>
        </w:rPr>
        <w:t xml:space="preserve"> </w:t>
      </w:r>
      <w:r>
        <w:rPr>
          <w:rFonts w:ascii="Arial" w:cs="Arial" w:eastAsia="Arial" w:hAnsi="Arial"/>
          <w:sz w:val="11"/>
          <w:szCs w:val="11"/>
          <w:color w:val="auto"/>
        </w:rPr>
        <w:t>for that Pricing Period and the Margin.</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Interim Compliance Certificate </w:t>
      </w:r>
      <w:r>
        <w:rPr>
          <w:rFonts w:ascii="Arial" w:cs="Arial" w:eastAsia="Arial" w:hAnsi="Arial"/>
          <w:sz w:val="11"/>
          <w:szCs w:val="11"/>
          <w:color w:val="auto"/>
        </w:rPr>
        <w:t>means a certificate in substantially the form set out in</w:t>
      </w:r>
      <w:r>
        <w:rPr>
          <w:rFonts w:ascii="Arial" w:cs="Arial" w:eastAsia="Arial" w:hAnsi="Arial"/>
          <w:sz w:val="11"/>
          <w:szCs w:val="11"/>
          <w:b w:val="1"/>
          <w:bCs w:val="1"/>
          <w:color w:val="auto"/>
        </w:rPr>
        <w:t xml:space="preserve"> schedule 10</w:t>
      </w:r>
      <w:r>
        <w:rPr>
          <w:rFonts w:ascii="Arial" w:cs="Arial" w:eastAsia="Arial" w:hAnsi="Arial"/>
          <w:sz w:val="11"/>
          <w:szCs w:val="11"/>
          <w:color w:val="auto"/>
        </w:rPr>
        <w:t>.</w:t>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Jindalee Cinema </w:t>
      </w:r>
      <w:r>
        <w:rPr>
          <w:rFonts w:ascii="Arial" w:cs="Arial" w:eastAsia="Arial" w:hAnsi="Arial"/>
          <w:sz w:val="11"/>
          <w:szCs w:val="11"/>
          <w:color w:val="auto"/>
        </w:rPr>
        <w:t>means the property located at 6 Amazons Place, Jindalee, QLD 4074.</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Land </w:t>
      </w:r>
      <w:r>
        <w:rPr>
          <w:rFonts w:ascii="Arial" w:cs="Arial" w:eastAsia="Arial" w:hAnsi="Arial"/>
          <w:sz w:val="11"/>
          <w:szCs w:val="11"/>
          <w:color w:val="auto"/>
        </w:rPr>
        <w:t>means any land owned or occupied by a Transaction Party that forms part of the Secured Property.</w:t>
      </w:r>
    </w:p>
    <w:p>
      <w:pPr>
        <w:spacing w:after="0" w:line="46" w:lineRule="exact"/>
        <w:rPr>
          <w:sz w:val="20"/>
          <w:szCs w:val="20"/>
          <w:color w:val="auto"/>
        </w:rPr>
      </w:pPr>
    </w:p>
    <w:p>
      <w:pPr>
        <w:ind w:left="840" w:right="400"/>
        <w:spacing w:after="0" w:line="287" w:lineRule="auto"/>
        <w:rPr>
          <w:sz w:val="20"/>
          <w:szCs w:val="20"/>
          <w:color w:val="auto"/>
        </w:rPr>
      </w:pPr>
      <w:r>
        <w:rPr>
          <w:rFonts w:ascii="Arial" w:cs="Arial" w:eastAsia="Arial" w:hAnsi="Arial"/>
          <w:sz w:val="11"/>
          <w:szCs w:val="11"/>
          <w:b w:val="1"/>
          <w:bCs w:val="1"/>
          <w:color w:val="auto"/>
        </w:rPr>
        <w:t xml:space="preserve">Leasehold Properties </w:t>
      </w:r>
      <w:r>
        <w:rPr>
          <w:rFonts w:ascii="Arial" w:cs="Arial" w:eastAsia="Arial" w:hAnsi="Arial"/>
          <w:sz w:val="11"/>
          <w:szCs w:val="11"/>
          <w:color w:val="auto"/>
        </w:rPr>
        <w:t>means each leasehold property leased by a Transaction Party that is the subject of a mortgage of lease referred to in</w:t>
      </w:r>
      <w:r>
        <w:rPr>
          <w:rFonts w:ascii="Arial" w:cs="Arial" w:eastAsia="Arial" w:hAnsi="Arial"/>
          <w:sz w:val="11"/>
          <w:szCs w:val="11"/>
          <w:b w:val="1"/>
          <w:bCs w:val="1"/>
          <w:color w:val="auto"/>
        </w:rPr>
        <w:t xml:space="preserve"> schedule 3 </w:t>
      </w:r>
      <w:r>
        <w:rPr>
          <w:rFonts w:ascii="Arial" w:cs="Arial" w:eastAsia="Arial" w:hAnsi="Arial"/>
          <w:sz w:val="11"/>
          <w:szCs w:val="11"/>
          <w:color w:val="auto"/>
        </w:rPr>
        <w:t>(including</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mortgage of lease described at item 11 of </w:t>
      </w:r>
      <w:r>
        <w:rPr>
          <w:rFonts w:ascii="Arial" w:cs="Arial" w:eastAsia="Arial" w:hAnsi="Arial"/>
          <w:sz w:val="11"/>
          <w:szCs w:val="11"/>
          <w:b w:val="1"/>
          <w:bCs w:val="1"/>
          <w:color w:val="auto"/>
        </w:rPr>
        <w:t>schedule 3</w:t>
      </w:r>
      <w:r>
        <w:rPr>
          <w:rFonts w:ascii="Arial" w:cs="Arial" w:eastAsia="Arial" w:hAnsi="Arial"/>
          <w:sz w:val="11"/>
          <w:szCs w:val="11"/>
          <w:color w:val="auto"/>
        </w:rPr>
        <w:t>).</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Leverage Ratio </w:t>
      </w:r>
      <w:r>
        <w:rPr>
          <w:rFonts w:ascii="Arial" w:cs="Arial" w:eastAsia="Arial" w:hAnsi="Arial"/>
          <w:sz w:val="11"/>
          <w:szCs w:val="11"/>
          <w:color w:val="auto"/>
        </w:rPr>
        <w:t>means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as at any date the ratio of</w:t>
      </w:r>
      <w:r>
        <w:rPr>
          <w:rFonts w:ascii="Arial" w:cs="Arial" w:eastAsia="Arial" w:hAnsi="Arial"/>
          <w:sz w:val="11"/>
          <w:szCs w:val="11"/>
          <w:color w:val="auto"/>
        </w:rPr>
        <w:t>:</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12</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80" w:name="page81"/>
    <w:bookmarkEnd w:id="80"/>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hanging="270"/>
        <w:spacing w:after="0"/>
        <w:tabs>
          <w:tab w:leader="none" w:pos="1100" w:val="left"/>
        </w:tabs>
        <w:numPr>
          <w:ilvl w:val="0"/>
          <w:numId w:val="62"/>
        </w:numPr>
        <w:rPr>
          <w:rFonts w:ascii="Arial" w:cs="Arial" w:eastAsia="Arial" w:hAnsi="Arial"/>
          <w:sz w:val="11"/>
          <w:szCs w:val="11"/>
          <w:color w:val="auto"/>
          <w:strike w:val="1"/>
        </w:rPr>
      </w:pPr>
      <w:r>
        <w:rPr>
          <w:rFonts w:ascii="Arial" w:cs="Arial" w:eastAsia="Arial" w:hAnsi="Arial"/>
          <w:sz w:val="11"/>
          <w:szCs w:val="11"/>
          <w:color w:val="B5082D"/>
          <w:strike w:val="1"/>
        </w:rPr>
        <w:t>as at any date (other than 31 December 2021, 31 March 2022 and 30 June 2022), the ratio of:</w:t>
      </w:r>
    </w:p>
    <w:p>
      <w:pPr>
        <w:spacing w:after="0" w:line="61" w:lineRule="exact"/>
        <w:rPr>
          <w:rFonts w:ascii="Arial" w:cs="Arial" w:eastAsia="Arial" w:hAnsi="Arial"/>
          <w:sz w:val="11"/>
          <w:szCs w:val="11"/>
          <w:color w:val="auto"/>
          <w:strike w:val="1"/>
        </w:rPr>
      </w:pPr>
    </w:p>
    <w:p>
      <w:pPr>
        <w:ind w:left="840"/>
        <w:spacing w:after="0"/>
        <w:rPr>
          <w:rFonts w:ascii="Arial" w:cs="Arial" w:eastAsia="Arial" w:hAnsi="Arial"/>
          <w:sz w:val="11"/>
          <w:szCs w:val="11"/>
          <w:color w:val="auto"/>
          <w:strike w:val="1"/>
        </w:rPr>
      </w:pPr>
      <w:r>
        <w:rPr>
          <w:rFonts w:ascii="Arial" w:cs="Arial" w:eastAsia="Arial" w:hAnsi="Arial"/>
          <w:sz w:val="11"/>
          <w:szCs w:val="11"/>
          <w:color w:val="B5082D"/>
          <w:strike w:val="1"/>
        </w:rPr>
        <w:t>(b)</w:t>
      </w:r>
      <w:r>
        <w:rPr>
          <w:rFonts w:ascii="Arial" w:cs="Arial" w:eastAsia="Arial" w:hAnsi="Arial"/>
          <w:sz w:val="11"/>
          <w:szCs w:val="11"/>
          <w:u w:val="single" w:color="auto"/>
          <w:color w:val="2D96D2"/>
        </w:rPr>
        <w:t>(a)</w:t>
      </w:r>
      <w:r>
        <w:rPr>
          <w:rFonts w:ascii="Arial" w:cs="Arial" w:eastAsia="Arial" w:hAnsi="Arial"/>
          <w:sz w:val="11"/>
          <w:szCs w:val="11"/>
          <w:color w:val="B5082D"/>
        </w:rPr>
        <w:t xml:space="preserve"> </w:t>
      </w:r>
      <w:r>
        <w:rPr>
          <w:rFonts w:ascii="Arial" w:cs="Arial" w:eastAsia="Arial" w:hAnsi="Arial"/>
          <w:sz w:val="11"/>
          <w:szCs w:val="11"/>
          <w:color w:val="000000"/>
        </w:rPr>
        <w:t>Total Gross Debt outstanding on that date; to</w:t>
      </w:r>
    </w:p>
    <w:p>
      <w:pPr>
        <w:spacing w:after="0" w:line="99" w:lineRule="exact"/>
        <w:rPr>
          <w:sz w:val="20"/>
          <w:szCs w:val="20"/>
          <w:color w:val="auto"/>
        </w:rPr>
      </w:pPr>
    </w:p>
    <w:p>
      <w:pPr>
        <w:ind w:left="840"/>
        <w:spacing w:after="0"/>
        <w:tabs>
          <w:tab w:leader="none" w:pos="5260" w:val="left"/>
        </w:tabs>
        <w:rPr>
          <w:sz w:val="20"/>
          <w:szCs w:val="20"/>
          <w:color w:val="auto"/>
        </w:rPr>
      </w:pPr>
      <w:r>
        <w:rPr>
          <w:rFonts w:ascii="Arial" w:cs="Arial" w:eastAsia="Arial" w:hAnsi="Arial"/>
          <w:sz w:val="11"/>
          <w:szCs w:val="11"/>
          <w:color w:val="B5082D"/>
          <w:strike w:val="1"/>
        </w:rPr>
        <w:t>(c)</w:t>
      </w:r>
      <w:r>
        <w:rPr>
          <w:rFonts w:ascii="Arial" w:cs="Arial" w:eastAsia="Arial" w:hAnsi="Arial"/>
          <w:sz w:val="11"/>
          <w:szCs w:val="11"/>
          <w:u w:val="single" w:color="auto"/>
          <w:color w:val="2D96D2"/>
        </w:rPr>
        <w:t>(b)</w:t>
      </w:r>
      <w:r>
        <w:rPr>
          <w:rFonts w:ascii="Arial" w:cs="Arial" w:eastAsia="Arial" w:hAnsi="Arial"/>
          <w:sz w:val="11"/>
          <w:szCs w:val="11"/>
          <w:color w:val="B5082D"/>
        </w:rPr>
        <w:t xml:space="preserve"> </w:t>
      </w:r>
      <w:r>
        <w:rPr>
          <w:rFonts w:ascii="Arial" w:cs="Arial" w:eastAsia="Arial" w:hAnsi="Arial"/>
          <w:sz w:val="11"/>
          <w:szCs w:val="11"/>
          <w:color w:val="000000"/>
        </w:rPr>
        <w:t>Adjusted EBITDA in respect of the 12 month period ending on that date</w:t>
      </w:r>
      <w:r>
        <w:rPr>
          <w:rFonts w:ascii="Arial" w:cs="Arial" w:eastAsia="Arial" w:hAnsi="Arial"/>
          <w:sz w:val="11"/>
          <w:szCs w:val="11"/>
          <w:color w:val="2D96D2"/>
        </w:rPr>
        <w:t>.</w:t>
      </w:r>
      <w:r>
        <w:rPr>
          <w:rFonts w:ascii="Arial" w:cs="Arial" w:eastAsia="Arial" w:hAnsi="Arial"/>
          <w:sz w:val="11"/>
          <w:szCs w:val="11"/>
          <w:color w:val="B5082D"/>
        </w:rPr>
        <w:t xml:space="preserve">; </w:t>
      </w:r>
      <w:r>
        <w:rPr>
          <w:rFonts w:ascii="Arial" w:cs="Arial" w:eastAsia="Arial" w:hAnsi="Arial"/>
          <w:sz w:val="11"/>
          <w:szCs w:val="11"/>
          <w:color w:val="B5082D"/>
          <w:strike w:val="1"/>
        </w:rPr>
        <w:t>(d)</w:t>
      </w:r>
      <w:r>
        <w:rPr>
          <w:sz w:val="20"/>
          <w:szCs w:val="20"/>
          <w:color w:val="auto"/>
        </w:rPr>
        <w:tab/>
      </w:r>
      <w:r>
        <w:rPr>
          <w:rFonts w:ascii="Arial" w:cs="Arial" w:eastAsia="Arial" w:hAnsi="Arial"/>
          <w:sz w:val="11"/>
          <w:szCs w:val="11"/>
          <w:color w:val="B5082D"/>
          <w:strike w:val="1"/>
        </w:rPr>
        <w:t>as at 31 December 2021, the ratio of:</w:t>
      </w:r>
    </w:p>
    <w:p>
      <w:pPr>
        <w:spacing w:after="0" w:line="31" w:lineRule="exact"/>
        <w:rPr>
          <w:sz w:val="20"/>
          <w:szCs w:val="20"/>
          <w:color w:val="auto"/>
        </w:rPr>
      </w:pPr>
    </w:p>
    <w:p>
      <w:pPr>
        <w:ind w:left="1380" w:hanging="272"/>
        <w:spacing w:after="0"/>
        <w:tabs>
          <w:tab w:leader="none" w:pos="1380" w:val="left"/>
        </w:tabs>
        <w:numPr>
          <w:ilvl w:val="0"/>
          <w:numId w:val="63"/>
        </w:numPr>
        <w:rPr>
          <w:rFonts w:ascii="Arial" w:cs="Arial" w:eastAsia="Arial" w:hAnsi="Arial"/>
          <w:sz w:val="11"/>
          <w:szCs w:val="11"/>
          <w:color w:val="auto"/>
          <w:strike w:val="1"/>
        </w:rPr>
      </w:pPr>
      <w:r>
        <w:rPr>
          <w:rFonts w:ascii="Arial" w:cs="Arial" w:eastAsia="Arial" w:hAnsi="Arial"/>
          <w:sz w:val="11"/>
          <w:szCs w:val="11"/>
          <w:color w:val="B5082D"/>
          <w:strike w:val="1"/>
        </w:rPr>
        <w:t>Total Gross Debt outstanding on that date; to</w:t>
      </w:r>
    </w:p>
    <w:p>
      <w:pPr>
        <w:spacing w:after="0" w:line="68" w:lineRule="exact"/>
        <w:rPr>
          <w:rFonts w:ascii="Arial" w:cs="Arial" w:eastAsia="Arial" w:hAnsi="Arial"/>
          <w:sz w:val="11"/>
          <w:szCs w:val="11"/>
          <w:color w:val="auto"/>
          <w:strike w:val="1"/>
        </w:rPr>
      </w:pPr>
    </w:p>
    <w:p>
      <w:pPr>
        <w:ind w:left="1380" w:hanging="272"/>
        <w:spacing w:after="0"/>
        <w:tabs>
          <w:tab w:leader="none" w:pos="1380" w:val="left"/>
        </w:tabs>
        <w:numPr>
          <w:ilvl w:val="0"/>
          <w:numId w:val="63"/>
        </w:numPr>
        <w:rPr>
          <w:rFonts w:ascii="Arial" w:cs="Arial" w:eastAsia="Arial" w:hAnsi="Arial"/>
          <w:sz w:val="11"/>
          <w:szCs w:val="11"/>
          <w:color w:val="auto"/>
          <w:strike w:val="1"/>
        </w:rPr>
      </w:pPr>
      <w:r>
        <w:rPr>
          <w:rFonts w:ascii="Arial" w:cs="Arial" w:eastAsia="Arial" w:hAnsi="Arial"/>
          <w:sz w:val="11"/>
          <w:szCs w:val="11"/>
          <w:color w:val="B5082D"/>
          <w:strike w:val="1"/>
        </w:rPr>
        <w:t>Adjusted EBITDA (calculated on an annualised basis) in respect of the 3 month period ending on that date;</w:t>
      </w:r>
    </w:p>
    <w:p>
      <w:pPr>
        <w:spacing w:after="0" w:line="61" w:lineRule="exact"/>
        <w:rPr>
          <w:rFonts w:ascii="Arial" w:cs="Arial" w:eastAsia="Arial" w:hAnsi="Arial"/>
          <w:sz w:val="11"/>
          <w:szCs w:val="11"/>
          <w:color w:val="auto"/>
          <w:strike w:val="1"/>
        </w:rPr>
      </w:pPr>
    </w:p>
    <w:p>
      <w:pPr>
        <w:ind w:left="840"/>
        <w:spacing w:after="0"/>
        <w:rPr>
          <w:rFonts w:ascii="Arial" w:cs="Arial" w:eastAsia="Arial" w:hAnsi="Arial"/>
          <w:sz w:val="11"/>
          <w:szCs w:val="11"/>
          <w:color w:val="auto"/>
          <w:strike w:val="1"/>
        </w:rPr>
      </w:pPr>
      <w:r>
        <w:rPr>
          <w:rFonts w:ascii="Arial" w:cs="Arial" w:eastAsia="Arial" w:hAnsi="Arial"/>
          <w:sz w:val="11"/>
          <w:szCs w:val="11"/>
          <w:color w:val="auto"/>
          <w:strike w:val="1"/>
        </w:rPr>
        <w:t>(e)</w:t>
      </w:r>
      <w:r>
        <w:rPr>
          <w:rFonts w:ascii="Arial" w:cs="Arial" w:eastAsia="Arial" w:hAnsi="Arial"/>
          <w:sz w:val="11"/>
          <w:szCs w:val="11"/>
          <w:color w:val="B5082D"/>
          <w:strike w:val="1"/>
        </w:rPr>
        <w:t>as at 31 March 2022, the ratio of:</w:t>
      </w:r>
    </w:p>
    <w:p>
      <w:pPr>
        <w:spacing w:after="0" w:line="76" w:lineRule="exact"/>
        <w:rPr>
          <w:sz w:val="20"/>
          <w:szCs w:val="20"/>
          <w:color w:val="auto"/>
        </w:rPr>
      </w:pPr>
    </w:p>
    <w:p>
      <w:pPr>
        <w:ind w:left="1380" w:hanging="272"/>
        <w:spacing w:after="0"/>
        <w:tabs>
          <w:tab w:leader="none" w:pos="1380" w:val="left"/>
        </w:tabs>
        <w:numPr>
          <w:ilvl w:val="1"/>
          <w:numId w:val="64"/>
        </w:numPr>
        <w:rPr>
          <w:rFonts w:ascii="Arial" w:cs="Arial" w:eastAsia="Arial" w:hAnsi="Arial"/>
          <w:sz w:val="11"/>
          <w:szCs w:val="11"/>
          <w:color w:val="auto"/>
          <w:strike w:val="1"/>
        </w:rPr>
      </w:pPr>
      <w:r>
        <w:rPr>
          <w:rFonts w:ascii="Arial" w:cs="Arial" w:eastAsia="Arial" w:hAnsi="Arial"/>
          <w:sz w:val="11"/>
          <w:szCs w:val="11"/>
          <w:color w:val="B5082D"/>
          <w:strike w:val="1"/>
        </w:rPr>
        <w:t>Total Gross Debt outstanding on that date; to</w:t>
      </w:r>
    </w:p>
    <w:p>
      <w:pPr>
        <w:spacing w:after="0" w:line="68" w:lineRule="exact"/>
        <w:rPr>
          <w:rFonts w:ascii="Arial" w:cs="Arial" w:eastAsia="Arial" w:hAnsi="Arial"/>
          <w:sz w:val="11"/>
          <w:szCs w:val="11"/>
          <w:color w:val="auto"/>
          <w:strike w:val="1"/>
        </w:rPr>
      </w:pPr>
    </w:p>
    <w:p>
      <w:pPr>
        <w:ind w:left="1380" w:hanging="272"/>
        <w:spacing w:after="0"/>
        <w:tabs>
          <w:tab w:leader="none" w:pos="1380" w:val="left"/>
        </w:tabs>
        <w:numPr>
          <w:ilvl w:val="1"/>
          <w:numId w:val="64"/>
        </w:numPr>
        <w:rPr>
          <w:rFonts w:ascii="Arial" w:cs="Arial" w:eastAsia="Arial" w:hAnsi="Arial"/>
          <w:sz w:val="11"/>
          <w:szCs w:val="11"/>
          <w:color w:val="auto"/>
          <w:strike w:val="1"/>
        </w:rPr>
      </w:pPr>
      <w:r>
        <w:rPr>
          <w:rFonts w:ascii="Arial" w:cs="Arial" w:eastAsia="Arial" w:hAnsi="Arial"/>
          <w:sz w:val="11"/>
          <w:szCs w:val="11"/>
          <w:color w:val="B5082D"/>
          <w:strike w:val="1"/>
        </w:rPr>
        <w:t>Adjusted EBITDA (calculated on an annualised basis) in respect of the 6 month period ending on that date;</w:t>
      </w:r>
    </w:p>
    <w:p>
      <w:pPr>
        <w:spacing w:after="0" w:line="61" w:lineRule="exact"/>
        <w:rPr>
          <w:rFonts w:ascii="Arial" w:cs="Arial" w:eastAsia="Arial" w:hAnsi="Arial"/>
          <w:sz w:val="11"/>
          <w:szCs w:val="11"/>
          <w:color w:val="auto"/>
          <w:strike w:val="1"/>
        </w:rPr>
      </w:pPr>
    </w:p>
    <w:p>
      <w:pPr>
        <w:ind w:left="960" w:hanging="130"/>
        <w:spacing w:after="0"/>
        <w:tabs>
          <w:tab w:leader="none" w:pos="960" w:val="left"/>
        </w:tabs>
        <w:numPr>
          <w:ilvl w:val="0"/>
          <w:numId w:val="65"/>
        </w:numPr>
        <w:rPr>
          <w:rFonts w:ascii="Arial" w:cs="Arial" w:eastAsia="Arial" w:hAnsi="Arial"/>
          <w:sz w:val="11"/>
          <w:szCs w:val="11"/>
          <w:color w:val="auto"/>
          <w:strike w:val="1"/>
        </w:rPr>
      </w:pPr>
      <w:r>
        <w:rPr>
          <w:rFonts w:ascii="Arial" w:cs="Arial" w:eastAsia="Arial" w:hAnsi="Arial"/>
          <w:sz w:val="11"/>
          <w:szCs w:val="11"/>
          <w:color w:val="B5082D"/>
          <w:strike w:val="1"/>
        </w:rPr>
        <w:t>as at 30 June 2022, the ratio of:</w:t>
      </w:r>
    </w:p>
    <w:p>
      <w:pPr>
        <w:spacing w:after="0" w:line="76" w:lineRule="exact"/>
        <w:rPr>
          <w:rFonts w:ascii="Arial" w:cs="Arial" w:eastAsia="Arial" w:hAnsi="Arial"/>
          <w:sz w:val="11"/>
          <w:szCs w:val="11"/>
          <w:color w:val="auto"/>
          <w:strike w:val="1"/>
        </w:rPr>
      </w:pPr>
    </w:p>
    <w:p>
      <w:pPr>
        <w:ind w:left="1380" w:hanging="272"/>
        <w:spacing w:after="0"/>
        <w:tabs>
          <w:tab w:leader="none" w:pos="1380" w:val="left"/>
        </w:tabs>
        <w:numPr>
          <w:ilvl w:val="1"/>
          <w:numId w:val="65"/>
        </w:numPr>
        <w:rPr>
          <w:rFonts w:ascii="Arial" w:cs="Arial" w:eastAsia="Arial" w:hAnsi="Arial"/>
          <w:sz w:val="11"/>
          <w:szCs w:val="11"/>
          <w:color w:val="auto"/>
          <w:strike w:val="1"/>
        </w:rPr>
      </w:pPr>
      <w:r>
        <w:rPr>
          <w:rFonts w:ascii="Arial" w:cs="Arial" w:eastAsia="Arial" w:hAnsi="Arial"/>
          <w:sz w:val="11"/>
          <w:szCs w:val="11"/>
          <w:color w:val="B5082D"/>
          <w:strike w:val="1"/>
        </w:rPr>
        <w:t>Total Gross Debt outstanding on that date; to</w:t>
      </w:r>
    </w:p>
    <w:p>
      <w:pPr>
        <w:spacing w:after="0" w:line="68" w:lineRule="exact"/>
        <w:rPr>
          <w:rFonts w:ascii="Arial" w:cs="Arial" w:eastAsia="Arial" w:hAnsi="Arial"/>
          <w:sz w:val="11"/>
          <w:szCs w:val="11"/>
          <w:color w:val="auto"/>
          <w:strike w:val="1"/>
        </w:rPr>
      </w:pPr>
    </w:p>
    <w:p>
      <w:pPr>
        <w:ind w:left="1380" w:hanging="272"/>
        <w:spacing w:after="0"/>
        <w:tabs>
          <w:tab w:leader="none" w:pos="1380" w:val="left"/>
        </w:tabs>
        <w:numPr>
          <w:ilvl w:val="1"/>
          <w:numId w:val="65"/>
        </w:numPr>
        <w:rPr>
          <w:rFonts w:ascii="Arial" w:cs="Arial" w:eastAsia="Arial" w:hAnsi="Arial"/>
          <w:sz w:val="11"/>
          <w:szCs w:val="11"/>
          <w:color w:val="auto"/>
          <w:strike w:val="1"/>
        </w:rPr>
      </w:pPr>
      <w:r>
        <w:rPr>
          <w:rFonts w:ascii="Arial" w:cs="Arial" w:eastAsia="Arial" w:hAnsi="Arial"/>
          <w:sz w:val="11"/>
          <w:szCs w:val="11"/>
          <w:color w:val="B5082D"/>
          <w:strike w:val="1"/>
        </w:rPr>
        <w:t>Adjusted EBITDA (calculated on an annualised basis) in respect of the 9 month period ending on that date;</w:t>
      </w:r>
    </w:p>
    <w:p>
      <w:pPr>
        <w:spacing w:after="0" w:line="46" w:lineRule="exact"/>
        <w:rPr>
          <w:sz w:val="20"/>
          <w:szCs w:val="20"/>
          <w:color w:val="auto"/>
        </w:rPr>
      </w:pPr>
    </w:p>
    <w:p>
      <w:pPr>
        <w:ind w:left="840" w:right="1260"/>
        <w:spacing w:after="0" w:line="256" w:lineRule="auto"/>
        <w:rPr>
          <w:sz w:val="20"/>
          <w:szCs w:val="20"/>
          <w:color w:val="auto"/>
        </w:rPr>
      </w:pPr>
      <w:r>
        <w:rPr>
          <w:rFonts w:ascii="Arial" w:cs="Arial" w:eastAsia="Arial" w:hAnsi="Arial"/>
          <w:sz w:val="11"/>
          <w:szCs w:val="11"/>
          <w:color w:val="B5082D"/>
          <w:strike w:val="1"/>
        </w:rPr>
        <w:t>For the purposes of calculating Leverage Ratio on any date occurring before the first anniversary of Financial Close, Leverage Ratio will be based on a pro forma EBITDA for the 12 month period to that date.</w:t>
      </w:r>
    </w:p>
    <w:p>
      <w:pPr>
        <w:spacing w:after="0" w:line="17" w:lineRule="exact"/>
        <w:rPr>
          <w:sz w:val="20"/>
          <w:szCs w:val="20"/>
          <w:color w:val="auto"/>
        </w:rPr>
      </w:pPr>
    </w:p>
    <w:p>
      <w:pPr>
        <w:ind w:left="840" w:right="1020"/>
        <w:spacing w:after="0" w:line="268" w:lineRule="auto"/>
        <w:rPr>
          <w:sz w:val="20"/>
          <w:szCs w:val="20"/>
          <w:color w:val="auto"/>
        </w:rPr>
      </w:pPr>
      <w:r>
        <w:rPr>
          <w:rFonts w:ascii="Arial" w:cs="Arial" w:eastAsia="Arial" w:hAnsi="Arial"/>
          <w:sz w:val="11"/>
          <w:szCs w:val="11"/>
          <w:b w:val="1"/>
          <w:bCs w:val="1"/>
          <w:u w:val="single" w:color="auto"/>
          <w:color w:val="2D96D2"/>
        </w:rPr>
        <w:t xml:space="preserve">Letter of Waiver </w:t>
      </w:r>
      <w:r>
        <w:rPr>
          <w:rFonts w:ascii="Arial" w:cs="Arial" w:eastAsia="Arial" w:hAnsi="Arial"/>
          <w:sz w:val="11"/>
          <w:szCs w:val="11"/>
          <w:u w:val="single" w:color="auto"/>
          <w:color w:val="2D96D2"/>
        </w:rPr>
        <w:t>means the l etter enti tl ed ‘ Letter of Waiver: Leverage R atio and Financial Charges Cover Ratio for the Calculation Periods ending</w:t>
      </w:r>
      <w:r>
        <w:rPr>
          <w:rFonts w:ascii="Arial" w:cs="Arial" w:eastAsia="Arial" w:hAnsi="Arial"/>
          <w:sz w:val="11"/>
          <w:szCs w:val="11"/>
          <w:b w:val="1"/>
          <w:bCs w:val="1"/>
          <w:u w:val="single" w:color="auto"/>
          <w:color w:val="2D96D2"/>
        </w:rPr>
        <w:t xml:space="preserve"> </w:t>
      </w:r>
      <w:r>
        <w:rPr>
          <w:rFonts w:ascii="Arial" w:cs="Arial" w:eastAsia="Arial" w:hAnsi="Arial"/>
          <w:sz w:val="11"/>
          <w:szCs w:val="11"/>
          <w:u w:val="single" w:color="auto"/>
          <w:color w:val="2D96D2"/>
        </w:rPr>
        <w:t>31 December 2022, 31 March 2023, 30 June 2023 and 31 September 2023’ issued by the Bank to the Borrower dated 1 August 2023.</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Loan to Value Ratio </w:t>
      </w:r>
      <w:r>
        <w:rPr>
          <w:rFonts w:ascii="Arial" w:cs="Arial" w:eastAsia="Arial" w:hAnsi="Arial"/>
          <w:sz w:val="11"/>
          <w:szCs w:val="11"/>
          <w:color w:val="auto"/>
        </w:rPr>
        <w:t>at any date means the ratio (expressed as a percentage) of:</w:t>
      </w:r>
    </w:p>
    <w:p>
      <w:pPr>
        <w:spacing w:after="0" w:line="36" w:lineRule="exact"/>
        <w:rPr>
          <w:sz w:val="20"/>
          <w:szCs w:val="20"/>
          <w:color w:val="auto"/>
        </w:rPr>
      </w:pPr>
    </w:p>
    <w:p>
      <w:pPr>
        <w:ind w:left="1100" w:hanging="270"/>
        <w:spacing w:after="0"/>
        <w:tabs>
          <w:tab w:leader="none" w:pos="1100" w:val="left"/>
        </w:tabs>
        <w:numPr>
          <w:ilvl w:val="0"/>
          <w:numId w:val="66"/>
        </w:numPr>
        <w:rPr>
          <w:rFonts w:ascii="Arial" w:cs="Arial" w:eastAsia="Arial" w:hAnsi="Arial"/>
          <w:sz w:val="11"/>
          <w:szCs w:val="11"/>
          <w:color w:val="auto"/>
        </w:rPr>
      </w:pPr>
      <w:r>
        <w:rPr>
          <w:rFonts w:ascii="Arial" w:cs="Arial" w:eastAsia="Arial" w:hAnsi="Arial"/>
          <w:sz w:val="11"/>
          <w:szCs w:val="11"/>
          <w:color w:val="auto"/>
        </w:rPr>
        <w:t>the aggregate of the Total Gross Debt outstanding on that date and any Outstanding Accommodation in relation a Current Bank Guarantee as at that date; to</w:t>
      </w:r>
    </w:p>
    <w:p>
      <w:pPr>
        <w:spacing w:after="0" w:line="46" w:lineRule="exact"/>
        <w:rPr>
          <w:rFonts w:ascii="Arial" w:cs="Arial" w:eastAsia="Arial" w:hAnsi="Arial"/>
          <w:sz w:val="11"/>
          <w:szCs w:val="11"/>
          <w:color w:val="auto"/>
        </w:rPr>
      </w:pPr>
    </w:p>
    <w:p>
      <w:pPr>
        <w:ind w:left="1100" w:right="400" w:hanging="270"/>
        <w:spacing w:after="0" w:line="256" w:lineRule="auto"/>
        <w:tabs>
          <w:tab w:leader="none" w:pos="1100" w:val="left"/>
        </w:tabs>
        <w:numPr>
          <w:ilvl w:val="0"/>
          <w:numId w:val="66"/>
        </w:numPr>
        <w:rPr>
          <w:rFonts w:ascii="Arial" w:cs="Arial" w:eastAsia="Arial" w:hAnsi="Arial"/>
          <w:sz w:val="11"/>
          <w:szCs w:val="11"/>
          <w:color w:val="auto"/>
        </w:rPr>
      </w:pPr>
      <w:r>
        <w:rPr>
          <w:rFonts w:ascii="Arial" w:cs="Arial" w:eastAsia="Arial" w:hAnsi="Arial"/>
          <w:sz w:val="11"/>
          <w:szCs w:val="11"/>
          <w:color w:val="auto"/>
        </w:rPr>
        <w:t>the market value of the Freehold Properties and Leasehold Properties included in the Secured Property as noted in the most recent Valuation provided to the Bank pursuant to this document and accepted by the Bank.</w:t>
      </w:r>
    </w:p>
    <w:p>
      <w:pPr>
        <w:spacing w:after="0" w:line="17" w:lineRule="exact"/>
        <w:rPr>
          <w:sz w:val="20"/>
          <w:szCs w:val="20"/>
          <w:color w:val="auto"/>
        </w:rPr>
      </w:pPr>
    </w:p>
    <w:p>
      <w:pPr>
        <w:ind w:left="840" w:right="2000"/>
        <w:spacing w:after="0" w:line="268" w:lineRule="auto"/>
        <w:rPr>
          <w:sz w:val="20"/>
          <w:szCs w:val="20"/>
          <w:color w:val="auto"/>
        </w:rPr>
      </w:pPr>
      <w:r>
        <w:rPr>
          <w:rFonts w:ascii="Arial" w:cs="Arial" w:eastAsia="Arial" w:hAnsi="Arial"/>
          <w:sz w:val="11"/>
          <w:szCs w:val="11"/>
          <w:b w:val="1"/>
          <w:bCs w:val="1"/>
          <w:color w:val="auto"/>
        </w:rPr>
        <w:t xml:space="preserve">Management Fees </w:t>
      </w:r>
      <w:r>
        <w:rPr>
          <w:rFonts w:ascii="Arial" w:cs="Arial" w:eastAsia="Arial" w:hAnsi="Arial"/>
          <w:sz w:val="11"/>
          <w:szCs w:val="11"/>
          <w:color w:val="auto"/>
        </w:rPr>
        <w:t>means management and consulting fees payable to Reading International Inc</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or any of its affiliates (other than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any affiliate who is a Reading Entertainment Australia Group Member)</w:t>
      </w:r>
      <w:r>
        <w:rPr>
          <w:rFonts w:ascii="Arial" w:cs="Arial" w:eastAsia="Arial" w:hAnsi="Arial"/>
          <w:sz w:val="11"/>
          <w:szCs w:val="11"/>
          <w:color w:val="2D96D2"/>
        </w:rPr>
        <w:t xml:space="preserve"> </w:t>
      </w:r>
      <w:r>
        <w:rPr>
          <w:rFonts w:ascii="Arial" w:cs="Arial" w:eastAsia="Arial" w:hAnsi="Arial"/>
          <w:sz w:val="11"/>
          <w:szCs w:val="11"/>
          <w:color w:val="000000"/>
        </w:rPr>
        <w:t>each Financial Year.</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Margin </w:t>
      </w:r>
      <w:r>
        <w:rPr>
          <w:rFonts w:ascii="Arial" w:cs="Arial" w:eastAsia="Arial" w:hAnsi="Arial"/>
          <w:sz w:val="11"/>
          <w:szCs w:val="11"/>
          <w:color w:val="auto"/>
        </w:rPr>
        <w:t>means in relation to a Pricing Period for an Advance:</w:t>
      </w:r>
    </w:p>
    <w:p>
      <w:pPr>
        <w:spacing w:after="0" w:line="75" w:lineRule="exact"/>
        <w:rPr>
          <w:sz w:val="20"/>
          <w:szCs w:val="20"/>
          <w:color w:val="auto"/>
        </w:rPr>
      </w:pPr>
    </w:p>
    <w:p>
      <w:pPr>
        <w:ind w:left="1100" w:hanging="270"/>
        <w:spacing w:after="0"/>
        <w:tabs>
          <w:tab w:leader="none" w:pos="1100" w:val="left"/>
        </w:tabs>
        <w:numPr>
          <w:ilvl w:val="0"/>
          <w:numId w:val="67"/>
        </w:numPr>
        <w:rPr>
          <w:rFonts w:ascii="Arial" w:cs="Arial" w:eastAsia="Arial" w:hAnsi="Arial"/>
          <w:sz w:val="11"/>
          <w:szCs w:val="11"/>
          <w:u w:val="single" w:color="auto"/>
          <w:color w:val="auto"/>
        </w:rPr>
      </w:pPr>
      <w:r>
        <w:rPr>
          <w:rFonts w:ascii="Arial" w:cs="Arial" w:eastAsia="Arial" w:hAnsi="Arial"/>
          <w:sz w:val="11"/>
          <w:szCs w:val="11"/>
          <w:color w:val="auto"/>
        </w:rPr>
        <w:t xml:space="preserve">1.75% per annum for each Pricing Period which commences </w:t>
      </w:r>
      <w:r>
        <w:rPr>
          <w:rFonts w:ascii="Arial" w:cs="Arial" w:eastAsia="Arial" w:hAnsi="Arial"/>
          <w:sz w:val="11"/>
          <w:szCs w:val="11"/>
          <w:color w:val="B5082D"/>
          <w:strike w:val="1"/>
        </w:rPr>
        <w:t>during the Relevant Period</w:t>
      </w:r>
      <w:r>
        <w:rPr>
          <w:rFonts w:ascii="Arial" w:cs="Arial" w:eastAsia="Arial" w:hAnsi="Arial"/>
          <w:sz w:val="11"/>
          <w:szCs w:val="11"/>
          <w:u w:val="single" w:color="auto"/>
          <w:color w:val="2D96D2"/>
        </w:rPr>
        <w:t>before and until the Relevant Date</w:t>
      </w:r>
      <w:r>
        <w:rPr>
          <w:rFonts w:ascii="Arial" w:cs="Arial" w:eastAsia="Arial" w:hAnsi="Arial"/>
          <w:sz w:val="11"/>
          <w:szCs w:val="11"/>
          <w:color w:val="auto"/>
        </w:rPr>
        <w:t>; and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13</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81" w:name="page82"/>
    <w:bookmarkEnd w:id="81"/>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spacing w:after="0"/>
        <w:rPr>
          <w:sz w:val="20"/>
          <w:szCs w:val="20"/>
          <w:color w:val="auto"/>
        </w:rPr>
      </w:pPr>
      <w:r>
        <w:rPr>
          <w:rFonts w:ascii="Arial" w:cs="Arial" w:eastAsia="Arial" w:hAnsi="Arial"/>
          <w:sz w:val="11"/>
          <w:szCs w:val="11"/>
          <w:color w:val="B5082D"/>
          <w:strike w:val="1"/>
        </w:rPr>
        <w:t>(a)</w:t>
      </w:r>
      <w:r>
        <w:rPr>
          <w:rFonts w:ascii="Arial" w:cs="Arial" w:eastAsia="Arial" w:hAnsi="Arial"/>
          <w:sz w:val="11"/>
          <w:szCs w:val="11"/>
          <w:u w:val="single" w:color="auto"/>
          <w:color w:val="2D96D2"/>
          <w:strike w:val="1"/>
        </w:rPr>
        <w:t>(b) 1.50% per annum for each Pricing Period which commences on and from the Relevant Date.</w:t>
      </w:r>
    </w:p>
    <w:p>
      <w:pPr>
        <w:spacing w:after="0" w:line="46" w:lineRule="exact"/>
        <w:rPr>
          <w:sz w:val="20"/>
          <w:szCs w:val="20"/>
          <w:color w:val="auto"/>
        </w:rPr>
      </w:pPr>
    </w:p>
    <w:p>
      <w:pPr>
        <w:ind w:left="1100" w:right="1340" w:hanging="270"/>
        <w:spacing w:after="0" w:line="275" w:lineRule="auto"/>
        <w:tabs>
          <w:tab w:leader="none" w:pos="1100" w:val="left"/>
        </w:tabs>
        <w:numPr>
          <w:ilvl w:val="0"/>
          <w:numId w:val="68"/>
        </w:numPr>
        <w:rPr>
          <w:rFonts w:ascii="Arial" w:cs="Arial" w:eastAsia="Arial" w:hAnsi="Arial"/>
          <w:sz w:val="11"/>
          <w:szCs w:val="11"/>
          <w:u w:val="single" w:color="auto"/>
          <w:color w:val="auto"/>
        </w:rPr>
      </w:pPr>
      <w:r>
        <w:rPr>
          <w:rFonts w:ascii="Arial" w:cs="Arial" w:eastAsia="Arial" w:hAnsi="Arial"/>
          <w:sz w:val="11"/>
          <w:szCs w:val="11"/>
          <w:color w:val="B5082D"/>
          <w:strike w:val="1"/>
        </w:rPr>
        <w:t xml:space="preserve">for all other Pricing Periods, where the Leverage Ratio as shown in the Annual or Interim Compliance Certificate most recently delivered to the Bank (subject to </w:t>
      </w:r>
      <w:r>
        <w:rPr>
          <w:rFonts w:ascii="Arial" w:cs="Arial" w:eastAsia="Arial" w:hAnsi="Arial"/>
          <w:sz w:val="11"/>
          <w:szCs w:val="11"/>
          <w:b w:val="1"/>
          <w:bCs w:val="1"/>
          <w:color w:val="B5082D"/>
          <w:strike w:val="1"/>
        </w:rPr>
        <w:t>clause 10.6(e)</w:t>
      </w:r>
      <w:r>
        <w:rPr>
          <w:rFonts w:ascii="Arial" w:cs="Arial" w:eastAsia="Arial" w:hAnsi="Arial"/>
          <w:sz w:val="11"/>
          <w:szCs w:val="11"/>
          <w:color w:val="B5082D"/>
          <w:strike w:val="1"/>
        </w:rPr>
        <w:t>) on or before the first day of the relevant Pricing Period is:</w:t>
      </w:r>
    </w:p>
    <w:p>
      <w:pPr>
        <w:spacing w:after="0" w:line="17" w:lineRule="exact"/>
        <w:rPr>
          <w:rFonts w:ascii="Arial" w:cs="Arial" w:eastAsia="Arial" w:hAnsi="Arial"/>
          <w:sz w:val="11"/>
          <w:szCs w:val="11"/>
          <w:u w:val="single" w:color="auto"/>
          <w:color w:val="auto"/>
        </w:rPr>
      </w:pPr>
    </w:p>
    <w:p>
      <w:pPr>
        <w:ind w:left="1380" w:hanging="272"/>
        <w:spacing w:after="0"/>
        <w:tabs>
          <w:tab w:leader="none" w:pos="1380" w:val="left"/>
        </w:tabs>
        <w:numPr>
          <w:ilvl w:val="1"/>
          <w:numId w:val="68"/>
        </w:numPr>
        <w:rPr>
          <w:rFonts w:ascii="Arial" w:cs="Arial" w:eastAsia="Arial" w:hAnsi="Arial"/>
          <w:sz w:val="11"/>
          <w:szCs w:val="11"/>
          <w:color w:val="auto"/>
          <w:strike w:val="1"/>
        </w:rPr>
      </w:pPr>
      <w:r>
        <w:rPr>
          <w:rFonts w:ascii="Arial" w:cs="Arial" w:eastAsia="Arial" w:hAnsi="Arial"/>
          <w:sz w:val="11"/>
          <w:szCs w:val="11"/>
          <w:color w:val="B5082D"/>
          <w:strike w:val="1"/>
        </w:rPr>
        <w:t>greater than 3.0 times, 1.30% per annum;</w:t>
      </w:r>
    </w:p>
    <w:p>
      <w:pPr>
        <w:spacing w:after="0" w:line="68" w:lineRule="exact"/>
        <w:rPr>
          <w:rFonts w:ascii="Arial" w:cs="Arial" w:eastAsia="Arial" w:hAnsi="Arial"/>
          <w:sz w:val="11"/>
          <w:szCs w:val="11"/>
          <w:color w:val="auto"/>
          <w:strike w:val="1"/>
        </w:rPr>
      </w:pPr>
    </w:p>
    <w:p>
      <w:pPr>
        <w:ind w:left="1380" w:hanging="272"/>
        <w:spacing w:after="0"/>
        <w:tabs>
          <w:tab w:leader="none" w:pos="1380" w:val="left"/>
        </w:tabs>
        <w:numPr>
          <w:ilvl w:val="1"/>
          <w:numId w:val="68"/>
        </w:numPr>
        <w:rPr>
          <w:rFonts w:ascii="Arial" w:cs="Arial" w:eastAsia="Arial" w:hAnsi="Arial"/>
          <w:sz w:val="11"/>
          <w:szCs w:val="11"/>
          <w:color w:val="auto"/>
          <w:strike w:val="1"/>
        </w:rPr>
      </w:pPr>
      <w:r>
        <w:rPr>
          <w:rFonts w:ascii="Arial" w:cs="Arial" w:eastAsia="Arial" w:hAnsi="Arial"/>
          <w:sz w:val="11"/>
          <w:szCs w:val="11"/>
          <w:color w:val="B5082D"/>
          <w:strike w:val="1"/>
        </w:rPr>
        <w:t>greater than 2.5 times but less than or equal to 3.0 times, 1.15% per annum;</w:t>
      </w:r>
    </w:p>
    <w:p>
      <w:pPr>
        <w:spacing w:after="0" w:line="46" w:lineRule="exact"/>
        <w:rPr>
          <w:rFonts w:ascii="Arial" w:cs="Arial" w:eastAsia="Arial" w:hAnsi="Arial"/>
          <w:sz w:val="11"/>
          <w:szCs w:val="11"/>
          <w:color w:val="auto"/>
          <w:strike w:val="1"/>
        </w:rPr>
      </w:pPr>
    </w:p>
    <w:p>
      <w:pPr>
        <w:ind w:left="1380" w:hanging="272"/>
        <w:spacing w:after="0"/>
        <w:tabs>
          <w:tab w:leader="none" w:pos="1380" w:val="left"/>
        </w:tabs>
        <w:numPr>
          <w:ilvl w:val="1"/>
          <w:numId w:val="68"/>
        </w:numPr>
        <w:rPr>
          <w:rFonts w:ascii="Arial" w:cs="Arial" w:eastAsia="Arial" w:hAnsi="Arial"/>
          <w:sz w:val="11"/>
          <w:szCs w:val="11"/>
          <w:color w:val="auto"/>
          <w:strike w:val="1"/>
        </w:rPr>
      </w:pPr>
      <w:r>
        <w:rPr>
          <w:rFonts w:ascii="Arial" w:cs="Arial" w:eastAsia="Arial" w:hAnsi="Arial"/>
          <w:sz w:val="11"/>
          <w:szCs w:val="11"/>
          <w:color w:val="B5082D"/>
          <w:strike w:val="1"/>
        </w:rPr>
        <w:t>greater than 2.0 times but less than or equal to 2.5 times, 1.00% per annum; and</w:t>
      </w:r>
    </w:p>
    <w:p>
      <w:pPr>
        <w:spacing w:after="0" w:line="53" w:lineRule="exact"/>
        <w:rPr>
          <w:rFonts w:ascii="Arial" w:cs="Arial" w:eastAsia="Arial" w:hAnsi="Arial"/>
          <w:sz w:val="11"/>
          <w:szCs w:val="11"/>
          <w:color w:val="auto"/>
          <w:strike w:val="1"/>
        </w:rPr>
      </w:pPr>
    </w:p>
    <w:p>
      <w:pPr>
        <w:ind w:left="1320" w:hanging="212"/>
        <w:spacing w:after="0"/>
        <w:tabs>
          <w:tab w:leader="none" w:pos="1320" w:val="left"/>
        </w:tabs>
        <w:numPr>
          <w:ilvl w:val="1"/>
          <w:numId w:val="68"/>
        </w:numPr>
        <w:rPr>
          <w:rFonts w:ascii="Arial" w:cs="Arial" w:eastAsia="Arial" w:hAnsi="Arial"/>
          <w:sz w:val="11"/>
          <w:szCs w:val="11"/>
          <w:color w:val="auto"/>
          <w:strike w:val="1"/>
        </w:rPr>
      </w:pPr>
      <w:r>
        <w:rPr>
          <w:rFonts w:ascii="Arial" w:cs="Arial" w:eastAsia="Arial" w:hAnsi="Arial"/>
          <w:sz w:val="11"/>
          <w:szCs w:val="11"/>
          <w:color w:val="B5082D"/>
          <w:strike w:val="1"/>
        </w:rPr>
        <w:t>less than or equal to 2.0 times, 0.85% per annum.</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Material Adverse Effec</w:t>
      </w:r>
      <w:r>
        <w:rPr>
          <w:rFonts w:ascii="Arial" w:cs="Arial" w:eastAsia="Arial" w:hAnsi="Arial"/>
          <w:sz w:val="11"/>
          <w:szCs w:val="11"/>
          <w:color w:val="auto"/>
        </w:rPr>
        <w:t>t means a material adverse effect on:</w:t>
      </w:r>
    </w:p>
    <w:p>
      <w:pPr>
        <w:spacing w:after="0" w:line="58" w:lineRule="exact"/>
        <w:rPr>
          <w:sz w:val="20"/>
          <w:szCs w:val="20"/>
          <w:color w:val="auto"/>
        </w:rPr>
      </w:pPr>
    </w:p>
    <w:p>
      <w:pPr>
        <w:ind w:left="1100" w:hanging="270"/>
        <w:spacing w:after="0"/>
        <w:tabs>
          <w:tab w:leader="none" w:pos="1100" w:val="left"/>
        </w:tabs>
        <w:numPr>
          <w:ilvl w:val="0"/>
          <w:numId w:val="69"/>
        </w:numPr>
        <w:rPr>
          <w:rFonts w:ascii="Arial" w:cs="Arial" w:eastAsia="Arial" w:hAnsi="Arial"/>
          <w:sz w:val="11"/>
          <w:szCs w:val="11"/>
          <w:color w:val="auto"/>
        </w:rPr>
      </w:pPr>
      <w:r>
        <w:rPr>
          <w:rFonts w:ascii="Arial" w:cs="Arial" w:eastAsia="Arial" w:hAnsi="Arial"/>
          <w:sz w:val="11"/>
          <w:szCs w:val="11"/>
          <w:color w:val="auto"/>
        </w:rPr>
        <w:t>the business, operation, property, condition (financial or otherwise) of a Transaction Party or the Reading Entertainment Australia Group taken as a whole;</w:t>
      </w:r>
    </w:p>
    <w:p>
      <w:pPr>
        <w:spacing w:after="0" w:line="46" w:lineRule="exact"/>
        <w:rPr>
          <w:rFonts w:ascii="Arial" w:cs="Arial" w:eastAsia="Arial" w:hAnsi="Arial"/>
          <w:sz w:val="11"/>
          <w:szCs w:val="11"/>
          <w:color w:val="auto"/>
        </w:rPr>
      </w:pPr>
    </w:p>
    <w:p>
      <w:pPr>
        <w:ind w:left="1100" w:hanging="270"/>
        <w:spacing w:after="0"/>
        <w:tabs>
          <w:tab w:leader="none" w:pos="1100" w:val="left"/>
        </w:tabs>
        <w:numPr>
          <w:ilvl w:val="0"/>
          <w:numId w:val="69"/>
        </w:numPr>
        <w:rPr>
          <w:rFonts w:ascii="Arial" w:cs="Arial" w:eastAsia="Arial" w:hAnsi="Arial"/>
          <w:sz w:val="11"/>
          <w:szCs w:val="11"/>
          <w:color w:val="auto"/>
        </w:rPr>
      </w:pPr>
      <w:r>
        <w:rPr>
          <w:rFonts w:ascii="Arial" w:cs="Arial" w:eastAsia="Arial" w:hAnsi="Arial"/>
          <w:sz w:val="11"/>
          <w:szCs w:val="11"/>
          <w:color w:val="auto"/>
        </w:rPr>
        <w:t>the ability of a Transaction Party to perform its obligations under the Transaction Documents; or</w:t>
      </w:r>
    </w:p>
    <w:p>
      <w:pPr>
        <w:spacing w:after="0" w:line="46" w:lineRule="exact"/>
        <w:rPr>
          <w:rFonts w:ascii="Arial" w:cs="Arial" w:eastAsia="Arial" w:hAnsi="Arial"/>
          <w:sz w:val="11"/>
          <w:szCs w:val="11"/>
          <w:color w:val="auto"/>
        </w:rPr>
      </w:pPr>
    </w:p>
    <w:p>
      <w:pPr>
        <w:ind w:left="1100" w:right="740" w:hanging="270"/>
        <w:spacing w:after="0" w:line="256" w:lineRule="auto"/>
        <w:tabs>
          <w:tab w:leader="none" w:pos="1100" w:val="left"/>
        </w:tabs>
        <w:numPr>
          <w:ilvl w:val="0"/>
          <w:numId w:val="69"/>
        </w:numPr>
        <w:rPr>
          <w:rFonts w:ascii="Arial" w:cs="Arial" w:eastAsia="Arial" w:hAnsi="Arial"/>
          <w:sz w:val="11"/>
          <w:szCs w:val="11"/>
          <w:color w:val="auto"/>
        </w:rPr>
      </w:pPr>
      <w:r>
        <w:rPr>
          <w:rFonts w:ascii="Arial" w:cs="Arial" w:eastAsia="Arial" w:hAnsi="Arial"/>
          <w:sz w:val="11"/>
          <w:szCs w:val="11"/>
          <w:color w:val="auto"/>
        </w:rPr>
        <w:t>the validity or enforceability of the whole or any material part of any Transaction Document or any rights or remedies of the Bank under the Transaction Documents.</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11"/>
          <w:szCs w:val="11"/>
          <w:b w:val="1"/>
          <w:bCs w:val="1"/>
          <w:u w:val="single" w:color="auto"/>
          <w:color w:val="2D96D2"/>
        </w:rPr>
        <w:t xml:space="preserve">Maitland Property </w:t>
      </w:r>
      <w:r>
        <w:rPr>
          <w:rFonts w:ascii="Arial" w:cs="Arial" w:eastAsia="Arial" w:hAnsi="Arial"/>
          <w:sz w:val="11"/>
          <w:szCs w:val="11"/>
          <w:u w:val="single" w:color="auto"/>
          <w:color w:val="2D96D2"/>
        </w:rPr>
        <w:t>means the land and improvements comprising 9/1A Ken Tubman Drive, Maitland, NSW 2320 being the whole of Lot 1 in SP41681.</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Matured </w:t>
      </w:r>
      <w:r>
        <w:rPr>
          <w:rFonts w:ascii="Arial" w:cs="Arial" w:eastAsia="Arial" w:hAnsi="Arial"/>
          <w:sz w:val="11"/>
          <w:szCs w:val="11"/>
          <w:color w:val="auto"/>
        </w:rPr>
        <w:t>means, in relation to a Bank Guarantee, that the Beneficiary has made a claim and is not entitled to claim any more under the relevant Bank Guarantee.</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Merchant Services Agreement </w:t>
      </w:r>
      <w:r>
        <w:rPr>
          <w:rFonts w:ascii="Arial" w:cs="Arial" w:eastAsia="Arial" w:hAnsi="Arial"/>
          <w:sz w:val="11"/>
          <w:szCs w:val="11"/>
          <w:color w:val="auto"/>
        </w:rPr>
        <w:t>means the agreement for merchant services between the Bank and Reading Entertainment Australia Group.</w:t>
      </w:r>
    </w:p>
    <w:p>
      <w:pPr>
        <w:spacing w:after="0" w:line="37" w:lineRule="exact"/>
        <w:rPr>
          <w:sz w:val="20"/>
          <w:szCs w:val="20"/>
          <w:color w:val="auto"/>
        </w:rPr>
      </w:pPr>
    </w:p>
    <w:p>
      <w:pPr>
        <w:ind w:left="840"/>
        <w:spacing w:after="0"/>
        <w:rPr>
          <w:sz w:val="20"/>
          <w:szCs w:val="20"/>
          <w:color w:val="auto"/>
        </w:rPr>
      </w:pPr>
      <w:r>
        <w:rPr>
          <w:rFonts w:ascii="Arial" w:cs="Arial" w:eastAsia="Arial" w:hAnsi="Arial"/>
          <w:sz w:val="11"/>
          <w:szCs w:val="11"/>
          <w:b w:val="1"/>
          <w:bCs w:val="1"/>
          <w:u w:val="single" w:color="auto"/>
          <w:color w:val="2D96D2"/>
        </w:rPr>
        <w:t xml:space="preserve">Minimum Liquidity </w:t>
      </w:r>
      <w:r>
        <w:rPr>
          <w:rFonts w:ascii="Arial" w:cs="Arial" w:eastAsia="Arial" w:hAnsi="Arial"/>
          <w:sz w:val="11"/>
          <w:szCs w:val="11"/>
          <w:u w:val="single" w:color="auto"/>
          <w:color w:val="2D96D2"/>
        </w:rPr>
        <w:t>means all unrestricted Cash of the Borrower, determined on a consolidated basis, as detailed in the Borrow er’s management accounts.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Month </w:t>
      </w:r>
      <w:r>
        <w:rPr>
          <w:rFonts w:ascii="Arial" w:cs="Arial" w:eastAsia="Arial" w:hAnsi="Arial"/>
          <w:sz w:val="11"/>
          <w:szCs w:val="11"/>
          <w:color w:val="auto"/>
        </w:rPr>
        <w:t>means a calendar month.</w:t>
      </w:r>
    </w:p>
    <w:p>
      <w:pPr>
        <w:spacing w:after="0" w:line="52" w:lineRule="exact"/>
        <w:rPr>
          <w:sz w:val="20"/>
          <w:szCs w:val="20"/>
          <w:color w:val="auto"/>
        </w:rPr>
      </w:pPr>
    </w:p>
    <w:p>
      <w:pPr>
        <w:ind w:left="840" w:right="240"/>
        <w:spacing w:after="0" w:line="247" w:lineRule="auto"/>
        <w:rPr>
          <w:sz w:val="20"/>
          <w:szCs w:val="20"/>
          <w:color w:val="auto"/>
        </w:rPr>
      </w:pPr>
      <w:r>
        <w:rPr>
          <w:rFonts w:ascii="Arial" w:cs="Arial" w:eastAsia="Arial" w:hAnsi="Arial"/>
          <w:sz w:val="11"/>
          <w:szCs w:val="11"/>
          <w:b w:val="1"/>
          <w:bCs w:val="1"/>
          <w:color w:val="auto"/>
        </w:rPr>
        <w:t xml:space="preserve">Net Sale Proceeds </w:t>
      </w:r>
      <w:r>
        <w:rPr>
          <w:rFonts w:ascii="Arial" w:cs="Arial" w:eastAsia="Arial" w:hAnsi="Arial"/>
          <w:sz w:val="11"/>
          <w:szCs w:val="11"/>
          <w:color w:val="auto"/>
        </w:rPr>
        <w:t>means in relation to the sale of the</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Maitland Property</w:t>
      </w:r>
      <w:r>
        <w:rPr>
          <w:rFonts w:ascii="Arial" w:cs="Arial" w:eastAsia="Arial" w:hAnsi="Arial"/>
          <w:sz w:val="11"/>
          <w:szCs w:val="11"/>
          <w:b w:val="1"/>
          <w:bCs w:val="1"/>
          <w:color w:val="auto"/>
        </w:rPr>
        <w:t xml:space="preserve"> </w:t>
      </w:r>
      <w:r>
        <w:rPr>
          <w:rFonts w:ascii="Arial" w:cs="Arial" w:eastAsia="Arial" w:hAnsi="Arial"/>
          <w:sz w:val="11"/>
          <w:szCs w:val="11"/>
          <w:color w:val="B5082D"/>
          <w:strike w:val="1"/>
        </w:rPr>
        <w:t>Auburn Property</w:t>
      </w:r>
      <w:r>
        <w:rPr>
          <w:rFonts w:ascii="Arial" w:cs="Arial" w:eastAsia="Arial" w:hAnsi="Arial"/>
          <w:sz w:val="11"/>
          <w:szCs w:val="11"/>
          <w:color w:val="auto"/>
        </w:rPr>
        <w:t>, the gross sale or disposal price set out in the sale contract less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aggregate of estate agent commissions, conveyancing fees, adjustments (for both water and council rates), land tax owners corporation fees and fees associated with the discharge or release of an Encumbrance over the </w:t>
      </w:r>
      <w:r>
        <w:rPr>
          <w:rFonts w:ascii="Arial" w:cs="Arial" w:eastAsia="Arial" w:hAnsi="Arial"/>
          <w:sz w:val="11"/>
          <w:szCs w:val="11"/>
          <w:u w:val="single" w:color="auto"/>
          <w:color w:val="2D96D2"/>
        </w:rPr>
        <w:t>Maitland Property</w:t>
      </w:r>
      <w:r>
        <w:rPr>
          <w:rFonts w:ascii="Arial" w:cs="Arial" w:eastAsia="Arial" w:hAnsi="Arial"/>
          <w:sz w:val="11"/>
          <w:szCs w:val="11"/>
          <w:color w:val="B5082D"/>
          <w:strike w:val="1"/>
        </w:rPr>
        <w:t>Auburn Property</w:t>
      </w:r>
      <w:r>
        <w:rPr>
          <w:rFonts w:ascii="Arial" w:cs="Arial" w:eastAsia="Arial" w:hAnsi="Arial"/>
          <w:sz w:val="11"/>
          <w:szCs w:val="11"/>
          <w:color w:val="auto"/>
        </w:rPr>
        <w:t xml:space="preserve"> and any GST payable in relation to the sale contract.</w:t>
      </w:r>
    </w:p>
    <w:p>
      <w:pPr>
        <w:spacing w:after="0" w:line="38"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Outstanding Accommodation </w:t>
      </w:r>
      <w:r>
        <w:rPr>
          <w:rFonts w:ascii="Arial" w:cs="Arial" w:eastAsia="Arial" w:hAnsi="Arial"/>
          <w:sz w:val="11"/>
          <w:szCs w:val="11"/>
          <w:color w:val="auto"/>
        </w:rPr>
        <w:t>means at any time, the aggregate of:</w:t>
      </w:r>
    </w:p>
    <w:p>
      <w:pPr>
        <w:spacing w:after="0" w:line="58" w:lineRule="exact"/>
        <w:rPr>
          <w:sz w:val="20"/>
          <w:szCs w:val="20"/>
          <w:color w:val="auto"/>
        </w:rPr>
      </w:pPr>
    </w:p>
    <w:p>
      <w:pPr>
        <w:ind w:left="1100" w:hanging="270"/>
        <w:spacing w:after="0"/>
        <w:tabs>
          <w:tab w:leader="none" w:pos="1100" w:val="left"/>
        </w:tabs>
        <w:numPr>
          <w:ilvl w:val="0"/>
          <w:numId w:val="70"/>
        </w:numPr>
        <w:rPr>
          <w:rFonts w:ascii="Arial" w:cs="Arial" w:eastAsia="Arial" w:hAnsi="Arial"/>
          <w:sz w:val="11"/>
          <w:szCs w:val="11"/>
          <w:color w:val="auto"/>
        </w:rPr>
      </w:pPr>
      <w:r>
        <w:rPr>
          <w:rFonts w:ascii="Arial" w:cs="Arial" w:eastAsia="Arial" w:hAnsi="Arial"/>
          <w:sz w:val="11"/>
          <w:szCs w:val="11"/>
          <w:color w:val="auto"/>
        </w:rPr>
        <w:t>the aggregate of the unpaid Advances outstanding under the Corporate Markets Loan Facility;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14</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82" w:name="page83"/>
    <w:bookmarkEnd w:id="82"/>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hanging="270"/>
        <w:spacing w:after="0"/>
        <w:tabs>
          <w:tab w:leader="none" w:pos="1100" w:val="left"/>
        </w:tabs>
        <w:numPr>
          <w:ilvl w:val="0"/>
          <w:numId w:val="71"/>
        </w:numPr>
        <w:rPr>
          <w:rFonts w:ascii="Arial" w:cs="Arial" w:eastAsia="Arial" w:hAnsi="Arial"/>
          <w:sz w:val="11"/>
          <w:szCs w:val="11"/>
          <w:color w:val="auto"/>
        </w:rPr>
      </w:pPr>
      <w:r>
        <w:rPr>
          <w:rFonts w:ascii="Arial" w:cs="Arial" w:eastAsia="Arial" w:hAnsi="Arial"/>
          <w:sz w:val="11"/>
          <w:szCs w:val="11"/>
          <w:color w:val="auto"/>
        </w:rPr>
        <w:t>the Face Values of all Current Bank Guarantees and all Indemnity Amounts in relation to each Bank Guarantee which are due and payable; and</w:t>
      </w:r>
    </w:p>
    <w:p>
      <w:pPr>
        <w:spacing w:after="0" w:line="40" w:lineRule="exact"/>
        <w:rPr>
          <w:rFonts w:ascii="Arial" w:cs="Arial" w:eastAsia="Arial" w:hAnsi="Arial"/>
          <w:sz w:val="11"/>
          <w:szCs w:val="11"/>
          <w:color w:val="auto"/>
        </w:rPr>
      </w:pPr>
    </w:p>
    <w:p>
      <w:pPr>
        <w:ind w:left="1100" w:right="140" w:hanging="270"/>
        <w:spacing w:after="0" w:line="268" w:lineRule="auto"/>
        <w:tabs>
          <w:tab w:leader="none" w:pos="1100" w:val="left"/>
        </w:tabs>
        <w:numPr>
          <w:ilvl w:val="0"/>
          <w:numId w:val="71"/>
        </w:numPr>
        <w:rPr>
          <w:rFonts w:ascii="Arial" w:cs="Arial" w:eastAsia="Arial" w:hAnsi="Arial"/>
          <w:sz w:val="11"/>
          <w:szCs w:val="11"/>
          <w:color w:val="auto"/>
        </w:rPr>
      </w:pPr>
      <w:r>
        <w:rPr>
          <w:rFonts w:ascii="Arial" w:cs="Arial" w:eastAsia="Arial" w:hAnsi="Arial"/>
          <w:sz w:val="11"/>
          <w:szCs w:val="11"/>
          <w:color w:val="auto"/>
        </w:rPr>
        <w:t xml:space="preserve">for the purposes of </w:t>
      </w:r>
      <w:r>
        <w:rPr>
          <w:rFonts w:ascii="Arial" w:cs="Arial" w:eastAsia="Arial" w:hAnsi="Arial"/>
          <w:sz w:val="11"/>
          <w:szCs w:val="11"/>
          <w:b w:val="1"/>
          <w:bCs w:val="1"/>
          <w:color w:val="auto"/>
        </w:rPr>
        <w:t>clauses 5.5</w:t>
      </w:r>
      <w:r>
        <w:rPr>
          <w:rFonts w:ascii="Arial" w:cs="Arial" w:eastAsia="Arial" w:hAnsi="Arial"/>
          <w:sz w:val="11"/>
          <w:szCs w:val="11"/>
          <w:color w:val="auto"/>
        </w:rPr>
        <w:t xml:space="preserve">, </w:t>
      </w:r>
      <w:r>
        <w:rPr>
          <w:rFonts w:ascii="Arial" w:cs="Arial" w:eastAsia="Arial" w:hAnsi="Arial"/>
          <w:sz w:val="11"/>
          <w:szCs w:val="11"/>
          <w:b w:val="1"/>
          <w:bCs w:val="1"/>
          <w:color w:val="auto"/>
        </w:rPr>
        <w:t>10</w:t>
      </w:r>
      <w:r>
        <w:rPr>
          <w:rFonts w:ascii="Arial" w:cs="Arial" w:eastAsia="Arial" w:hAnsi="Arial"/>
          <w:sz w:val="11"/>
          <w:szCs w:val="11"/>
          <w:color w:val="auto"/>
        </w:rPr>
        <w:t xml:space="preserve"> and </w:t>
      </w:r>
      <w:r>
        <w:rPr>
          <w:rFonts w:ascii="Arial" w:cs="Arial" w:eastAsia="Arial" w:hAnsi="Arial"/>
          <w:sz w:val="11"/>
          <w:szCs w:val="11"/>
          <w:b w:val="1"/>
          <w:bCs w:val="1"/>
          <w:color w:val="auto"/>
        </w:rPr>
        <w:t>18.14</w:t>
      </w:r>
      <w:r>
        <w:rPr>
          <w:rFonts w:ascii="Arial" w:cs="Arial" w:eastAsia="Arial" w:hAnsi="Arial"/>
          <w:sz w:val="11"/>
          <w:szCs w:val="11"/>
          <w:color w:val="auto"/>
        </w:rPr>
        <w:t xml:space="preserve"> only and for no other purposes, any other amounts which the Borrower owes to the Bank or which the Borrower may owe to the Bank under or in connection with the Facilities and includes:</w:t>
      </w:r>
    </w:p>
    <w:p>
      <w:pPr>
        <w:spacing w:after="0" w:line="16" w:lineRule="exact"/>
        <w:rPr>
          <w:rFonts w:ascii="Arial" w:cs="Arial" w:eastAsia="Arial" w:hAnsi="Arial"/>
          <w:sz w:val="11"/>
          <w:szCs w:val="11"/>
          <w:color w:val="auto"/>
        </w:rPr>
      </w:pPr>
    </w:p>
    <w:p>
      <w:pPr>
        <w:ind w:left="1380" w:right="900" w:hanging="272"/>
        <w:spacing w:after="0" w:line="256" w:lineRule="auto"/>
        <w:tabs>
          <w:tab w:leader="none" w:pos="1380" w:val="left"/>
        </w:tabs>
        <w:numPr>
          <w:ilvl w:val="1"/>
          <w:numId w:val="71"/>
        </w:numPr>
        <w:rPr>
          <w:rFonts w:ascii="Arial" w:cs="Arial" w:eastAsia="Arial" w:hAnsi="Arial"/>
          <w:sz w:val="11"/>
          <w:szCs w:val="11"/>
          <w:color w:val="auto"/>
        </w:rPr>
      </w:pPr>
      <w:r>
        <w:rPr>
          <w:rFonts w:ascii="Arial" w:cs="Arial" w:eastAsia="Arial" w:hAnsi="Arial"/>
          <w:sz w:val="11"/>
          <w:szCs w:val="11"/>
          <w:color w:val="auto"/>
        </w:rPr>
        <w:t>any other amounts which the Borrower owes to the Bank or which the Borrower may owe to the Bank under or in connection with any Hedging Transaction; and</w:t>
      </w:r>
    </w:p>
    <w:p>
      <w:pPr>
        <w:spacing w:after="0" w:line="22" w:lineRule="exact"/>
        <w:rPr>
          <w:rFonts w:ascii="Arial" w:cs="Arial" w:eastAsia="Arial" w:hAnsi="Arial"/>
          <w:sz w:val="11"/>
          <w:szCs w:val="11"/>
          <w:color w:val="auto"/>
        </w:rPr>
      </w:pPr>
    </w:p>
    <w:p>
      <w:pPr>
        <w:ind w:left="1380" w:hanging="272"/>
        <w:spacing w:after="0"/>
        <w:tabs>
          <w:tab w:leader="none" w:pos="1380" w:val="left"/>
        </w:tabs>
        <w:numPr>
          <w:ilvl w:val="1"/>
          <w:numId w:val="71"/>
        </w:numPr>
        <w:rPr>
          <w:rFonts w:ascii="Arial" w:cs="Arial" w:eastAsia="Arial" w:hAnsi="Arial"/>
          <w:sz w:val="11"/>
          <w:szCs w:val="11"/>
          <w:color w:val="auto"/>
        </w:rPr>
      </w:pPr>
      <w:r>
        <w:rPr>
          <w:rFonts w:ascii="Arial" w:cs="Arial" w:eastAsia="Arial" w:hAnsi="Arial"/>
          <w:sz w:val="11"/>
          <w:szCs w:val="11"/>
          <w:color w:val="auto"/>
        </w:rPr>
        <w:t>all interest, costs and fees payable under the Transaction Documents,</w:t>
      </w:r>
    </w:p>
    <w:p>
      <w:pPr>
        <w:spacing w:after="0" w:line="46" w:lineRule="exact"/>
        <w:rPr>
          <w:sz w:val="20"/>
          <w:szCs w:val="20"/>
          <w:color w:val="auto"/>
        </w:rPr>
      </w:pPr>
    </w:p>
    <w:p>
      <w:pPr>
        <w:ind w:left="1100" w:right="560"/>
        <w:spacing w:after="0" w:line="256" w:lineRule="auto"/>
        <w:rPr>
          <w:sz w:val="20"/>
          <w:szCs w:val="20"/>
          <w:color w:val="auto"/>
        </w:rPr>
      </w:pPr>
      <w:r>
        <w:rPr>
          <w:rFonts w:ascii="Arial" w:cs="Arial" w:eastAsia="Arial" w:hAnsi="Arial"/>
          <w:sz w:val="11"/>
          <w:szCs w:val="11"/>
          <w:color w:val="auto"/>
        </w:rPr>
        <w:t>whether such amounts are owing actually or contingently and whether such amounts are then due for payment or will or may become due for payment and includes all interest, costs and fees payable under the Transaction Documents.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When used in relation to any Facility, it means the Outstanding Accommodation in relation to Advances or Drawings under that Facility (as applicable).</w:t>
      </w:r>
    </w:p>
    <w:p>
      <w:pPr>
        <w:spacing w:after="0" w:line="4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Overdue Money </w:t>
      </w:r>
      <w:r>
        <w:rPr>
          <w:rFonts w:ascii="Arial" w:cs="Arial" w:eastAsia="Arial" w:hAnsi="Arial"/>
          <w:sz w:val="11"/>
          <w:szCs w:val="11"/>
          <w:color w:val="auto"/>
        </w:rPr>
        <w:t>means money due and payable from time to time under each Transaction Document.</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Overdue Rate </w:t>
      </w:r>
      <w:r>
        <w:rPr>
          <w:rFonts w:ascii="Arial" w:cs="Arial" w:eastAsia="Arial" w:hAnsi="Arial"/>
          <w:sz w:val="11"/>
          <w:szCs w:val="11"/>
          <w:color w:val="auto"/>
        </w:rPr>
        <w:t>means at any time, the aggregate of the Interest Rate and a default margin of 1.00% per annum.</w:t>
      </w:r>
    </w:p>
    <w:p>
      <w:pPr>
        <w:spacing w:after="0" w:line="54"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Parent </w:t>
      </w:r>
      <w:r>
        <w:rPr>
          <w:rFonts w:ascii="Arial" w:cs="Arial" w:eastAsia="Arial" w:hAnsi="Arial"/>
          <w:sz w:val="11"/>
          <w:szCs w:val="11"/>
          <w:color w:val="auto"/>
        </w:rPr>
        <w:t>means Reading International Cinemas LLC.</w:t>
      </w:r>
    </w:p>
    <w:p>
      <w:pPr>
        <w:spacing w:after="0" w:line="69" w:lineRule="exact"/>
        <w:rPr>
          <w:sz w:val="20"/>
          <w:szCs w:val="20"/>
          <w:color w:val="auto"/>
        </w:rPr>
      </w:pPr>
    </w:p>
    <w:p>
      <w:pPr>
        <w:ind w:left="840" w:right="240"/>
        <w:spacing w:after="0" w:line="268" w:lineRule="auto"/>
        <w:rPr>
          <w:sz w:val="20"/>
          <w:szCs w:val="20"/>
          <w:color w:val="auto"/>
        </w:rPr>
      </w:pPr>
      <w:r>
        <w:rPr>
          <w:rFonts w:ascii="Arial" w:cs="Arial" w:eastAsia="Arial" w:hAnsi="Arial"/>
          <w:sz w:val="11"/>
          <w:szCs w:val="11"/>
          <w:b w:val="1"/>
          <w:bCs w:val="1"/>
          <w:color w:val="auto"/>
        </w:rPr>
        <w:t xml:space="preserve">Parent Subordination Agreement </w:t>
      </w:r>
      <w:r>
        <w:rPr>
          <w:rFonts w:ascii="Arial" w:cs="Arial" w:eastAsia="Arial" w:hAnsi="Arial"/>
          <w:sz w:val="11"/>
          <w:szCs w:val="11"/>
          <w:color w:val="auto"/>
        </w:rPr>
        <w:t>means the document entitled ‘</w:t>
      </w:r>
      <w:r>
        <w:rPr>
          <w:rFonts w:ascii="Arial" w:cs="Arial" w:eastAsia="Arial" w:hAnsi="Arial"/>
          <w:sz w:val="11"/>
          <w:szCs w:val="11"/>
          <w:color w:val="B5082D"/>
          <w:strike w:val="1"/>
        </w:rPr>
        <w:t>subordination deed</w:t>
      </w:r>
      <w:r>
        <w:rPr>
          <w:rFonts w:ascii="Arial" w:cs="Arial" w:eastAsia="Arial" w:hAnsi="Arial"/>
          <w:sz w:val="11"/>
          <w:szCs w:val="11"/>
          <w:u w:val="single" w:color="auto"/>
          <w:color w:val="2D96D2"/>
        </w:rPr>
        <w:t>deed of subordination</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B5082D"/>
          <w:strike w:val="1"/>
        </w:rPr>
        <w:t>dated on or about the date of this document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to be entered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into</w:t>
      </w:r>
      <w:r>
        <w:rPr>
          <w:rFonts w:ascii="Arial" w:cs="Arial" w:eastAsia="Arial" w:hAnsi="Arial"/>
          <w:sz w:val="11"/>
          <w:szCs w:val="11"/>
          <w:color w:val="2D96D2"/>
        </w:rPr>
        <w:t xml:space="preserve"> </w:t>
      </w:r>
      <w:r>
        <w:rPr>
          <w:rFonts w:ascii="Arial" w:cs="Arial" w:eastAsia="Arial" w:hAnsi="Arial"/>
          <w:sz w:val="11"/>
          <w:szCs w:val="11"/>
          <w:color w:val="B5082D"/>
          <w:strike w:val="1"/>
        </w:rPr>
        <w:t>between</w:t>
      </w:r>
      <w:r>
        <w:rPr>
          <w:rFonts w:ascii="Arial" w:cs="Arial" w:eastAsia="Arial" w:hAnsi="Arial"/>
          <w:sz w:val="11"/>
          <w:szCs w:val="11"/>
          <w:color w:val="2D96D2"/>
        </w:rPr>
        <w:t xml:space="preserve"> </w:t>
      </w:r>
      <w:r>
        <w:rPr>
          <w:rFonts w:ascii="Arial" w:cs="Arial" w:eastAsia="Arial" w:hAnsi="Arial"/>
          <w:sz w:val="11"/>
          <w:szCs w:val="11"/>
          <w:u w:val="single" w:color="auto"/>
          <w:color w:val="2D96D2"/>
        </w:rPr>
        <w:t>by</w:t>
      </w:r>
      <w:r>
        <w:rPr>
          <w:rFonts w:ascii="Arial" w:cs="Arial" w:eastAsia="Arial" w:hAnsi="Arial"/>
          <w:sz w:val="11"/>
          <w:szCs w:val="11"/>
          <w:color w:val="2D96D2"/>
        </w:rPr>
        <w:t xml:space="preserve"> </w:t>
      </w:r>
      <w:r>
        <w:rPr>
          <w:rFonts w:ascii="Arial" w:cs="Arial" w:eastAsia="Arial" w:hAnsi="Arial"/>
          <w:sz w:val="11"/>
          <w:szCs w:val="11"/>
          <w:color w:val="000000"/>
        </w:rPr>
        <w:t>the Borrower,</w:t>
      </w:r>
      <w:r>
        <w:rPr>
          <w:rFonts w:ascii="Arial" w:cs="Arial" w:eastAsia="Arial" w:hAnsi="Arial"/>
          <w:sz w:val="11"/>
          <w:szCs w:val="11"/>
          <w:color w:val="2D96D2"/>
        </w:rPr>
        <w:t xml:space="preserve"> </w:t>
      </w:r>
      <w:r>
        <w:rPr>
          <w:rFonts w:ascii="Arial" w:cs="Arial" w:eastAsia="Arial" w:hAnsi="Arial"/>
          <w:sz w:val="11"/>
          <w:szCs w:val="11"/>
          <w:color w:val="B5082D"/>
          <w:strike w:val="1"/>
        </w:rPr>
        <w:t>Reading International Cinemas LLC</w:t>
      </w:r>
      <w:r>
        <w:rPr>
          <w:rFonts w:ascii="Arial" w:cs="Arial" w:eastAsia="Arial" w:hAnsi="Arial"/>
          <w:sz w:val="11"/>
          <w:szCs w:val="11"/>
          <w:u w:val="single" w:color="auto"/>
          <w:color w:val="2D96D2"/>
        </w:rPr>
        <w:t>the Parent</w:t>
      </w:r>
      <w:r>
        <w:rPr>
          <w:rFonts w:ascii="Arial" w:cs="Arial" w:eastAsia="Arial" w:hAnsi="Arial"/>
          <w:sz w:val="11"/>
          <w:szCs w:val="11"/>
          <w:color w:val="2D96D2"/>
        </w:rPr>
        <w:t xml:space="preserve"> </w:t>
      </w:r>
      <w:r>
        <w:rPr>
          <w:rFonts w:ascii="Arial" w:cs="Arial" w:eastAsia="Arial" w:hAnsi="Arial"/>
          <w:sz w:val="11"/>
          <w:szCs w:val="11"/>
          <w:color w:val="000000"/>
        </w:rPr>
        <w:t>and the Bank.</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Permitted Disposal </w:t>
      </w:r>
      <w:r>
        <w:rPr>
          <w:rFonts w:ascii="Arial" w:cs="Arial" w:eastAsia="Arial" w:hAnsi="Arial"/>
          <w:sz w:val="11"/>
          <w:szCs w:val="11"/>
          <w:color w:val="auto"/>
        </w:rPr>
        <w:t>means a disposal:</w:t>
      </w:r>
    </w:p>
    <w:p>
      <w:pPr>
        <w:spacing w:after="0" w:line="66" w:lineRule="exact"/>
        <w:rPr>
          <w:sz w:val="20"/>
          <w:szCs w:val="20"/>
          <w:color w:val="auto"/>
        </w:rPr>
      </w:pPr>
    </w:p>
    <w:p>
      <w:pPr>
        <w:ind w:left="1100" w:hanging="270"/>
        <w:spacing w:after="0"/>
        <w:tabs>
          <w:tab w:leader="none" w:pos="1100" w:val="left"/>
        </w:tabs>
        <w:numPr>
          <w:ilvl w:val="0"/>
          <w:numId w:val="72"/>
        </w:numPr>
        <w:rPr>
          <w:rFonts w:ascii="Arial" w:cs="Arial" w:eastAsia="Arial" w:hAnsi="Arial"/>
          <w:sz w:val="11"/>
          <w:szCs w:val="11"/>
          <w:color w:val="auto"/>
        </w:rPr>
      </w:pPr>
      <w:r>
        <w:rPr>
          <w:rFonts w:ascii="Arial" w:cs="Arial" w:eastAsia="Arial" w:hAnsi="Arial"/>
          <w:sz w:val="11"/>
          <w:szCs w:val="11"/>
          <w:color w:val="auto"/>
        </w:rPr>
        <w:t>of assets between the Transaction Parties;</w:t>
      </w:r>
    </w:p>
    <w:p>
      <w:pPr>
        <w:spacing w:after="0" w:line="68" w:lineRule="exact"/>
        <w:rPr>
          <w:rFonts w:ascii="Arial" w:cs="Arial" w:eastAsia="Arial" w:hAnsi="Arial"/>
          <w:sz w:val="11"/>
          <w:szCs w:val="11"/>
          <w:color w:val="auto"/>
        </w:rPr>
      </w:pPr>
    </w:p>
    <w:p>
      <w:pPr>
        <w:ind w:left="1100" w:right="520" w:hanging="270"/>
        <w:spacing w:after="0" w:line="256" w:lineRule="auto"/>
        <w:tabs>
          <w:tab w:leader="none" w:pos="1100" w:val="left"/>
        </w:tabs>
        <w:numPr>
          <w:ilvl w:val="0"/>
          <w:numId w:val="72"/>
        </w:numPr>
        <w:rPr>
          <w:rFonts w:ascii="Arial" w:cs="Arial" w:eastAsia="Arial" w:hAnsi="Arial"/>
          <w:sz w:val="11"/>
          <w:szCs w:val="11"/>
          <w:color w:val="auto"/>
        </w:rPr>
      </w:pPr>
      <w:r>
        <w:rPr>
          <w:rFonts w:ascii="Arial" w:cs="Arial" w:eastAsia="Arial" w:hAnsi="Arial"/>
          <w:sz w:val="11"/>
          <w:szCs w:val="11"/>
          <w:color w:val="auto"/>
        </w:rPr>
        <w:t>represented by a lease or licence of real property granted by a Transaction Party in the ordinary course of business of the Reading Entertainment Australia Group;</w:t>
      </w:r>
    </w:p>
    <w:p>
      <w:pPr>
        <w:spacing w:after="0" w:line="30" w:lineRule="exact"/>
        <w:rPr>
          <w:rFonts w:ascii="Arial" w:cs="Arial" w:eastAsia="Arial" w:hAnsi="Arial"/>
          <w:sz w:val="11"/>
          <w:szCs w:val="11"/>
          <w:color w:val="auto"/>
        </w:rPr>
      </w:pPr>
    </w:p>
    <w:p>
      <w:pPr>
        <w:ind w:left="1100" w:hanging="270"/>
        <w:spacing w:after="0"/>
        <w:tabs>
          <w:tab w:leader="none" w:pos="1100" w:val="left"/>
        </w:tabs>
        <w:numPr>
          <w:ilvl w:val="0"/>
          <w:numId w:val="72"/>
        </w:numPr>
        <w:rPr>
          <w:rFonts w:ascii="Arial" w:cs="Arial" w:eastAsia="Arial" w:hAnsi="Arial"/>
          <w:sz w:val="11"/>
          <w:szCs w:val="11"/>
          <w:color w:val="auto"/>
        </w:rPr>
      </w:pPr>
      <w:r>
        <w:rPr>
          <w:rFonts w:ascii="Arial" w:cs="Arial" w:eastAsia="Arial" w:hAnsi="Arial"/>
          <w:sz w:val="11"/>
          <w:szCs w:val="11"/>
          <w:color w:val="auto"/>
        </w:rPr>
        <w:t>of trading stock or cash made in the ordinary course of business;</w:t>
      </w:r>
    </w:p>
    <w:p>
      <w:pPr>
        <w:spacing w:after="0" w:line="68" w:lineRule="exact"/>
        <w:rPr>
          <w:rFonts w:ascii="Arial" w:cs="Arial" w:eastAsia="Arial" w:hAnsi="Arial"/>
          <w:sz w:val="11"/>
          <w:szCs w:val="11"/>
          <w:color w:val="auto"/>
        </w:rPr>
      </w:pPr>
    </w:p>
    <w:p>
      <w:pPr>
        <w:ind w:left="1100" w:hanging="270"/>
        <w:spacing w:after="0"/>
        <w:tabs>
          <w:tab w:leader="none" w:pos="1100" w:val="left"/>
        </w:tabs>
        <w:numPr>
          <w:ilvl w:val="0"/>
          <w:numId w:val="72"/>
        </w:numPr>
        <w:rPr>
          <w:rFonts w:ascii="Arial" w:cs="Arial" w:eastAsia="Arial" w:hAnsi="Arial"/>
          <w:sz w:val="11"/>
          <w:szCs w:val="11"/>
          <w:color w:val="auto"/>
        </w:rPr>
      </w:pPr>
      <w:r>
        <w:rPr>
          <w:rFonts w:ascii="Arial" w:cs="Arial" w:eastAsia="Arial" w:hAnsi="Arial"/>
          <w:sz w:val="11"/>
          <w:szCs w:val="11"/>
          <w:color w:val="auto"/>
        </w:rPr>
        <w:t>of plant and equipment in exchange for other assets comparable or superior as to type, value and quality;</w:t>
      </w:r>
    </w:p>
    <w:p>
      <w:pPr>
        <w:spacing w:after="0" w:line="61" w:lineRule="exact"/>
        <w:rPr>
          <w:rFonts w:ascii="Arial" w:cs="Arial" w:eastAsia="Arial" w:hAnsi="Arial"/>
          <w:sz w:val="11"/>
          <w:szCs w:val="11"/>
          <w:color w:val="auto"/>
        </w:rPr>
      </w:pPr>
    </w:p>
    <w:p>
      <w:pPr>
        <w:ind w:left="1100" w:hanging="270"/>
        <w:spacing w:after="0"/>
        <w:tabs>
          <w:tab w:leader="none" w:pos="1100" w:val="left"/>
        </w:tabs>
        <w:numPr>
          <w:ilvl w:val="0"/>
          <w:numId w:val="72"/>
        </w:numPr>
        <w:rPr>
          <w:rFonts w:ascii="Arial" w:cs="Arial" w:eastAsia="Arial" w:hAnsi="Arial"/>
          <w:sz w:val="11"/>
          <w:szCs w:val="11"/>
          <w:color w:val="auto"/>
        </w:rPr>
      </w:pPr>
      <w:r>
        <w:rPr>
          <w:rFonts w:ascii="Arial" w:cs="Arial" w:eastAsia="Arial" w:hAnsi="Arial"/>
          <w:sz w:val="11"/>
          <w:szCs w:val="11"/>
          <w:color w:val="auto"/>
        </w:rPr>
        <w:t>of obsolete or redundant assets;</w:t>
      </w:r>
    </w:p>
    <w:p>
      <w:pPr>
        <w:spacing w:after="0" w:line="63" w:lineRule="exact"/>
        <w:rPr>
          <w:rFonts w:ascii="Arial" w:cs="Arial" w:eastAsia="Arial" w:hAnsi="Arial"/>
          <w:sz w:val="11"/>
          <w:szCs w:val="11"/>
          <w:color w:val="auto"/>
        </w:rPr>
      </w:pPr>
    </w:p>
    <w:p>
      <w:pPr>
        <w:ind w:left="1100" w:hanging="270"/>
        <w:spacing w:after="0"/>
        <w:tabs>
          <w:tab w:leader="none" w:pos="1100" w:val="left"/>
        </w:tabs>
        <w:numPr>
          <w:ilvl w:val="0"/>
          <w:numId w:val="72"/>
        </w:numPr>
        <w:rPr>
          <w:rFonts w:ascii="Arial" w:cs="Arial" w:eastAsia="Arial" w:hAnsi="Arial"/>
          <w:sz w:val="11"/>
          <w:szCs w:val="11"/>
          <w:color w:val="auto"/>
        </w:rPr>
      </w:pPr>
      <w:r>
        <w:rPr>
          <w:rFonts w:ascii="Arial" w:cs="Arial" w:eastAsia="Arial" w:hAnsi="Arial"/>
          <w:sz w:val="11"/>
          <w:szCs w:val="11"/>
          <w:color w:val="auto"/>
        </w:rPr>
        <w:t xml:space="preserve">arising as a result of a Permitted Encumbrance or a Distribution or payment permitted by </w:t>
      </w:r>
      <w:r>
        <w:rPr>
          <w:rFonts w:ascii="Arial" w:cs="Arial" w:eastAsia="Arial" w:hAnsi="Arial"/>
          <w:sz w:val="11"/>
          <w:szCs w:val="11"/>
          <w:b w:val="1"/>
          <w:bCs w:val="1"/>
          <w:color w:val="auto"/>
        </w:rPr>
        <w:t>clause 9.6(f)</w:t>
      </w:r>
      <w:r>
        <w:rPr>
          <w:rFonts w:ascii="Arial" w:cs="Arial" w:eastAsia="Arial" w:hAnsi="Arial"/>
          <w:sz w:val="11"/>
          <w:szCs w:val="11"/>
          <w:color w:val="auto"/>
        </w:rPr>
        <w:t xml:space="preserve"> or </w:t>
      </w:r>
      <w:r>
        <w:rPr>
          <w:rFonts w:ascii="Arial" w:cs="Arial" w:eastAsia="Arial" w:hAnsi="Arial"/>
          <w:sz w:val="11"/>
          <w:szCs w:val="11"/>
          <w:b w:val="1"/>
          <w:bCs w:val="1"/>
          <w:color w:val="auto"/>
        </w:rPr>
        <w:t>clause 9.6(k)</w:t>
      </w:r>
      <w:r>
        <w:rPr>
          <w:rFonts w:ascii="Arial" w:cs="Arial" w:eastAsia="Arial" w:hAnsi="Arial"/>
          <w:sz w:val="11"/>
          <w:szCs w:val="11"/>
          <w:color w:val="auto"/>
        </w:rPr>
        <w:t>;</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15</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83" w:name="page84"/>
    <w:bookmarkEnd w:id="83"/>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hanging="270"/>
        <w:spacing w:after="0"/>
        <w:tabs>
          <w:tab w:leader="none" w:pos="1100" w:val="left"/>
        </w:tabs>
        <w:numPr>
          <w:ilvl w:val="0"/>
          <w:numId w:val="73"/>
        </w:numPr>
        <w:rPr>
          <w:rFonts w:ascii="Arial" w:cs="Arial" w:eastAsia="Arial" w:hAnsi="Arial"/>
          <w:sz w:val="11"/>
          <w:szCs w:val="11"/>
          <w:color w:val="auto"/>
        </w:rPr>
      </w:pPr>
      <w:r>
        <w:rPr>
          <w:rFonts w:ascii="Arial" w:cs="Arial" w:eastAsia="Arial" w:hAnsi="Arial"/>
          <w:sz w:val="11"/>
          <w:szCs w:val="11"/>
          <w:color w:val="auto"/>
        </w:rPr>
        <w:t>of assets that are the subject of a floating charge (or its equivalent) under a Collateral Security, provided the disposal is made in the ordinary course of business;</w:t>
      </w:r>
    </w:p>
    <w:p>
      <w:pPr>
        <w:spacing w:after="0" w:line="46" w:lineRule="exact"/>
        <w:rPr>
          <w:rFonts w:ascii="Arial" w:cs="Arial" w:eastAsia="Arial" w:hAnsi="Arial"/>
          <w:sz w:val="11"/>
          <w:szCs w:val="11"/>
          <w:color w:val="auto"/>
        </w:rPr>
      </w:pPr>
    </w:p>
    <w:p>
      <w:pPr>
        <w:ind w:left="1100" w:right="780" w:hanging="270"/>
        <w:spacing w:after="0" w:line="256" w:lineRule="auto"/>
        <w:tabs>
          <w:tab w:leader="none" w:pos="1100" w:val="left"/>
        </w:tabs>
        <w:numPr>
          <w:ilvl w:val="0"/>
          <w:numId w:val="73"/>
        </w:numPr>
        <w:rPr>
          <w:rFonts w:ascii="Arial" w:cs="Arial" w:eastAsia="Arial" w:hAnsi="Arial"/>
          <w:sz w:val="11"/>
          <w:szCs w:val="11"/>
          <w:color w:val="auto"/>
        </w:rPr>
      </w:pPr>
      <w:r>
        <w:rPr>
          <w:rFonts w:ascii="Arial" w:cs="Arial" w:eastAsia="Arial" w:hAnsi="Arial"/>
          <w:sz w:val="11"/>
          <w:szCs w:val="11"/>
          <w:color w:val="auto"/>
        </w:rPr>
        <w:t>where the aggregate value of the assets disposed of in the 12 month period ending on the date of the relevant disposal (and including the value of the relevant disposal) does not exceed $2,000,000;</w:t>
      </w:r>
    </w:p>
    <w:p>
      <w:pPr>
        <w:spacing w:after="0" w:line="37" w:lineRule="exact"/>
        <w:rPr>
          <w:rFonts w:ascii="Arial" w:cs="Arial" w:eastAsia="Arial" w:hAnsi="Arial"/>
          <w:sz w:val="11"/>
          <w:szCs w:val="11"/>
          <w:color w:val="auto"/>
        </w:rPr>
      </w:pPr>
    </w:p>
    <w:p>
      <w:pPr>
        <w:ind w:left="1100" w:hanging="270"/>
        <w:spacing w:after="0"/>
        <w:tabs>
          <w:tab w:leader="none" w:pos="1100" w:val="left"/>
        </w:tabs>
        <w:numPr>
          <w:ilvl w:val="0"/>
          <w:numId w:val="73"/>
        </w:numPr>
        <w:rPr>
          <w:rFonts w:ascii="Arial" w:cs="Arial" w:eastAsia="Arial" w:hAnsi="Arial"/>
          <w:sz w:val="11"/>
          <w:szCs w:val="11"/>
          <w:color w:val="auto"/>
        </w:rPr>
      </w:pPr>
      <w:r>
        <w:rPr>
          <w:rFonts w:ascii="Arial" w:cs="Arial" w:eastAsia="Arial" w:hAnsi="Arial"/>
          <w:sz w:val="11"/>
          <w:szCs w:val="11"/>
          <w:color w:val="auto"/>
        </w:rPr>
        <w:t xml:space="preserve">of the </w:t>
      </w:r>
      <w:r>
        <w:rPr>
          <w:rFonts w:ascii="Arial" w:cs="Arial" w:eastAsia="Arial" w:hAnsi="Arial"/>
          <w:sz w:val="11"/>
          <w:szCs w:val="11"/>
          <w:u w:val="single" w:color="auto"/>
          <w:color w:val="2D96D2"/>
        </w:rPr>
        <w:t>Maitland</w:t>
      </w:r>
      <w:r>
        <w:rPr>
          <w:rFonts w:ascii="Arial" w:cs="Arial" w:eastAsia="Arial" w:hAnsi="Arial"/>
          <w:sz w:val="11"/>
          <w:szCs w:val="11"/>
          <w:color w:val="B5082D"/>
          <w:strike w:val="1"/>
        </w:rPr>
        <w:t>Auburn</w:t>
      </w:r>
      <w:r>
        <w:rPr>
          <w:rFonts w:ascii="Arial" w:cs="Arial" w:eastAsia="Arial" w:hAnsi="Arial"/>
          <w:sz w:val="11"/>
          <w:szCs w:val="11"/>
          <w:color w:val="auto"/>
        </w:rPr>
        <w:t xml:space="preserve"> Property;</w:t>
      </w:r>
    </w:p>
    <w:p>
      <w:pPr>
        <w:spacing w:after="0" w:line="76" w:lineRule="exact"/>
        <w:rPr>
          <w:rFonts w:ascii="Arial" w:cs="Arial" w:eastAsia="Arial" w:hAnsi="Arial"/>
          <w:sz w:val="11"/>
          <w:szCs w:val="11"/>
          <w:color w:val="auto"/>
        </w:rPr>
      </w:pPr>
    </w:p>
    <w:p>
      <w:pPr>
        <w:ind w:left="1100" w:hanging="270"/>
        <w:spacing w:after="0"/>
        <w:tabs>
          <w:tab w:leader="none" w:pos="1100" w:val="left"/>
        </w:tabs>
        <w:numPr>
          <w:ilvl w:val="0"/>
          <w:numId w:val="73"/>
        </w:numPr>
        <w:rPr>
          <w:rFonts w:ascii="Arial" w:cs="Arial" w:eastAsia="Arial" w:hAnsi="Arial"/>
          <w:sz w:val="11"/>
          <w:szCs w:val="11"/>
          <w:color w:val="auto"/>
        </w:rPr>
      </w:pPr>
      <w:r>
        <w:rPr>
          <w:rFonts w:ascii="Arial" w:cs="Arial" w:eastAsia="Arial" w:hAnsi="Arial"/>
          <w:sz w:val="11"/>
          <w:szCs w:val="11"/>
          <w:color w:val="auto"/>
        </w:rPr>
        <w:t>of cash under any Permitted Distribution; and</w:t>
      </w:r>
    </w:p>
    <w:p>
      <w:pPr>
        <w:spacing w:after="0" w:line="108" w:lineRule="exact"/>
        <w:rPr>
          <w:rFonts w:ascii="Arial" w:cs="Arial" w:eastAsia="Arial" w:hAnsi="Arial"/>
          <w:sz w:val="11"/>
          <w:szCs w:val="11"/>
          <w:color w:val="auto"/>
        </w:rPr>
      </w:pPr>
    </w:p>
    <w:p>
      <w:pPr>
        <w:ind w:left="1400" w:hanging="570"/>
        <w:spacing w:after="0"/>
        <w:tabs>
          <w:tab w:leader="none" w:pos="1400" w:val="left"/>
        </w:tabs>
        <w:numPr>
          <w:ilvl w:val="0"/>
          <w:numId w:val="73"/>
        </w:numPr>
        <w:rPr>
          <w:rFonts w:ascii="Arial" w:cs="Arial" w:eastAsia="Arial" w:hAnsi="Arial"/>
          <w:sz w:val="11"/>
          <w:szCs w:val="11"/>
          <w:color w:val="auto"/>
        </w:rPr>
      </w:pPr>
      <w:r>
        <w:rPr>
          <w:rFonts w:ascii="Arial" w:cs="Arial" w:eastAsia="Arial" w:hAnsi="Arial"/>
          <w:sz w:val="11"/>
          <w:szCs w:val="11"/>
          <w:color w:val="auto"/>
        </w:rPr>
        <w:t xml:space="preserve">of cash being payments of any expenses pursuant to </w:t>
      </w:r>
      <w:r>
        <w:rPr>
          <w:rFonts w:ascii="Arial" w:cs="Arial" w:eastAsia="Arial" w:hAnsi="Arial"/>
          <w:sz w:val="11"/>
          <w:szCs w:val="11"/>
          <w:b w:val="1"/>
          <w:bCs w:val="1"/>
          <w:color w:val="auto"/>
        </w:rPr>
        <w:t>clause 9.13(b)</w:t>
      </w:r>
      <w:r>
        <w:rPr>
          <w:rFonts w:ascii="Arial" w:cs="Arial" w:eastAsia="Arial" w:hAnsi="Arial"/>
          <w:sz w:val="11"/>
          <w:szCs w:val="11"/>
          <w:color w:val="auto"/>
        </w:rPr>
        <w:t xml:space="preserve">. </w:t>
      </w:r>
      <w:r>
        <w:rPr>
          <w:rFonts w:ascii="Arial" w:cs="Arial" w:eastAsia="Arial" w:hAnsi="Arial"/>
          <w:sz w:val="11"/>
          <w:szCs w:val="11"/>
          <w:b w:val="1"/>
          <w:bCs w:val="1"/>
          <w:color w:val="auto"/>
        </w:rPr>
        <w:t>Permitted Distribution</w:t>
      </w:r>
      <w:r>
        <w:rPr>
          <w:rFonts w:ascii="Arial" w:cs="Arial" w:eastAsia="Arial" w:hAnsi="Arial"/>
          <w:sz w:val="11"/>
          <w:szCs w:val="11"/>
          <w:color w:val="auto"/>
        </w:rPr>
        <w:t xml:space="preserve"> means a Distribution:</w:t>
      </w:r>
    </w:p>
    <w:p>
      <w:pPr>
        <w:spacing w:after="0" w:line="21" w:lineRule="exact"/>
        <w:rPr>
          <w:sz w:val="20"/>
          <w:szCs w:val="20"/>
          <w:color w:val="auto"/>
        </w:rPr>
      </w:pPr>
    </w:p>
    <w:p>
      <w:pPr>
        <w:ind w:left="1100" w:right="2080" w:hanging="270"/>
        <w:spacing w:after="0" w:line="256" w:lineRule="auto"/>
        <w:tabs>
          <w:tab w:leader="none" w:pos="1100" w:val="left"/>
        </w:tabs>
        <w:numPr>
          <w:ilvl w:val="0"/>
          <w:numId w:val="74"/>
        </w:numPr>
        <w:rPr>
          <w:rFonts w:ascii="Arial" w:cs="Arial" w:eastAsia="Arial" w:hAnsi="Arial"/>
          <w:sz w:val="11"/>
          <w:szCs w:val="11"/>
          <w:u w:val="single" w:color="auto"/>
          <w:color w:val="auto"/>
        </w:rPr>
      </w:pPr>
      <w:r>
        <w:rPr>
          <w:rFonts w:ascii="Arial" w:cs="Arial" w:eastAsia="Arial" w:hAnsi="Arial"/>
          <w:sz w:val="11"/>
          <w:szCs w:val="11"/>
          <w:color w:val="auto"/>
        </w:rPr>
        <w:t xml:space="preserve">made </w:t>
      </w:r>
      <w:r>
        <w:rPr>
          <w:rFonts w:ascii="Arial" w:cs="Arial" w:eastAsia="Arial" w:hAnsi="Arial"/>
          <w:sz w:val="11"/>
          <w:szCs w:val="11"/>
          <w:u w:val="single" w:color="auto"/>
          <w:color w:val="2D96D2"/>
        </w:rPr>
        <w:t>by a Transaction Party only in form of dividend provided that no Event of Default, Potential Event of Default or Review</w:t>
      </w:r>
      <w:r>
        <w:rPr>
          <w:rFonts w:ascii="Arial" w:cs="Arial" w:eastAsia="Arial" w:hAnsi="Arial"/>
          <w:sz w:val="11"/>
          <w:szCs w:val="11"/>
          <w:color w:val="auto"/>
        </w:rPr>
        <w:t xml:space="preserve"> </w:t>
      </w:r>
      <w:r>
        <w:rPr>
          <w:rFonts w:ascii="Arial" w:cs="Arial" w:eastAsia="Arial" w:hAnsi="Arial"/>
          <w:sz w:val="11"/>
          <w:szCs w:val="11"/>
          <w:u w:val="single" w:color="auto"/>
          <w:color w:val="2D96D2"/>
        </w:rPr>
        <w:t>Event subsists or will occur from making such Distribution; or</w:t>
      </w:r>
    </w:p>
    <w:p>
      <w:pPr>
        <w:spacing w:after="0" w:line="30" w:lineRule="exact"/>
        <w:rPr>
          <w:rFonts w:ascii="Arial" w:cs="Arial" w:eastAsia="Arial" w:hAnsi="Arial"/>
          <w:sz w:val="11"/>
          <w:szCs w:val="11"/>
          <w:u w:val="single" w:color="auto"/>
          <w:color w:val="auto"/>
        </w:rPr>
      </w:pPr>
    </w:p>
    <w:p>
      <w:pPr>
        <w:ind w:left="1080" w:hanging="250"/>
        <w:spacing w:after="0"/>
        <w:tabs>
          <w:tab w:leader="none" w:pos="1080" w:val="left"/>
        </w:tabs>
        <w:numPr>
          <w:ilvl w:val="0"/>
          <w:numId w:val="74"/>
        </w:numPr>
        <w:rPr>
          <w:rFonts w:ascii="Arial" w:cs="Arial" w:eastAsia="Arial" w:hAnsi="Arial"/>
          <w:sz w:val="11"/>
          <w:szCs w:val="11"/>
          <w:u w:val="single" w:color="auto"/>
          <w:color w:val="auto"/>
        </w:rPr>
      </w:pPr>
      <w:r>
        <w:rPr>
          <w:rFonts w:ascii="Arial" w:cs="Arial" w:eastAsia="Arial" w:hAnsi="Arial"/>
          <w:sz w:val="11"/>
          <w:szCs w:val="11"/>
          <w:u w:val="single" w:color="auto"/>
          <w:color w:val="2D96D2"/>
        </w:rPr>
        <w:t>The Net Sale Proceeds; or</w:t>
      </w:r>
    </w:p>
    <w:p>
      <w:pPr>
        <w:spacing w:after="0" w:line="76" w:lineRule="exact"/>
        <w:rPr>
          <w:sz w:val="20"/>
          <w:szCs w:val="20"/>
          <w:color w:val="auto"/>
        </w:rPr>
      </w:pPr>
    </w:p>
    <w:p>
      <w:pPr>
        <w:ind w:left="1380"/>
        <w:spacing w:after="0"/>
        <w:rPr>
          <w:sz w:val="20"/>
          <w:szCs w:val="20"/>
          <w:color w:val="auto"/>
        </w:rPr>
      </w:pPr>
      <w:r>
        <w:rPr>
          <w:rFonts w:ascii="Arial" w:cs="Arial" w:eastAsia="Arial" w:hAnsi="Arial"/>
          <w:sz w:val="11"/>
          <w:szCs w:val="11"/>
          <w:color w:val="auto"/>
          <w:strike w:val="1"/>
        </w:rPr>
        <w:t>(A)</w:t>
      </w:r>
      <w:r>
        <w:rPr>
          <w:rFonts w:ascii="Arial" w:cs="Arial" w:eastAsia="Arial" w:hAnsi="Arial"/>
          <w:sz w:val="11"/>
          <w:szCs w:val="11"/>
          <w:color w:val="B5082D"/>
          <w:strike w:val="1"/>
        </w:rPr>
        <w:t>at any time on or prior to the Relevant Date:</w:t>
      </w:r>
    </w:p>
    <w:p>
      <w:pPr>
        <w:spacing w:after="0" w:line="69" w:lineRule="exact"/>
        <w:rPr>
          <w:sz w:val="20"/>
          <w:szCs w:val="20"/>
          <w:color w:val="auto"/>
        </w:rPr>
      </w:pPr>
    </w:p>
    <w:p>
      <w:pPr>
        <w:ind w:left="1380" w:right="260" w:hanging="272"/>
        <w:spacing w:after="0" w:line="256" w:lineRule="auto"/>
        <w:tabs>
          <w:tab w:leader="none" w:pos="1380" w:val="left"/>
        </w:tabs>
        <w:numPr>
          <w:ilvl w:val="0"/>
          <w:numId w:val="75"/>
        </w:numPr>
        <w:rPr>
          <w:rFonts w:ascii="Arial" w:cs="Arial" w:eastAsia="Arial" w:hAnsi="Arial"/>
          <w:sz w:val="11"/>
          <w:szCs w:val="11"/>
          <w:color w:val="auto"/>
          <w:strike w:val="1"/>
        </w:rPr>
      </w:pPr>
      <w:r>
        <w:rPr>
          <w:rFonts w:ascii="Arial" w:cs="Arial" w:eastAsia="Arial" w:hAnsi="Arial"/>
          <w:sz w:val="11"/>
          <w:szCs w:val="11"/>
          <w:color w:val="B5082D"/>
          <w:strike w:val="1"/>
        </w:rPr>
        <w:t>for an amount up to $15,000,000 of the Net Sale Proceeds provided that the Quarterly Financial Statements for the Quarter ending 30 June 2021 reveals a variance of 10% or less to the forecasts provided to the Bank on 19 February 2021;</w:t>
      </w:r>
    </w:p>
    <w:p>
      <w:pPr>
        <w:spacing w:after="0" w:line="22" w:lineRule="exact"/>
        <w:rPr>
          <w:rFonts w:ascii="Arial" w:cs="Arial" w:eastAsia="Arial" w:hAnsi="Arial"/>
          <w:sz w:val="11"/>
          <w:szCs w:val="11"/>
          <w:color w:val="auto"/>
          <w:strike w:val="1"/>
        </w:rPr>
      </w:pPr>
    </w:p>
    <w:p>
      <w:pPr>
        <w:ind w:left="1380" w:hanging="272"/>
        <w:spacing w:after="0"/>
        <w:tabs>
          <w:tab w:leader="none" w:pos="1380" w:val="left"/>
        </w:tabs>
        <w:numPr>
          <w:ilvl w:val="0"/>
          <w:numId w:val="75"/>
        </w:numPr>
        <w:rPr>
          <w:rFonts w:ascii="Arial" w:cs="Arial" w:eastAsia="Arial" w:hAnsi="Arial"/>
          <w:sz w:val="11"/>
          <w:szCs w:val="11"/>
          <w:color w:val="auto"/>
          <w:strike w:val="1"/>
        </w:rPr>
      </w:pPr>
      <w:r>
        <w:rPr>
          <w:rFonts w:ascii="Arial" w:cs="Arial" w:eastAsia="Arial" w:hAnsi="Arial"/>
          <w:sz w:val="11"/>
          <w:szCs w:val="11"/>
          <w:color w:val="B5082D"/>
          <w:strike w:val="1"/>
        </w:rPr>
        <w:t>for an amount up to 66.67% of the Remaining Proceeds provided such Distribution is made by way of dividend to the Parent;</w:t>
      </w:r>
    </w:p>
    <w:p>
      <w:pPr>
        <w:spacing w:after="0" w:line="46" w:lineRule="exact"/>
        <w:rPr>
          <w:sz w:val="20"/>
          <w:szCs w:val="20"/>
          <w:color w:val="auto"/>
        </w:rPr>
      </w:pPr>
    </w:p>
    <w:p>
      <w:pPr>
        <w:ind w:left="1100" w:right="160"/>
        <w:spacing w:after="0" w:line="256" w:lineRule="auto"/>
        <w:rPr>
          <w:sz w:val="20"/>
          <w:szCs w:val="20"/>
          <w:color w:val="auto"/>
        </w:rPr>
      </w:pPr>
      <w:r>
        <w:rPr>
          <w:rFonts w:ascii="Arial" w:cs="Arial" w:eastAsia="Arial" w:hAnsi="Arial"/>
          <w:sz w:val="11"/>
          <w:szCs w:val="11"/>
          <w:color w:val="B5082D"/>
          <w:strike w:val="1"/>
        </w:rPr>
        <w:t>and at each time of making such distributions or payments, no Event of Default, Potential Event of Default or Review Event subsists or would be caused by making such distributions or payments;</w:t>
      </w:r>
    </w:p>
    <w:p>
      <w:pPr>
        <w:spacing w:after="0" w:line="23" w:lineRule="exact"/>
        <w:rPr>
          <w:sz w:val="20"/>
          <w:szCs w:val="20"/>
          <w:color w:val="auto"/>
        </w:rPr>
      </w:pPr>
    </w:p>
    <w:p>
      <w:pPr>
        <w:ind w:left="1280" w:hanging="450"/>
        <w:spacing w:after="0"/>
        <w:tabs>
          <w:tab w:leader="none" w:pos="1280" w:val="left"/>
        </w:tabs>
        <w:numPr>
          <w:ilvl w:val="0"/>
          <w:numId w:val="76"/>
        </w:numPr>
        <w:rPr>
          <w:rFonts w:ascii="Arial" w:cs="Arial" w:eastAsia="Arial" w:hAnsi="Arial"/>
          <w:sz w:val="11"/>
          <w:szCs w:val="11"/>
          <w:color w:val="B5082D"/>
          <w:strike w:val="1"/>
        </w:rPr>
      </w:pPr>
      <w:r>
        <w:rPr>
          <w:rFonts w:ascii="Arial" w:cs="Arial" w:eastAsia="Arial" w:hAnsi="Arial"/>
          <w:sz w:val="11"/>
          <w:szCs w:val="11"/>
          <w:color w:val="B5082D"/>
          <w:strike w:val="1"/>
        </w:rPr>
        <w:t>made at any time after the Relevant Date, provided that at each time of making such distributions or payments, no</w:t>
      </w:r>
    </w:p>
    <w:p>
      <w:pPr>
        <w:spacing w:after="0" w:line="2" w:lineRule="exact"/>
        <w:rPr>
          <w:sz w:val="20"/>
          <w:szCs w:val="20"/>
          <w:color w:val="auto"/>
        </w:rPr>
      </w:pPr>
    </w:p>
    <w:p>
      <w:pPr>
        <w:ind w:left="1100" w:right="260"/>
        <w:spacing w:after="0" w:line="227" w:lineRule="auto"/>
        <w:rPr>
          <w:sz w:val="20"/>
          <w:szCs w:val="20"/>
          <w:color w:val="auto"/>
        </w:rPr>
      </w:pPr>
      <w:r>
        <w:rPr>
          <w:rFonts w:ascii="Arial" w:cs="Arial" w:eastAsia="Arial" w:hAnsi="Arial"/>
          <w:sz w:val="11"/>
          <w:szCs w:val="11"/>
          <w:color w:val="B5082D"/>
          <w:strike w:val="1"/>
        </w:rPr>
        <w:t>Event of Default, Potential Event of Default or Review Event subsists or would be caused by making such distributions or payments; of surplus cash in relation to Financial Year ending on 31 December 2022 subject to a minimum cash balance</w:t>
      </w:r>
    </w:p>
    <w:p>
      <w:pPr>
        <w:spacing w:after="0" w:line="1" w:lineRule="exact"/>
        <w:rPr>
          <w:sz w:val="20"/>
          <w:szCs w:val="20"/>
          <w:color w:val="auto"/>
        </w:rPr>
      </w:pPr>
    </w:p>
    <w:p>
      <w:pPr>
        <w:ind w:left="1140"/>
        <w:spacing w:after="0"/>
        <w:tabs>
          <w:tab w:leader="none" w:pos="4880" w:val="left"/>
        </w:tabs>
        <w:rPr>
          <w:sz w:val="20"/>
          <w:szCs w:val="20"/>
          <w:color w:val="auto"/>
        </w:rPr>
      </w:pPr>
      <w:r>
        <w:rPr>
          <w:rFonts w:ascii="Arial" w:cs="Arial" w:eastAsia="Arial" w:hAnsi="Arial"/>
          <w:sz w:val="11"/>
          <w:szCs w:val="11"/>
          <w:color w:val="B5082D"/>
        </w:rPr>
        <w:t>of $5,000,000 rem ai ni ng in the Borrow er’ s account as at the end of that</w:t>
      </w:r>
      <w:r>
        <w:rPr>
          <w:sz w:val="20"/>
          <w:szCs w:val="20"/>
          <w:color w:val="auto"/>
        </w:rPr>
        <w:tab/>
      </w:r>
      <w:r>
        <w:rPr>
          <w:rFonts w:ascii="Arial" w:cs="Arial" w:eastAsia="Arial" w:hAnsi="Arial"/>
          <w:sz w:val="11"/>
          <w:szCs w:val="11"/>
          <w:color w:val="B5082D"/>
          <w:strike w:val="1"/>
        </w:rPr>
        <w:t>Financial Year;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-38735</wp:posOffset>
            </wp:positionV>
            <wp:extent cx="2371725" cy="5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71725" cy="5080"/>
                    </a:xfrm>
                    <a:prstGeom prst="rect">
                      <a:avLst/>
                    </a:prstGeom>
                    <a:noFill/>
                  </pic:spPr>
                </pic:pic>
              </a:graphicData>
            </a:graphic>
          </wp:anchor>
        </w:drawing>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color w:val="B5082D"/>
          <w:strike w:val="1"/>
        </w:rPr>
        <w:t>(m)</w:t>
      </w:r>
      <w:r>
        <w:rPr>
          <w:rFonts w:ascii="Arial" w:cs="Arial" w:eastAsia="Arial" w:hAnsi="Arial"/>
          <w:sz w:val="11"/>
          <w:szCs w:val="11"/>
          <w:u w:val="single" w:color="auto"/>
          <w:color w:val="2D96D2"/>
        </w:rPr>
        <w:t>(c)</w:t>
      </w:r>
      <w:r>
        <w:rPr>
          <w:rFonts w:ascii="Arial" w:cs="Arial" w:eastAsia="Arial" w:hAnsi="Arial"/>
          <w:sz w:val="11"/>
          <w:szCs w:val="11"/>
          <w:color w:val="000000"/>
        </w:rPr>
        <w:t>made with the Bank’s prior written consent.</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Permitted Encumbrance </w:t>
      </w:r>
      <w:r>
        <w:rPr>
          <w:rFonts w:ascii="Arial" w:cs="Arial" w:eastAsia="Arial" w:hAnsi="Arial"/>
          <w:sz w:val="11"/>
          <w:szCs w:val="11"/>
          <w:color w:val="auto"/>
        </w:rPr>
        <w:t>means:</w:t>
      </w:r>
    </w:p>
    <w:p>
      <w:pPr>
        <w:spacing w:after="0" w:line="58" w:lineRule="exact"/>
        <w:rPr>
          <w:sz w:val="20"/>
          <w:szCs w:val="20"/>
          <w:color w:val="auto"/>
        </w:rPr>
      </w:pPr>
    </w:p>
    <w:p>
      <w:pPr>
        <w:ind w:left="1100" w:hanging="270"/>
        <w:spacing w:after="0"/>
        <w:tabs>
          <w:tab w:leader="none" w:pos="1100" w:val="left"/>
        </w:tabs>
        <w:numPr>
          <w:ilvl w:val="0"/>
          <w:numId w:val="77"/>
        </w:numPr>
        <w:rPr>
          <w:rFonts w:ascii="Arial" w:cs="Arial" w:eastAsia="Arial" w:hAnsi="Arial"/>
          <w:sz w:val="11"/>
          <w:szCs w:val="11"/>
          <w:color w:val="auto"/>
        </w:rPr>
      </w:pPr>
      <w:r>
        <w:rPr>
          <w:rFonts w:ascii="Arial" w:cs="Arial" w:eastAsia="Arial" w:hAnsi="Arial"/>
          <w:sz w:val="11"/>
          <w:szCs w:val="11"/>
          <w:color w:val="auto"/>
        </w:rPr>
        <w:t>an Encumbrance which has been approved by the Bank (including the Security Interests created by any Transaction Document);</w:t>
      </w:r>
    </w:p>
    <w:p>
      <w:pPr>
        <w:spacing w:after="0" w:line="46" w:lineRule="exact"/>
        <w:rPr>
          <w:rFonts w:ascii="Arial" w:cs="Arial" w:eastAsia="Arial" w:hAnsi="Arial"/>
          <w:sz w:val="11"/>
          <w:szCs w:val="11"/>
          <w:color w:val="auto"/>
        </w:rPr>
      </w:pPr>
    </w:p>
    <w:p>
      <w:pPr>
        <w:ind w:left="1100" w:right="160" w:hanging="270"/>
        <w:spacing w:after="0" w:line="256" w:lineRule="auto"/>
        <w:tabs>
          <w:tab w:leader="none" w:pos="1100" w:val="left"/>
        </w:tabs>
        <w:numPr>
          <w:ilvl w:val="0"/>
          <w:numId w:val="77"/>
        </w:numPr>
        <w:rPr>
          <w:rFonts w:ascii="Arial" w:cs="Arial" w:eastAsia="Arial" w:hAnsi="Arial"/>
          <w:sz w:val="11"/>
          <w:szCs w:val="11"/>
          <w:color w:val="auto"/>
        </w:rPr>
      </w:pPr>
      <w:r>
        <w:rPr>
          <w:rFonts w:ascii="Arial" w:cs="Arial" w:eastAsia="Arial" w:hAnsi="Arial"/>
          <w:sz w:val="11"/>
          <w:szCs w:val="11"/>
          <w:color w:val="auto"/>
        </w:rPr>
        <w:t>any right of set off or combination arising by operation of law or practice over money deposited with a bank or financial institution in the ordinary course of the business of a Transaction Party;</w:t>
      </w:r>
    </w:p>
    <w:p>
      <w:pPr>
        <w:spacing w:after="0" w:line="30" w:lineRule="exact"/>
        <w:rPr>
          <w:rFonts w:ascii="Arial" w:cs="Arial" w:eastAsia="Arial" w:hAnsi="Arial"/>
          <w:sz w:val="11"/>
          <w:szCs w:val="11"/>
          <w:color w:val="auto"/>
        </w:rPr>
      </w:pPr>
    </w:p>
    <w:p>
      <w:pPr>
        <w:ind w:left="1100" w:hanging="270"/>
        <w:spacing w:after="0"/>
        <w:tabs>
          <w:tab w:leader="none" w:pos="1100" w:val="left"/>
        </w:tabs>
        <w:numPr>
          <w:ilvl w:val="0"/>
          <w:numId w:val="77"/>
        </w:numPr>
        <w:rPr>
          <w:rFonts w:ascii="Arial" w:cs="Arial" w:eastAsia="Arial" w:hAnsi="Arial"/>
          <w:sz w:val="11"/>
          <w:szCs w:val="11"/>
          <w:color w:val="auto"/>
        </w:rPr>
      </w:pPr>
      <w:r>
        <w:rPr>
          <w:rFonts w:ascii="Arial" w:cs="Arial" w:eastAsia="Arial" w:hAnsi="Arial"/>
          <w:sz w:val="11"/>
          <w:szCs w:val="11"/>
          <w:color w:val="auto"/>
        </w:rPr>
        <w:t>an Encumbrance which arises by operation of law in the ordinary course of the business of a Transaction Party provided the debt secured by that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16</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84" w:name="page85"/>
    <w:bookmarkEnd w:id="84"/>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Encumbrance is paid when due or contested in good faith by appropriate proceedings;</w:t>
      </w:r>
    </w:p>
    <w:p>
      <w:pPr>
        <w:spacing w:after="0" w:line="46" w:lineRule="exact"/>
        <w:rPr>
          <w:sz w:val="20"/>
          <w:szCs w:val="20"/>
          <w:color w:val="auto"/>
        </w:rPr>
      </w:pPr>
    </w:p>
    <w:p>
      <w:pPr>
        <w:ind w:left="1100" w:hanging="270"/>
        <w:spacing w:after="0"/>
        <w:tabs>
          <w:tab w:leader="none" w:pos="1100" w:val="left"/>
        </w:tabs>
        <w:numPr>
          <w:ilvl w:val="0"/>
          <w:numId w:val="78"/>
        </w:numPr>
        <w:rPr>
          <w:rFonts w:ascii="Arial" w:cs="Arial" w:eastAsia="Arial" w:hAnsi="Arial"/>
          <w:sz w:val="11"/>
          <w:szCs w:val="11"/>
          <w:color w:val="auto"/>
        </w:rPr>
      </w:pPr>
      <w:r>
        <w:rPr>
          <w:rFonts w:ascii="Arial" w:cs="Arial" w:eastAsia="Arial" w:hAnsi="Arial"/>
          <w:sz w:val="11"/>
          <w:szCs w:val="11"/>
          <w:color w:val="auto"/>
        </w:rPr>
        <w:t>every easement, restrictive covenant, caveat or similar restriction over property, right of way, exception, encroachment, reservation, restriction, condition</w:t>
      </w:r>
    </w:p>
    <w:p>
      <w:pPr>
        <w:spacing w:after="0" w:line="1" w:lineRule="exact"/>
        <w:rPr>
          <w:rFonts w:ascii="Arial" w:cs="Arial" w:eastAsia="Arial" w:hAnsi="Arial"/>
          <w:sz w:val="11"/>
          <w:szCs w:val="11"/>
          <w:color w:val="auto"/>
        </w:rPr>
      </w:pPr>
    </w:p>
    <w:p>
      <w:pPr>
        <w:ind w:left="1100" w:right="120"/>
        <w:spacing w:after="0" w:line="236" w:lineRule="auto"/>
        <w:rPr>
          <w:rFonts w:ascii="Arial" w:cs="Arial" w:eastAsia="Arial" w:hAnsi="Arial"/>
          <w:sz w:val="11"/>
          <w:szCs w:val="11"/>
          <w:color w:val="auto"/>
        </w:rPr>
      </w:pPr>
      <w:r>
        <w:rPr>
          <w:rFonts w:ascii="Arial" w:cs="Arial" w:eastAsia="Arial" w:hAnsi="Arial"/>
          <w:sz w:val="11"/>
          <w:szCs w:val="11"/>
          <w:color w:val="auto"/>
        </w:rPr>
        <w:t>or limitation which arises in the ordinary course of the ordinary business of the relevant Transaction Party and does not either by itself or in the aggregate materially interfere with or impair the operation or use of a property affected thereby, have a Material Adverse Effect or otherwise restrict or prevent the Bank exercising its rights against any Secured Property under the relevant Collateral Security;</w:t>
      </w:r>
    </w:p>
    <w:p>
      <w:pPr>
        <w:spacing w:after="0" w:line="31" w:lineRule="exact"/>
        <w:rPr>
          <w:rFonts w:ascii="Arial" w:cs="Arial" w:eastAsia="Arial" w:hAnsi="Arial"/>
          <w:sz w:val="11"/>
          <w:szCs w:val="11"/>
          <w:color w:val="auto"/>
        </w:rPr>
      </w:pPr>
    </w:p>
    <w:p>
      <w:pPr>
        <w:ind w:left="1100" w:right="160" w:hanging="270"/>
        <w:spacing w:after="0" w:line="238" w:lineRule="auto"/>
        <w:tabs>
          <w:tab w:leader="none" w:pos="1100" w:val="left"/>
        </w:tabs>
        <w:numPr>
          <w:ilvl w:val="0"/>
          <w:numId w:val="78"/>
        </w:numPr>
        <w:rPr>
          <w:rFonts w:ascii="Arial" w:cs="Arial" w:eastAsia="Arial" w:hAnsi="Arial"/>
          <w:sz w:val="11"/>
          <w:szCs w:val="11"/>
          <w:color w:val="auto"/>
        </w:rPr>
      </w:pPr>
      <w:r>
        <w:rPr>
          <w:rFonts w:ascii="Arial" w:cs="Arial" w:eastAsia="Arial" w:hAnsi="Arial"/>
          <w:sz w:val="11"/>
          <w:szCs w:val="11"/>
          <w:color w:val="auto"/>
        </w:rPr>
        <w:t>every right reserved to, or vested in, any municipality or governmental or other public authority by the terms of any right, power, franchise, grant, licence or permit to control or regulate any part of the property of a Transaction Party, or to use that property in any manner which does not either by itself or in the aggregate materially interfere with or impair the operation or the use thereof, have a Material Adverse Effect or otherwise restrict or prevent the Bank exercising its rights against any Secured Property under the relevant Collateral Security;</w:t>
      </w:r>
    </w:p>
    <w:p>
      <w:pPr>
        <w:spacing w:after="0" w:line="30" w:lineRule="exact"/>
        <w:rPr>
          <w:rFonts w:ascii="Arial" w:cs="Arial" w:eastAsia="Arial" w:hAnsi="Arial"/>
          <w:sz w:val="11"/>
          <w:szCs w:val="11"/>
          <w:color w:val="auto"/>
        </w:rPr>
      </w:pPr>
    </w:p>
    <w:p>
      <w:pPr>
        <w:ind w:left="1100" w:right="260" w:hanging="270"/>
        <w:spacing w:after="0" w:line="238" w:lineRule="auto"/>
        <w:tabs>
          <w:tab w:leader="none" w:pos="1100" w:val="left"/>
        </w:tabs>
        <w:numPr>
          <w:ilvl w:val="0"/>
          <w:numId w:val="78"/>
        </w:numPr>
        <w:rPr>
          <w:rFonts w:ascii="Arial" w:cs="Arial" w:eastAsia="Arial" w:hAnsi="Arial"/>
          <w:sz w:val="11"/>
          <w:szCs w:val="11"/>
          <w:color w:val="auto"/>
        </w:rPr>
      </w:pPr>
      <w:r>
        <w:rPr>
          <w:rFonts w:ascii="Arial" w:cs="Arial" w:eastAsia="Arial" w:hAnsi="Arial"/>
          <w:sz w:val="11"/>
          <w:szCs w:val="11"/>
          <w:color w:val="auto"/>
        </w:rPr>
        <w:t>every Encumbrance incurred or deposits made in the ordinary course of ordinary business to secure the performance of tenders, statutory obligations, surety bonds, bids, leases, government contracts, performance and return of money bonds (provided that such Encumbrances do not restrict or prevent the Bank exercising its rights against any Secured Property under the relevant Collateral Security) or in connection with workers’ compensation, unemployment insurance and other types of social security;</w:t>
      </w:r>
    </w:p>
    <w:p>
      <w:pPr>
        <w:spacing w:after="0" w:line="31" w:lineRule="exact"/>
        <w:rPr>
          <w:sz w:val="20"/>
          <w:szCs w:val="20"/>
          <w:color w:val="auto"/>
        </w:rPr>
      </w:pPr>
    </w:p>
    <w:p>
      <w:pPr>
        <w:ind w:left="1100" w:right="200" w:hanging="259"/>
        <w:spacing w:after="0" w:line="256" w:lineRule="auto"/>
        <w:tabs>
          <w:tab w:leader="none" w:pos="1080" w:val="left"/>
        </w:tabs>
        <w:rPr>
          <w:sz w:val="20"/>
          <w:szCs w:val="20"/>
          <w:color w:val="auto"/>
        </w:rPr>
      </w:pPr>
      <w:r>
        <w:rPr>
          <w:rFonts w:ascii="Arial" w:cs="Arial" w:eastAsia="Arial" w:hAnsi="Arial"/>
          <w:sz w:val="11"/>
          <w:szCs w:val="11"/>
          <w:color w:val="auto"/>
        </w:rPr>
        <w:t>(g)</w:t>
      </w:r>
      <w:r>
        <w:rPr>
          <w:sz w:val="20"/>
          <w:szCs w:val="20"/>
          <w:color w:val="auto"/>
        </w:rPr>
        <w:tab/>
      </w:r>
      <w:r>
        <w:rPr>
          <w:rFonts w:ascii="Arial" w:cs="Arial" w:eastAsia="Arial" w:hAnsi="Arial"/>
          <w:sz w:val="11"/>
          <w:szCs w:val="11"/>
          <w:color w:val="auto"/>
        </w:rPr>
        <w:t>every Encumbrance incurred or deposit made in the ordinary course of the business of a Transaction Party in respect of a leasehold property, the purchase of assets or the use of utilities, provided that:</w:t>
      </w:r>
    </w:p>
    <w:p>
      <w:pPr>
        <w:spacing w:after="0" w:line="23" w:lineRule="exact"/>
        <w:rPr>
          <w:sz w:val="20"/>
          <w:szCs w:val="20"/>
          <w:color w:val="auto"/>
        </w:rPr>
      </w:pPr>
    </w:p>
    <w:p>
      <w:pPr>
        <w:ind w:left="1400" w:right="400" w:hanging="285"/>
        <w:spacing w:after="0" w:line="256" w:lineRule="auto"/>
        <w:tabs>
          <w:tab w:leader="none" w:pos="1400" w:val="left"/>
        </w:tabs>
        <w:numPr>
          <w:ilvl w:val="1"/>
          <w:numId w:val="79"/>
        </w:numPr>
        <w:rPr>
          <w:rFonts w:ascii="Arial" w:cs="Arial" w:eastAsia="Arial" w:hAnsi="Arial"/>
          <w:sz w:val="11"/>
          <w:szCs w:val="11"/>
          <w:color w:val="auto"/>
        </w:rPr>
      </w:pPr>
      <w:r>
        <w:rPr>
          <w:rFonts w:ascii="Arial" w:cs="Arial" w:eastAsia="Arial" w:hAnsi="Arial"/>
          <w:sz w:val="11"/>
          <w:szCs w:val="11"/>
          <w:color w:val="auto"/>
        </w:rPr>
        <w:t>in relation to an Encumbrance incurred or deposit made in respect of the purchase of assets which secures an aggregate amount greater than $250,000 the Bank has given prior written consent to the Borrower; and</w:t>
      </w:r>
    </w:p>
    <w:p>
      <w:pPr>
        <w:spacing w:after="0" w:line="22" w:lineRule="exact"/>
        <w:rPr>
          <w:rFonts w:ascii="Arial" w:cs="Arial" w:eastAsia="Arial" w:hAnsi="Arial"/>
          <w:sz w:val="11"/>
          <w:szCs w:val="11"/>
          <w:color w:val="auto"/>
        </w:rPr>
      </w:pPr>
    </w:p>
    <w:p>
      <w:pPr>
        <w:ind w:left="1400" w:right="1020" w:hanging="285"/>
        <w:spacing w:after="0" w:line="256" w:lineRule="auto"/>
        <w:tabs>
          <w:tab w:leader="none" w:pos="1400" w:val="left"/>
        </w:tabs>
        <w:numPr>
          <w:ilvl w:val="1"/>
          <w:numId w:val="79"/>
        </w:numPr>
        <w:rPr>
          <w:rFonts w:ascii="Arial" w:cs="Arial" w:eastAsia="Arial" w:hAnsi="Arial"/>
          <w:sz w:val="11"/>
          <w:szCs w:val="11"/>
          <w:color w:val="auto"/>
        </w:rPr>
      </w:pPr>
      <w:r>
        <w:rPr>
          <w:rFonts w:ascii="Arial" w:cs="Arial" w:eastAsia="Arial" w:hAnsi="Arial"/>
          <w:sz w:val="11"/>
          <w:szCs w:val="11"/>
          <w:color w:val="auto"/>
        </w:rPr>
        <w:t>the recourse of the holder of that Encumbrance is limited to the leasehold interest, the assets purchased or use of utilities and the proceeds of enforcement of the Encumbrance.</w:t>
      </w:r>
    </w:p>
    <w:p>
      <w:pPr>
        <w:spacing w:after="0" w:line="22" w:lineRule="exact"/>
        <w:rPr>
          <w:rFonts w:ascii="Arial" w:cs="Arial" w:eastAsia="Arial" w:hAnsi="Arial"/>
          <w:sz w:val="11"/>
          <w:szCs w:val="11"/>
          <w:color w:val="auto"/>
        </w:rPr>
      </w:pPr>
    </w:p>
    <w:p>
      <w:pPr>
        <w:ind w:left="1100" w:hanging="270"/>
        <w:spacing w:after="0"/>
        <w:tabs>
          <w:tab w:leader="none" w:pos="1100" w:val="left"/>
        </w:tabs>
        <w:numPr>
          <w:ilvl w:val="0"/>
          <w:numId w:val="80"/>
        </w:numPr>
        <w:rPr>
          <w:rFonts w:ascii="Arial" w:cs="Arial" w:eastAsia="Arial" w:hAnsi="Arial"/>
          <w:sz w:val="11"/>
          <w:szCs w:val="11"/>
          <w:color w:val="auto"/>
        </w:rPr>
      </w:pPr>
      <w:r>
        <w:rPr>
          <w:rFonts w:ascii="Arial" w:cs="Arial" w:eastAsia="Arial" w:hAnsi="Arial"/>
          <w:sz w:val="11"/>
          <w:szCs w:val="11"/>
          <w:color w:val="auto"/>
        </w:rPr>
        <w:t>every retention of title arrangement in respect of trading stock acquired or to be acquired by a Transaction Party in the ordinary course of business;</w:t>
      </w:r>
    </w:p>
    <w:p>
      <w:pPr>
        <w:spacing w:after="0" w:line="46" w:lineRule="exact"/>
        <w:rPr>
          <w:rFonts w:ascii="Arial" w:cs="Arial" w:eastAsia="Arial" w:hAnsi="Arial"/>
          <w:sz w:val="11"/>
          <w:szCs w:val="11"/>
          <w:color w:val="auto"/>
        </w:rPr>
      </w:pPr>
    </w:p>
    <w:p>
      <w:pPr>
        <w:ind w:left="840" w:right="160" w:hanging="10"/>
        <w:spacing w:after="0" w:line="403" w:lineRule="auto"/>
        <w:tabs>
          <w:tab w:leader="none" w:pos="1118" w:val="left"/>
        </w:tabs>
        <w:numPr>
          <w:ilvl w:val="0"/>
          <w:numId w:val="80"/>
        </w:numPr>
        <w:rPr>
          <w:rFonts w:ascii="Arial" w:cs="Arial" w:eastAsia="Arial" w:hAnsi="Arial"/>
          <w:sz w:val="11"/>
          <w:szCs w:val="11"/>
          <w:color w:val="auto"/>
        </w:rPr>
      </w:pPr>
      <w:r>
        <w:rPr>
          <w:rFonts w:ascii="Arial" w:cs="Arial" w:eastAsia="Arial" w:hAnsi="Arial"/>
          <w:sz w:val="11"/>
          <w:szCs w:val="11"/>
          <w:color w:val="auto"/>
        </w:rPr>
        <w:t xml:space="preserve">any easement, caveat or other restriction in relation to a Freehold Property that would be apparent from a title search conducted before the date of this document. </w:t>
      </w:r>
      <w:r>
        <w:rPr>
          <w:rFonts w:ascii="Arial" w:cs="Arial" w:eastAsia="Arial" w:hAnsi="Arial"/>
          <w:sz w:val="11"/>
          <w:szCs w:val="11"/>
          <w:b w:val="1"/>
          <w:bCs w:val="1"/>
          <w:color w:val="auto"/>
        </w:rPr>
        <w:t xml:space="preserve">Permitted Financial Accommodation </w:t>
      </w:r>
      <w:r>
        <w:rPr>
          <w:rFonts w:ascii="Arial" w:cs="Arial" w:eastAsia="Arial" w:hAnsi="Arial"/>
          <w:sz w:val="11"/>
          <w:szCs w:val="11"/>
          <w:color w:val="auto"/>
        </w:rPr>
        <w:t>means: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17</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85" w:name="page86"/>
    <w:bookmarkEnd w:id="85"/>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hanging="270"/>
        <w:spacing w:after="0"/>
        <w:tabs>
          <w:tab w:leader="none" w:pos="1100" w:val="left"/>
        </w:tabs>
        <w:numPr>
          <w:ilvl w:val="0"/>
          <w:numId w:val="81"/>
        </w:numPr>
        <w:rPr>
          <w:rFonts w:ascii="Arial" w:cs="Arial" w:eastAsia="Arial" w:hAnsi="Arial"/>
          <w:sz w:val="11"/>
          <w:szCs w:val="11"/>
          <w:color w:val="auto"/>
        </w:rPr>
      </w:pPr>
      <w:r>
        <w:rPr>
          <w:rFonts w:ascii="Arial" w:cs="Arial" w:eastAsia="Arial" w:hAnsi="Arial"/>
          <w:sz w:val="11"/>
          <w:szCs w:val="11"/>
          <w:color w:val="auto"/>
        </w:rPr>
        <w:t>financial accommodation granted by a Transaction Party to another Transaction Party;</w:t>
      </w:r>
    </w:p>
    <w:p>
      <w:pPr>
        <w:spacing w:after="0" w:line="46" w:lineRule="exact"/>
        <w:rPr>
          <w:rFonts w:ascii="Arial" w:cs="Arial" w:eastAsia="Arial" w:hAnsi="Arial"/>
          <w:sz w:val="11"/>
          <w:szCs w:val="11"/>
          <w:color w:val="auto"/>
        </w:rPr>
      </w:pPr>
    </w:p>
    <w:p>
      <w:pPr>
        <w:ind w:left="1100" w:right="640" w:hanging="270"/>
        <w:spacing w:after="0" w:line="256" w:lineRule="auto"/>
        <w:tabs>
          <w:tab w:leader="none" w:pos="1100" w:val="left"/>
        </w:tabs>
        <w:numPr>
          <w:ilvl w:val="0"/>
          <w:numId w:val="81"/>
        </w:numPr>
        <w:rPr>
          <w:rFonts w:ascii="Arial" w:cs="Arial" w:eastAsia="Arial" w:hAnsi="Arial"/>
          <w:sz w:val="11"/>
          <w:szCs w:val="11"/>
          <w:color w:val="auto"/>
        </w:rPr>
      </w:pPr>
      <w:r>
        <w:rPr>
          <w:rFonts w:ascii="Arial" w:cs="Arial" w:eastAsia="Arial" w:hAnsi="Arial"/>
          <w:sz w:val="11"/>
          <w:szCs w:val="11"/>
          <w:color w:val="B5082D"/>
          <w:strike w:val="1"/>
        </w:rPr>
        <w:t>the</w:t>
      </w:r>
      <w:r>
        <w:rPr>
          <w:rFonts w:ascii="Arial" w:cs="Arial" w:eastAsia="Arial" w:hAnsi="Arial"/>
          <w:sz w:val="11"/>
          <w:szCs w:val="11"/>
          <w:color w:val="B5082D"/>
        </w:rPr>
        <w:t xml:space="preserve"> </w:t>
      </w:r>
      <w:r>
        <w:rPr>
          <w:rFonts w:ascii="Arial" w:cs="Arial" w:eastAsia="Arial" w:hAnsi="Arial"/>
          <w:sz w:val="11"/>
          <w:szCs w:val="11"/>
          <w:color w:val="000000"/>
        </w:rPr>
        <w:t>loan granted by Reading Entertainment Australia Group to the Parent</w:t>
      </w:r>
      <w:r>
        <w:rPr>
          <w:rFonts w:ascii="Arial" w:cs="Arial" w:eastAsia="Arial" w:hAnsi="Arial"/>
          <w:sz w:val="11"/>
          <w:szCs w:val="11"/>
          <w:color w:val="B5082D"/>
        </w:rPr>
        <w:t xml:space="preserve"> </w:t>
      </w:r>
      <w:r>
        <w:rPr>
          <w:rFonts w:ascii="Arial" w:cs="Arial" w:eastAsia="Arial" w:hAnsi="Arial"/>
          <w:sz w:val="11"/>
          <w:szCs w:val="11"/>
          <w:u w:val="single" w:color="auto"/>
          <w:color w:val="2D96D2"/>
        </w:rPr>
        <w:t>and/or Reading New Zealand Ltd</w:t>
      </w:r>
      <w:r>
        <w:rPr>
          <w:rFonts w:ascii="Arial" w:cs="Arial" w:eastAsia="Arial" w:hAnsi="Arial"/>
          <w:sz w:val="11"/>
          <w:szCs w:val="11"/>
          <w:color w:val="000000"/>
        </w:rPr>
        <w:t>, up to</w:t>
      </w:r>
      <w:r>
        <w:rPr>
          <w:rFonts w:ascii="Arial" w:cs="Arial" w:eastAsia="Arial" w:hAnsi="Arial"/>
          <w:sz w:val="11"/>
          <w:szCs w:val="11"/>
          <w:color w:val="B5082D"/>
        </w:rPr>
        <w:t xml:space="preserve"> </w:t>
      </w:r>
      <w:r>
        <w:rPr>
          <w:rFonts w:ascii="Arial" w:cs="Arial" w:eastAsia="Arial" w:hAnsi="Arial"/>
          <w:sz w:val="11"/>
          <w:szCs w:val="11"/>
          <w:u w:val="single" w:color="auto"/>
          <w:color w:val="2D96D2"/>
        </w:rPr>
        <w:t>$13,400,000</w:t>
      </w:r>
      <w:r>
        <w:rPr>
          <w:rFonts w:ascii="Arial" w:cs="Arial" w:eastAsia="Arial" w:hAnsi="Arial"/>
          <w:sz w:val="11"/>
          <w:szCs w:val="11"/>
          <w:color w:val="B5082D"/>
          <w:strike w:val="1"/>
        </w:rPr>
        <w:t>33.33% of the Remaining</w:t>
      </w:r>
      <w:r>
        <w:rPr>
          <w:rFonts w:ascii="Arial" w:cs="Arial" w:eastAsia="Arial" w:hAnsi="Arial"/>
          <w:sz w:val="11"/>
          <w:szCs w:val="11"/>
          <w:color w:val="B5082D"/>
        </w:rPr>
        <w:t xml:space="preserve"> </w:t>
      </w:r>
      <w:r>
        <w:rPr>
          <w:rFonts w:ascii="Arial" w:cs="Arial" w:eastAsia="Arial" w:hAnsi="Arial"/>
          <w:sz w:val="11"/>
          <w:szCs w:val="11"/>
          <w:color w:val="B5082D"/>
          <w:strike w:val="1"/>
        </w:rPr>
        <w:t>Proceeds</w:t>
      </w:r>
      <w:r>
        <w:rPr>
          <w:rFonts w:ascii="Arial" w:cs="Arial" w:eastAsia="Arial" w:hAnsi="Arial"/>
          <w:sz w:val="11"/>
          <w:szCs w:val="11"/>
          <w:color w:val="000000"/>
        </w:rPr>
        <w:t>;</w:t>
      </w:r>
    </w:p>
    <w:p>
      <w:pPr>
        <w:spacing w:after="0" w:line="22" w:lineRule="exact"/>
        <w:rPr>
          <w:rFonts w:ascii="Arial" w:cs="Arial" w:eastAsia="Arial" w:hAnsi="Arial"/>
          <w:sz w:val="11"/>
          <w:szCs w:val="11"/>
          <w:color w:val="auto"/>
        </w:rPr>
      </w:pPr>
    </w:p>
    <w:p>
      <w:pPr>
        <w:ind w:left="1100" w:hanging="270"/>
        <w:spacing w:after="0"/>
        <w:tabs>
          <w:tab w:leader="none" w:pos="1100" w:val="left"/>
        </w:tabs>
        <w:numPr>
          <w:ilvl w:val="0"/>
          <w:numId w:val="81"/>
        </w:numPr>
        <w:rPr>
          <w:rFonts w:ascii="Arial" w:cs="Arial" w:eastAsia="Arial" w:hAnsi="Arial"/>
          <w:sz w:val="11"/>
          <w:szCs w:val="11"/>
          <w:color w:val="auto"/>
        </w:rPr>
      </w:pPr>
      <w:r>
        <w:rPr>
          <w:rFonts w:ascii="Arial" w:cs="Arial" w:eastAsia="Arial" w:hAnsi="Arial"/>
          <w:sz w:val="11"/>
          <w:szCs w:val="11"/>
          <w:color w:val="auto"/>
        </w:rPr>
        <w:t>any trade credit extended by a Transaction Party to its customers on normal commercial terms and in the ordinary course of business;</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color w:val="B5082D"/>
          <w:strike w:val="1"/>
        </w:rPr>
        <w:t>(c)</w:t>
      </w:r>
      <w:r>
        <w:rPr>
          <w:rFonts w:ascii="Arial" w:cs="Arial" w:eastAsia="Arial" w:hAnsi="Arial"/>
          <w:sz w:val="11"/>
          <w:szCs w:val="11"/>
          <w:u w:val="single" w:color="auto"/>
          <w:color w:val="2D96D2"/>
        </w:rPr>
        <w:t>(d) additional financial accommodation up to a maximum aggregate amount not exceeding $1,700,000;</w:t>
      </w:r>
      <w:r>
        <w:rPr>
          <w:rFonts w:ascii="Arial" w:cs="Arial" w:eastAsia="Arial" w:hAnsi="Arial"/>
          <w:sz w:val="11"/>
          <w:szCs w:val="11"/>
          <w:color w:val="B5082D"/>
        </w:rPr>
        <w:t xml:space="preserve"> </w:t>
      </w:r>
      <w:r>
        <w:rPr>
          <w:rFonts w:ascii="Arial" w:cs="Arial" w:eastAsia="Arial" w:hAnsi="Arial"/>
          <w:sz w:val="11"/>
          <w:szCs w:val="11"/>
          <w:color w:val="000000"/>
        </w:rPr>
        <w:t>or</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color w:val="B5082D"/>
          <w:strike w:val="1"/>
        </w:rPr>
        <w:t>(d)</w:t>
      </w:r>
      <w:r>
        <w:rPr>
          <w:rFonts w:ascii="Arial" w:cs="Arial" w:eastAsia="Arial" w:hAnsi="Arial"/>
          <w:sz w:val="11"/>
          <w:szCs w:val="11"/>
          <w:u w:val="single" w:color="auto"/>
          <w:color w:val="2D96D2"/>
        </w:rPr>
        <w:t>(e)</w:t>
      </w:r>
      <w:r>
        <w:rPr>
          <w:rFonts w:ascii="Arial" w:cs="Arial" w:eastAsia="Arial" w:hAnsi="Arial"/>
          <w:sz w:val="11"/>
          <w:szCs w:val="11"/>
          <w:color w:val="B5082D"/>
        </w:rPr>
        <w:t xml:space="preserve"> </w:t>
      </w:r>
      <w:r>
        <w:rPr>
          <w:rFonts w:ascii="Arial" w:cs="Arial" w:eastAsia="Arial" w:hAnsi="Arial"/>
          <w:sz w:val="11"/>
          <w:szCs w:val="11"/>
          <w:color w:val="000000"/>
        </w:rPr>
        <w:t>any other financial accommodation granted with the prior consent of the Bank.</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Permitted Financial Indebtedness </w:t>
      </w:r>
      <w:r>
        <w:rPr>
          <w:rFonts w:ascii="Arial" w:cs="Arial" w:eastAsia="Arial" w:hAnsi="Arial"/>
          <w:sz w:val="11"/>
          <w:szCs w:val="11"/>
          <w:color w:val="auto"/>
        </w:rPr>
        <w:t>means:</w:t>
      </w:r>
    </w:p>
    <w:p>
      <w:pPr>
        <w:spacing w:after="0" w:line="75" w:lineRule="exact"/>
        <w:rPr>
          <w:sz w:val="20"/>
          <w:szCs w:val="20"/>
          <w:color w:val="auto"/>
        </w:rPr>
      </w:pPr>
    </w:p>
    <w:p>
      <w:pPr>
        <w:ind w:left="1100" w:hanging="270"/>
        <w:spacing w:after="0"/>
        <w:tabs>
          <w:tab w:leader="none" w:pos="11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trade debt incurred in the ordinary course of business of the Transaction Parties;</w:t>
      </w:r>
    </w:p>
    <w:p>
      <w:pPr>
        <w:spacing w:after="0" w:line="61" w:lineRule="exact"/>
        <w:rPr>
          <w:rFonts w:ascii="Arial" w:cs="Arial" w:eastAsia="Arial" w:hAnsi="Arial"/>
          <w:sz w:val="11"/>
          <w:szCs w:val="11"/>
          <w:color w:val="auto"/>
        </w:rPr>
      </w:pPr>
    </w:p>
    <w:p>
      <w:pPr>
        <w:ind w:left="1100" w:hanging="270"/>
        <w:spacing w:after="0"/>
        <w:tabs>
          <w:tab w:leader="none" w:pos="11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Financial Indebtedness incurred under the Transaction Documents;</w:t>
      </w:r>
    </w:p>
    <w:p>
      <w:pPr>
        <w:spacing w:after="0" w:line="68" w:lineRule="exact"/>
        <w:rPr>
          <w:rFonts w:ascii="Arial" w:cs="Arial" w:eastAsia="Arial" w:hAnsi="Arial"/>
          <w:sz w:val="11"/>
          <w:szCs w:val="11"/>
          <w:color w:val="auto"/>
        </w:rPr>
      </w:pPr>
    </w:p>
    <w:p>
      <w:pPr>
        <w:ind w:left="1100" w:hanging="270"/>
        <w:spacing w:after="0"/>
        <w:tabs>
          <w:tab w:leader="none" w:pos="11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Financial Indebtedness owing from one Transaction Party to another Transaction Party;</w:t>
      </w:r>
    </w:p>
    <w:p>
      <w:pPr>
        <w:spacing w:after="0" w:line="53" w:lineRule="exact"/>
        <w:rPr>
          <w:rFonts w:ascii="Arial" w:cs="Arial" w:eastAsia="Arial" w:hAnsi="Arial"/>
          <w:sz w:val="11"/>
          <w:szCs w:val="11"/>
          <w:color w:val="auto"/>
        </w:rPr>
      </w:pPr>
    </w:p>
    <w:p>
      <w:pPr>
        <w:ind w:left="1100" w:hanging="270"/>
        <w:spacing w:after="0"/>
        <w:tabs>
          <w:tab w:leader="none" w:pos="11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any Subordinated Debt;</w:t>
      </w:r>
    </w:p>
    <w:p>
      <w:pPr>
        <w:spacing w:after="0" w:line="76" w:lineRule="exact"/>
        <w:rPr>
          <w:rFonts w:ascii="Arial" w:cs="Arial" w:eastAsia="Arial" w:hAnsi="Arial"/>
          <w:sz w:val="11"/>
          <w:szCs w:val="11"/>
          <w:color w:val="auto"/>
        </w:rPr>
      </w:pPr>
    </w:p>
    <w:p>
      <w:pPr>
        <w:ind w:left="1100" w:hanging="270"/>
        <w:spacing w:after="0"/>
        <w:tabs>
          <w:tab w:leader="none" w:pos="11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a $225,000 loan from the landlord of the Westlakes Cinema property;</w:t>
      </w:r>
    </w:p>
    <w:p>
      <w:pPr>
        <w:spacing w:after="0" w:line="76" w:lineRule="exact"/>
        <w:rPr>
          <w:rFonts w:ascii="Arial" w:cs="Arial" w:eastAsia="Arial" w:hAnsi="Arial"/>
          <w:sz w:val="11"/>
          <w:szCs w:val="11"/>
          <w:color w:val="auto"/>
        </w:rPr>
      </w:pPr>
    </w:p>
    <w:p>
      <w:pPr>
        <w:ind w:left="1100" w:hanging="270"/>
        <w:spacing w:after="0"/>
        <w:tabs>
          <w:tab w:leader="none" w:pos="11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a $400,000 loan from the landlord of the Rhodes Cinema property;</w:t>
      </w:r>
    </w:p>
    <w:p>
      <w:pPr>
        <w:spacing w:after="0" w:line="68" w:lineRule="exact"/>
        <w:rPr>
          <w:rFonts w:ascii="Arial" w:cs="Arial" w:eastAsia="Arial" w:hAnsi="Arial"/>
          <w:sz w:val="11"/>
          <w:szCs w:val="11"/>
          <w:color w:val="auto"/>
        </w:rPr>
      </w:pPr>
    </w:p>
    <w:p>
      <w:pPr>
        <w:ind w:left="1100" w:right="340" w:hanging="270"/>
        <w:spacing w:after="0" w:line="256" w:lineRule="auto"/>
        <w:tabs>
          <w:tab w:leader="none" w:pos="11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Financial Indebtedness arising under any performance or similar bond guaranteeing performance by a Transaction Party under any contract entered into in the ordinary course of business;</w:t>
      </w:r>
    </w:p>
    <w:p>
      <w:pPr>
        <w:spacing w:after="0" w:line="22" w:lineRule="exact"/>
        <w:rPr>
          <w:rFonts w:ascii="Arial" w:cs="Arial" w:eastAsia="Arial" w:hAnsi="Arial"/>
          <w:sz w:val="11"/>
          <w:szCs w:val="11"/>
          <w:color w:val="auto"/>
        </w:rPr>
      </w:pPr>
    </w:p>
    <w:p>
      <w:pPr>
        <w:ind w:left="1100" w:hanging="270"/>
        <w:spacing w:after="0"/>
        <w:tabs>
          <w:tab w:leader="none" w:pos="11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Financial Indebtedness arising under a guarantee given to a landlord in respect of a lease entered into by a Transaction Party;</w:t>
      </w:r>
    </w:p>
    <w:p>
      <w:pPr>
        <w:spacing w:after="0" w:line="46" w:lineRule="exact"/>
        <w:rPr>
          <w:rFonts w:ascii="Arial" w:cs="Arial" w:eastAsia="Arial" w:hAnsi="Arial"/>
          <w:sz w:val="11"/>
          <w:szCs w:val="11"/>
          <w:color w:val="auto"/>
        </w:rPr>
      </w:pPr>
    </w:p>
    <w:p>
      <w:pPr>
        <w:ind w:left="1100" w:hanging="270"/>
        <w:spacing w:after="0"/>
        <w:tabs>
          <w:tab w:leader="none" w:pos="11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Financial Indebtedness under finance or capital leases of vehicles, plant, equipment or computers; and</w:t>
      </w:r>
    </w:p>
    <w:p>
      <w:pPr>
        <w:spacing w:after="0" w:line="46" w:lineRule="exact"/>
        <w:rPr>
          <w:rFonts w:ascii="Arial" w:cs="Arial" w:eastAsia="Arial" w:hAnsi="Arial"/>
          <w:sz w:val="11"/>
          <w:szCs w:val="11"/>
          <w:color w:val="auto"/>
        </w:rPr>
      </w:pPr>
    </w:p>
    <w:p>
      <w:pPr>
        <w:ind w:left="1100" w:right="140" w:hanging="270"/>
        <w:spacing w:after="0" w:line="256" w:lineRule="auto"/>
        <w:tabs>
          <w:tab w:leader="none" w:pos="11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Financial Indebtedness not permitted by the preceding paragraphs and the outstanding principal amount of which does not exceed $2,000,000 in aggregate for the Transaction Parties at any time.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18</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86" w:name="page87"/>
    <w:bookmarkEnd w:id="86"/>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PPS Act </w:t>
      </w:r>
      <w:r>
        <w:rPr>
          <w:rFonts w:ascii="Arial" w:cs="Arial" w:eastAsia="Arial" w:hAnsi="Arial"/>
          <w:sz w:val="11"/>
          <w:szCs w:val="11"/>
          <w:color w:val="auto"/>
        </w:rPr>
        <w:t>means the</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Personal Property Securities Act 2009</w:t>
      </w:r>
      <w:r>
        <w:rPr>
          <w:rFonts w:ascii="Arial" w:cs="Arial" w:eastAsia="Arial" w:hAnsi="Arial"/>
          <w:sz w:val="11"/>
          <w:szCs w:val="11"/>
          <w:b w:val="1"/>
          <w:bCs w:val="1"/>
          <w:color w:val="auto"/>
        </w:rPr>
        <w:t xml:space="preserve"> </w:t>
      </w:r>
      <w:r>
        <w:rPr>
          <w:rFonts w:ascii="Arial" w:cs="Arial" w:eastAsia="Arial" w:hAnsi="Arial"/>
          <w:sz w:val="11"/>
          <w:szCs w:val="11"/>
          <w:color w:val="auto"/>
        </w:rPr>
        <w:t>(Cth).</w:t>
      </w:r>
    </w:p>
    <w:p>
      <w:pPr>
        <w:spacing w:after="0" w:line="52" w:lineRule="exact"/>
        <w:rPr>
          <w:sz w:val="20"/>
          <w:szCs w:val="20"/>
          <w:color w:val="auto"/>
        </w:rPr>
      </w:pPr>
    </w:p>
    <w:p>
      <w:pPr>
        <w:ind w:left="840" w:right="400"/>
        <w:spacing w:after="0" w:line="268" w:lineRule="auto"/>
        <w:rPr>
          <w:sz w:val="20"/>
          <w:szCs w:val="20"/>
          <w:color w:val="auto"/>
        </w:rPr>
      </w:pPr>
      <w:r>
        <w:rPr>
          <w:rFonts w:ascii="Arial" w:cs="Arial" w:eastAsia="Arial" w:hAnsi="Arial"/>
          <w:sz w:val="11"/>
          <w:szCs w:val="11"/>
          <w:b w:val="1"/>
          <w:bCs w:val="1"/>
          <w:color w:val="auto"/>
        </w:rPr>
        <w:t xml:space="preserve">PPS property </w:t>
      </w:r>
      <w:r>
        <w:rPr>
          <w:rFonts w:ascii="Arial" w:cs="Arial" w:eastAsia="Arial" w:hAnsi="Arial"/>
          <w:sz w:val="11"/>
          <w:szCs w:val="11"/>
          <w:color w:val="auto"/>
        </w:rPr>
        <w:t>means all property (other than Excluded Property) over which the Borrower or a Security Provider is legally capable under the PPS Act of granting a</w:t>
      </w:r>
      <w:r>
        <w:rPr>
          <w:rFonts w:ascii="Arial" w:cs="Arial" w:eastAsia="Arial" w:hAnsi="Arial"/>
          <w:sz w:val="11"/>
          <w:szCs w:val="11"/>
          <w:b w:val="1"/>
          <w:bCs w:val="1"/>
          <w:color w:val="auto"/>
        </w:rPr>
        <w:t xml:space="preserve"> </w:t>
      </w:r>
      <w:r>
        <w:rPr>
          <w:rFonts w:ascii="Arial" w:cs="Arial" w:eastAsia="Arial" w:hAnsi="Arial"/>
          <w:sz w:val="11"/>
          <w:szCs w:val="11"/>
          <w:color w:val="auto"/>
        </w:rPr>
        <w:t>security interest.</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Potential Event of Default </w:t>
      </w:r>
      <w:r>
        <w:rPr>
          <w:rFonts w:ascii="Arial" w:cs="Arial" w:eastAsia="Arial" w:hAnsi="Arial"/>
          <w:sz w:val="11"/>
          <w:szCs w:val="11"/>
          <w:color w:val="auto"/>
        </w:rPr>
        <w:t>means any thing which, with the giving of notice, lapse of time or determination of materiality, will constitute an Event of Default.</w:t>
      </w:r>
    </w:p>
    <w:p>
      <w:pPr>
        <w:spacing w:after="0" w:line="46" w:lineRule="exact"/>
        <w:rPr>
          <w:sz w:val="20"/>
          <w:szCs w:val="20"/>
          <w:color w:val="auto"/>
        </w:rPr>
      </w:pPr>
    </w:p>
    <w:p>
      <w:pPr>
        <w:ind w:left="840" w:right="160"/>
        <w:spacing w:after="0" w:line="268" w:lineRule="auto"/>
        <w:rPr>
          <w:sz w:val="20"/>
          <w:szCs w:val="20"/>
          <w:color w:val="auto"/>
        </w:rPr>
      </w:pPr>
      <w:r>
        <w:rPr>
          <w:rFonts w:ascii="Arial" w:cs="Arial" w:eastAsia="Arial" w:hAnsi="Arial"/>
          <w:sz w:val="11"/>
          <w:szCs w:val="11"/>
          <w:b w:val="1"/>
          <w:bCs w:val="1"/>
          <w:color w:val="auto"/>
        </w:rPr>
        <w:t xml:space="preserve">Pricing Period </w:t>
      </w:r>
      <w:r>
        <w:rPr>
          <w:rFonts w:ascii="Arial" w:cs="Arial" w:eastAsia="Arial" w:hAnsi="Arial"/>
          <w:sz w:val="11"/>
          <w:szCs w:val="11"/>
          <w:color w:val="auto"/>
        </w:rPr>
        <w:t>means, in relation to an Advance under the Corporate Markets Loan Facility, the period having the duration selected in accordance with</w:t>
      </w:r>
      <w:r>
        <w:rPr>
          <w:rFonts w:ascii="Arial" w:cs="Arial" w:eastAsia="Arial" w:hAnsi="Arial"/>
          <w:sz w:val="11"/>
          <w:szCs w:val="11"/>
          <w:b w:val="1"/>
          <w:bCs w:val="1"/>
          <w:color w:val="auto"/>
        </w:rPr>
        <w:t xml:space="preserve"> clause 6.1 </w:t>
      </w:r>
      <w:r>
        <w:rPr>
          <w:rFonts w:ascii="Arial" w:cs="Arial" w:eastAsia="Arial" w:hAnsi="Arial"/>
          <w:sz w:val="11"/>
          <w:szCs w:val="11"/>
          <w:color w:val="auto"/>
        </w:rPr>
        <w:t>and</w:t>
      </w:r>
      <w:r>
        <w:rPr>
          <w:rFonts w:ascii="Arial" w:cs="Arial" w:eastAsia="Arial" w:hAnsi="Arial"/>
          <w:sz w:val="11"/>
          <w:szCs w:val="11"/>
          <w:b w:val="1"/>
          <w:bCs w:val="1"/>
          <w:color w:val="auto"/>
        </w:rPr>
        <w:t xml:space="preserve"> </w:t>
      </w:r>
      <w:r>
        <w:rPr>
          <w:rFonts w:ascii="Arial" w:cs="Arial" w:eastAsia="Arial" w:hAnsi="Arial"/>
          <w:sz w:val="11"/>
          <w:szCs w:val="11"/>
          <w:color w:val="auto"/>
        </w:rPr>
        <w:t>beginning on the Funding Date in relation to the Advance.</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Quarter </w:t>
      </w:r>
      <w:r>
        <w:rPr>
          <w:rFonts w:ascii="Arial" w:cs="Arial" w:eastAsia="Arial" w:hAnsi="Arial"/>
          <w:sz w:val="11"/>
          <w:szCs w:val="11"/>
          <w:color w:val="auto"/>
        </w:rPr>
        <w:t>means each three month period ending on 31 March, 30 June, 30 September and 31 December in each year.</w:t>
      </w:r>
    </w:p>
    <w:p>
      <w:pPr>
        <w:spacing w:after="0" w:line="47" w:lineRule="exact"/>
        <w:rPr>
          <w:sz w:val="20"/>
          <w:szCs w:val="20"/>
          <w:color w:val="auto"/>
        </w:rPr>
      </w:pPr>
    </w:p>
    <w:p>
      <w:pPr>
        <w:ind w:left="840" w:right="260"/>
        <w:spacing w:after="0" w:line="229" w:lineRule="auto"/>
        <w:rPr>
          <w:sz w:val="20"/>
          <w:szCs w:val="20"/>
          <w:color w:val="auto"/>
        </w:rPr>
      </w:pPr>
      <w:r>
        <w:rPr>
          <w:rFonts w:ascii="Arial" w:cs="Arial" w:eastAsia="Arial" w:hAnsi="Arial"/>
          <w:sz w:val="11"/>
          <w:szCs w:val="11"/>
          <w:b w:val="1"/>
          <w:bCs w:val="1"/>
          <w:color w:val="auto"/>
        </w:rPr>
        <w:t xml:space="preserve">Reading Entertainment Australia Group </w:t>
      </w:r>
      <w:r>
        <w:rPr>
          <w:rFonts w:ascii="Arial" w:cs="Arial" w:eastAsia="Arial" w:hAnsi="Arial"/>
          <w:sz w:val="11"/>
          <w:szCs w:val="11"/>
          <w:color w:val="auto"/>
        </w:rPr>
        <w:t>means, at any time, the Borrower and any subsidiary of the Borrower and</w:t>
      </w:r>
      <w:r>
        <w:rPr>
          <w:rFonts w:ascii="Arial" w:cs="Arial" w:eastAsia="Arial" w:hAnsi="Arial"/>
          <w:sz w:val="11"/>
          <w:szCs w:val="11"/>
          <w:b w:val="1"/>
          <w:bCs w:val="1"/>
          <w:color w:val="auto"/>
        </w:rPr>
        <w:t xml:space="preserve"> Reading Entertainment Australia Group Member </w:t>
      </w:r>
      <w:r>
        <w:rPr>
          <w:rFonts w:ascii="Arial" w:cs="Arial" w:eastAsia="Arial" w:hAnsi="Arial"/>
          <w:sz w:val="11"/>
          <w:szCs w:val="11"/>
          <w:color w:val="auto"/>
        </w:rPr>
        <w:t>means</w:t>
      </w:r>
      <w:r>
        <w:rPr>
          <w:rFonts w:ascii="Arial" w:cs="Arial" w:eastAsia="Arial" w:hAnsi="Arial"/>
          <w:sz w:val="11"/>
          <w:szCs w:val="11"/>
          <w:b w:val="1"/>
          <w:bCs w:val="1"/>
          <w:color w:val="auto"/>
        </w:rPr>
        <w:t xml:space="preserve"> </w:t>
      </w:r>
      <w:r>
        <w:rPr>
          <w:rFonts w:ascii="Arial" w:cs="Arial" w:eastAsia="Arial" w:hAnsi="Arial"/>
          <w:sz w:val="11"/>
          <w:szCs w:val="11"/>
          <w:color w:val="auto"/>
        </w:rPr>
        <w:t>any one of them.</w:t>
      </w:r>
    </w:p>
    <w:p>
      <w:pPr>
        <w:spacing w:after="0" w:line="3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Release Date </w:t>
      </w:r>
      <w:r>
        <w:rPr>
          <w:rFonts w:ascii="Arial" w:cs="Arial" w:eastAsia="Arial" w:hAnsi="Arial"/>
          <w:sz w:val="11"/>
          <w:szCs w:val="11"/>
          <w:color w:val="auto"/>
        </w:rPr>
        <w:t>means the Business Day following the later of:</w:t>
      </w:r>
    </w:p>
    <w:p>
      <w:pPr>
        <w:spacing w:after="0" w:line="66" w:lineRule="exact"/>
        <w:rPr>
          <w:sz w:val="20"/>
          <w:szCs w:val="20"/>
          <w:color w:val="auto"/>
        </w:rPr>
      </w:pPr>
    </w:p>
    <w:p>
      <w:pPr>
        <w:ind w:left="1100" w:hanging="270"/>
        <w:spacing w:after="0"/>
        <w:tabs>
          <w:tab w:leader="none" w:pos="1100" w:val="left"/>
        </w:tabs>
        <w:numPr>
          <w:ilvl w:val="0"/>
          <w:numId w:val="83"/>
        </w:numPr>
        <w:rPr>
          <w:rFonts w:ascii="Arial" w:cs="Arial" w:eastAsia="Arial" w:hAnsi="Arial"/>
          <w:sz w:val="11"/>
          <w:szCs w:val="11"/>
          <w:color w:val="auto"/>
        </w:rPr>
      </w:pPr>
      <w:r>
        <w:rPr>
          <w:rFonts w:ascii="Arial" w:cs="Arial" w:eastAsia="Arial" w:hAnsi="Arial"/>
          <w:sz w:val="11"/>
          <w:szCs w:val="11"/>
          <w:color w:val="auto"/>
        </w:rPr>
        <w:t>the latest of the Expiry Dates of all Current Bank Guarantees; and</w:t>
      </w:r>
    </w:p>
    <w:p>
      <w:pPr>
        <w:spacing w:after="0" w:line="68" w:lineRule="exact"/>
        <w:rPr>
          <w:rFonts w:ascii="Arial" w:cs="Arial" w:eastAsia="Arial" w:hAnsi="Arial"/>
          <w:sz w:val="11"/>
          <w:szCs w:val="11"/>
          <w:color w:val="auto"/>
        </w:rPr>
      </w:pPr>
    </w:p>
    <w:p>
      <w:pPr>
        <w:ind w:left="1100" w:right="240" w:hanging="270"/>
        <w:spacing w:after="0" w:line="242" w:lineRule="auto"/>
        <w:tabs>
          <w:tab w:leader="none" w:pos="1100" w:val="left"/>
        </w:tabs>
        <w:numPr>
          <w:ilvl w:val="0"/>
          <w:numId w:val="83"/>
        </w:numPr>
        <w:rPr>
          <w:rFonts w:ascii="Arial" w:cs="Arial" w:eastAsia="Arial" w:hAnsi="Arial"/>
          <w:sz w:val="11"/>
          <w:szCs w:val="11"/>
          <w:color w:val="auto"/>
        </w:rPr>
      </w:pPr>
      <w:r>
        <w:rPr>
          <w:rFonts w:ascii="Arial" w:cs="Arial" w:eastAsia="Arial" w:hAnsi="Arial"/>
          <w:sz w:val="11"/>
          <w:szCs w:val="11"/>
          <w:color w:val="auto"/>
        </w:rPr>
        <w:t>the date on which the Bank is satisfied in its reasonable opinion that it has been paid all amounts which are then or may in the future become due and payable to the Bank under any of the Transaction Documents and that there is no prospect that any amounts which the Bank has received in relation to any of the Transaction Documents will subsequently be made void or be required to be repaid in whole or in part.</w:t>
      </w:r>
    </w:p>
    <w:p>
      <w:pPr>
        <w:spacing w:after="0" w:line="24" w:lineRule="exact"/>
        <w:rPr>
          <w:sz w:val="20"/>
          <w:szCs w:val="20"/>
          <w:color w:val="auto"/>
        </w:rPr>
      </w:pPr>
    </w:p>
    <w:p>
      <w:pPr>
        <w:ind w:left="840" w:right="340"/>
        <w:spacing w:after="0" w:line="257" w:lineRule="auto"/>
        <w:rPr>
          <w:sz w:val="20"/>
          <w:szCs w:val="20"/>
          <w:color w:val="auto"/>
        </w:rPr>
      </w:pPr>
      <w:r>
        <w:rPr>
          <w:rFonts w:ascii="Arial" w:cs="Arial" w:eastAsia="Arial" w:hAnsi="Arial"/>
          <w:sz w:val="11"/>
          <w:szCs w:val="11"/>
          <w:b w:val="1"/>
          <w:bCs w:val="1"/>
          <w:color w:val="auto"/>
        </w:rPr>
        <w:t xml:space="preserve">Relevant Date </w:t>
      </w:r>
      <w:r>
        <w:rPr>
          <w:rFonts w:ascii="Arial" w:cs="Arial" w:eastAsia="Arial" w:hAnsi="Arial"/>
          <w:sz w:val="11"/>
          <w:szCs w:val="11"/>
          <w:u w:val="single" w:color="auto"/>
          <w:color w:val="2D96D2"/>
        </w:rPr>
        <w:t>means the date on which the Bank receives the Annual Compliance Certificate in accordance with</w:t>
      </w:r>
      <w:r>
        <w:rPr>
          <w:rFonts w:ascii="Arial" w:cs="Arial" w:eastAsia="Arial" w:hAnsi="Arial"/>
          <w:sz w:val="11"/>
          <w:szCs w:val="11"/>
          <w:b w:val="1"/>
          <w:bCs w:val="1"/>
          <w:color w:val="auto"/>
        </w:rPr>
        <w:t xml:space="preserve"> </w:t>
      </w:r>
      <w:r>
        <w:rPr>
          <w:rFonts w:ascii="Arial" w:cs="Arial" w:eastAsia="Arial" w:hAnsi="Arial"/>
          <w:sz w:val="11"/>
          <w:szCs w:val="11"/>
          <w:b w:val="1"/>
          <w:bCs w:val="1"/>
          <w:u w:val="single" w:color="auto"/>
          <w:color w:val="2D96D2"/>
        </w:rPr>
        <w:t>clause 9.5(b)</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for the Financial Year ending on 31</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December 2023.</w:t>
      </w:r>
      <w:r>
        <w:rPr>
          <w:rFonts w:ascii="Arial" w:cs="Arial" w:eastAsia="Arial" w:hAnsi="Arial"/>
          <w:sz w:val="11"/>
          <w:szCs w:val="11"/>
          <w:color w:val="B5082D"/>
          <w:strike w:val="1"/>
        </w:rPr>
        <w:t>means the date on which the Bank receives the Interim Compliance Certificate for the Quarter ending on 31 December 2021 in accordance with</w:t>
      </w:r>
      <w:r>
        <w:rPr>
          <w:rFonts w:ascii="Arial" w:cs="Arial" w:eastAsia="Arial" w:hAnsi="Arial"/>
          <w:sz w:val="11"/>
          <w:szCs w:val="11"/>
          <w:u w:val="single" w:color="auto"/>
          <w:color w:val="2D96D2"/>
        </w:rPr>
        <w:t xml:space="preserve"> </w:t>
      </w:r>
      <w:r>
        <w:rPr>
          <w:rFonts w:ascii="Arial" w:cs="Arial" w:eastAsia="Arial" w:hAnsi="Arial"/>
          <w:sz w:val="11"/>
          <w:szCs w:val="11"/>
          <w:b w:val="1"/>
          <w:bCs w:val="1"/>
          <w:color w:val="B5082D"/>
          <w:strike w:val="1"/>
        </w:rPr>
        <w:t>clause 9.5(c)</w:t>
      </w:r>
      <w:r>
        <w:rPr>
          <w:rFonts w:ascii="Arial" w:cs="Arial" w:eastAsia="Arial" w:hAnsi="Arial"/>
          <w:sz w:val="11"/>
          <w:szCs w:val="11"/>
          <w:color w:val="B5082D"/>
          <w:strike w:val="1"/>
        </w:rPr>
        <w:t>.</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Relevant Jurisdiction </w:t>
      </w:r>
      <w:r>
        <w:rPr>
          <w:rFonts w:ascii="Arial" w:cs="Arial" w:eastAsia="Arial" w:hAnsi="Arial"/>
          <w:sz w:val="11"/>
          <w:szCs w:val="11"/>
          <w:color w:val="auto"/>
        </w:rPr>
        <w:t>means Victoria.</w:t>
      </w:r>
    </w:p>
    <w:p>
      <w:pPr>
        <w:spacing w:after="0" w:line="52"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Relevant Period </w:t>
      </w:r>
      <w:r>
        <w:rPr>
          <w:rFonts w:ascii="Arial" w:cs="Arial" w:eastAsia="Arial" w:hAnsi="Arial"/>
          <w:sz w:val="11"/>
          <w:szCs w:val="11"/>
          <w:color w:val="auto"/>
        </w:rPr>
        <w:t>means the period from (and including) 31 August 2020 to (and including) the Relevant Date.</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B5082D"/>
          <w:strike w:val="1"/>
        </w:rPr>
        <w:t xml:space="preserve">Remaining Proceeds </w:t>
      </w:r>
      <w:r>
        <w:rPr>
          <w:rFonts w:ascii="Arial" w:cs="Arial" w:eastAsia="Arial" w:hAnsi="Arial"/>
          <w:sz w:val="11"/>
          <w:szCs w:val="11"/>
          <w:color w:val="B5082D"/>
          <w:strike w:val="1"/>
        </w:rPr>
        <w:t>means the Net Sale Proceeds less:</w:t>
      </w:r>
    </w:p>
    <w:p>
      <w:pPr>
        <w:spacing w:after="0" w:line="52" w:lineRule="exact"/>
        <w:rPr>
          <w:sz w:val="20"/>
          <w:szCs w:val="20"/>
          <w:color w:val="auto"/>
        </w:rPr>
      </w:pPr>
    </w:p>
    <w:p>
      <w:pPr>
        <w:ind w:left="840" w:right="3340"/>
        <w:spacing w:after="0" w:line="327" w:lineRule="auto"/>
        <w:rPr>
          <w:sz w:val="20"/>
          <w:szCs w:val="20"/>
          <w:color w:val="auto"/>
        </w:rPr>
      </w:pPr>
      <w:r>
        <w:rPr>
          <w:rFonts w:ascii="Arial" w:cs="Arial" w:eastAsia="Arial" w:hAnsi="Arial"/>
          <w:sz w:val="11"/>
          <w:szCs w:val="11"/>
          <w:color w:val="B5082D"/>
          <w:strike w:val="1"/>
        </w:rPr>
        <w:t xml:space="preserve">$20,000,000, being the prepayment amount made by the Borrower in accordance to </w:t>
      </w:r>
      <w:r>
        <w:rPr>
          <w:rFonts w:ascii="Arial" w:cs="Arial" w:eastAsia="Arial" w:hAnsi="Arial"/>
          <w:sz w:val="11"/>
          <w:szCs w:val="11"/>
          <w:b w:val="1"/>
          <w:bCs w:val="1"/>
          <w:color w:val="B5082D"/>
          <w:strike w:val="1"/>
        </w:rPr>
        <w:t>clause 5.4(b)</w:t>
      </w:r>
      <w:r>
        <w:rPr>
          <w:rFonts w:ascii="Arial" w:cs="Arial" w:eastAsia="Arial" w:hAnsi="Arial"/>
          <w:sz w:val="11"/>
          <w:szCs w:val="11"/>
          <w:color w:val="B5082D"/>
          <w:strike w:val="1"/>
        </w:rPr>
        <w:t xml:space="preserve">; and $15,000,000 and any other amounts retained by the Borrower in accordance with </w:t>
      </w:r>
      <w:r>
        <w:rPr>
          <w:rFonts w:ascii="Arial" w:cs="Arial" w:eastAsia="Arial" w:hAnsi="Arial"/>
          <w:sz w:val="11"/>
          <w:szCs w:val="11"/>
          <w:b w:val="1"/>
          <w:bCs w:val="1"/>
          <w:color w:val="B5082D"/>
          <w:strike w:val="1"/>
        </w:rPr>
        <w:t>clause 9.13</w:t>
      </w:r>
      <w:r>
        <w:rPr>
          <w:rFonts w:ascii="Arial" w:cs="Arial" w:eastAsia="Arial" w:hAnsi="Arial"/>
          <w:sz w:val="11"/>
          <w:szCs w:val="11"/>
          <w:color w:val="B5082D"/>
          <w:strike w:val="1"/>
        </w:rPr>
        <w:t>.</w:t>
      </w:r>
    </w:p>
    <w:p>
      <w:pPr>
        <w:ind w:left="840" w:right="280"/>
        <w:spacing w:after="0" w:line="268" w:lineRule="auto"/>
        <w:rPr>
          <w:sz w:val="20"/>
          <w:szCs w:val="20"/>
          <w:color w:val="auto"/>
        </w:rPr>
      </w:pPr>
      <w:r>
        <w:rPr>
          <w:rFonts w:ascii="Arial" w:cs="Arial" w:eastAsia="Arial" w:hAnsi="Arial"/>
          <w:sz w:val="11"/>
          <w:szCs w:val="11"/>
          <w:b w:val="1"/>
          <w:bCs w:val="1"/>
          <w:color w:val="auto"/>
        </w:rPr>
        <w:t xml:space="preserve">Receiver </w:t>
      </w:r>
      <w:r>
        <w:rPr>
          <w:rFonts w:ascii="Arial" w:cs="Arial" w:eastAsia="Arial" w:hAnsi="Arial"/>
          <w:sz w:val="11"/>
          <w:szCs w:val="11"/>
          <w:color w:val="auto"/>
        </w:rPr>
        <w:t>means a receiver or receiver and manager appointed by the Bank under any Transaction Document and any person who derives a right directly or indirectly</w:t>
      </w:r>
      <w:r>
        <w:rPr>
          <w:rFonts w:ascii="Arial" w:cs="Arial" w:eastAsia="Arial" w:hAnsi="Arial"/>
          <w:sz w:val="11"/>
          <w:szCs w:val="11"/>
          <w:b w:val="1"/>
          <w:bCs w:val="1"/>
          <w:color w:val="auto"/>
        </w:rPr>
        <w:t xml:space="preserve"> </w:t>
      </w:r>
      <w:r>
        <w:rPr>
          <w:rFonts w:ascii="Arial" w:cs="Arial" w:eastAsia="Arial" w:hAnsi="Arial"/>
          <w:sz w:val="11"/>
          <w:szCs w:val="11"/>
          <w:color w:val="auto"/>
        </w:rPr>
        <w:t>from a Receiver.</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1"/>
          <w:szCs w:val="11"/>
          <w:b w:val="1"/>
          <w:bCs w:val="1"/>
          <w:color w:val="auto"/>
        </w:rPr>
        <w:t xml:space="preserve">Reference Banks </w:t>
      </w:r>
      <w:r>
        <w:rPr>
          <w:rFonts w:ascii="Arial" w:cs="Arial" w:eastAsia="Arial" w:hAnsi="Arial"/>
          <w:sz w:val="11"/>
          <w:szCs w:val="11"/>
          <w:color w:val="auto"/>
        </w:rPr>
        <w:t>means each of Australia and New Zealand Banking Group Limited, Commonwealth Bank of Australia and Westpac Banking Corporation,</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19</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87" w:name="page88"/>
    <w:bookmarkEnd w:id="87"/>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or any other banks or financial institutions determined by the Bank from time to time following consultation with the Borrower.</w:t>
      </w:r>
    </w:p>
    <w:p>
      <w:pPr>
        <w:spacing w:after="0" w:line="5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Regulatory Event </w:t>
      </w:r>
      <w:r>
        <w:rPr>
          <w:rFonts w:ascii="Arial" w:cs="Arial" w:eastAsia="Arial" w:hAnsi="Arial"/>
          <w:sz w:val="11"/>
          <w:szCs w:val="11"/>
          <w:color w:val="auto"/>
        </w:rPr>
        <w:t>means any:</w:t>
      </w:r>
    </w:p>
    <w:p>
      <w:pPr>
        <w:spacing w:after="0" w:line="66" w:lineRule="exact"/>
        <w:rPr>
          <w:sz w:val="20"/>
          <w:szCs w:val="20"/>
          <w:color w:val="auto"/>
        </w:rPr>
      </w:pPr>
    </w:p>
    <w:p>
      <w:pPr>
        <w:ind w:left="1100" w:hanging="270"/>
        <w:spacing w:after="0"/>
        <w:tabs>
          <w:tab w:leader="none" w:pos="1100" w:val="left"/>
        </w:tabs>
        <w:numPr>
          <w:ilvl w:val="0"/>
          <w:numId w:val="84"/>
        </w:numPr>
        <w:rPr>
          <w:rFonts w:ascii="Arial" w:cs="Arial" w:eastAsia="Arial" w:hAnsi="Arial"/>
          <w:sz w:val="11"/>
          <w:szCs w:val="11"/>
          <w:color w:val="auto"/>
        </w:rPr>
      </w:pPr>
      <w:r>
        <w:rPr>
          <w:rFonts w:ascii="Arial" w:cs="Arial" w:eastAsia="Arial" w:hAnsi="Arial"/>
          <w:sz w:val="11"/>
          <w:szCs w:val="11"/>
          <w:color w:val="auto"/>
        </w:rPr>
        <w:t>change in, or introduction of a new, law or other form of regulation;</w:t>
      </w:r>
    </w:p>
    <w:p>
      <w:pPr>
        <w:spacing w:after="0" w:line="68" w:lineRule="exact"/>
        <w:rPr>
          <w:rFonts w:ascii="Arial" w:cs="Arial" w:eastAsia="Arial" w:hAnsi="Arial"/>
          <w:sz w:val="11"/>
          <w:szCs w:val="11"/>
          <w:color w:val="auto"/>
        </w:rPr>
      </w:pPr>
    </w:p>
    <w:p>
      <w:pPr>
        <w:ind w:left="1100" w:hanging="270"/>
        <w:spacing w:after="0"/>
        <w:tabs>
          <w:tab w:leader="none" w:pos="1100" w:val="left"/>
        </w:tabs>
        <w:numPr>
          <w:ilvl w:val="0"/>
          <w:numId w:val="84"/>
        </w:numPr>
        <w:rPr>
          <w:rFonts w:ascii="Arial" w:cs="Arial" w:eastAsia="Arial" w:hAnsi="Arial"/>
          <w:sz w:val="11"/>
          <w:szCs w:val="11"/>
          <w:color w:val="auto"/>
        </w:rPr>
      </w:pPr>
      <w:r>
        <w:rPr>
          <w:rFonts w:ascii="Arial" w:cs="Arial" w:eastAsia="Arial" w:hAnsi="Arial"/>
          <w:sz w:val="11"/>
          <w:szCs w:val="11"/>
          <w:color w:val="auto"/>
        </w:rPr>
        <w:t>change in, or introduction of a new, practice or policy of an Government Body;</w:t>
      </w:r>
    </w:p>
    <w:p>
      <w:pPr>
        <w:spacing w:after="0" w:line="46" w:lineRule="exact"/>
        <w:rPr>
          <w:rFonts w:ascii="Arial" w:cs="Arial" w:eastAsia="Arial" w:hAnsi="Arial"/>
          <w:sz w:val="11"/>
          <w:szCs w:val="11"/>
          <w:color w:val="auto"/>
        </w:rPr>
      </w:pPr>
    </w:p>
    <w:p>
      <w:pPr>
        <w:ind w:left="1100" w:hanging="270"/>
        <w:spacing w:after="0"/>
        <w:tabs>
          <w:tab w:leader="none" w:pos="1100" w:val="left"/>
        </w:tabs>
        <w:numPr>
          <w:ilvl w:val="0"/>
          <w:numId w:val="84"/>
        </w:numPr>
        <w:rPr>
          <w:rFonts w:ascii="Arial" w:cs="Arial" w:eastAsia="Arial" w:hAnsi="Arial"/>
          <w:sz w:val="11"/>
          <w:szCs w:val="11"/>
          <w:color w:val="auto"/>
        </w:rPr>
      </w:pPr>
      <w:r>
        <w:rPr>
          <w:rFonts w:ascii="Arial" w:cs="Arial" w:eastAsia="Arial" w:hAnsi="Arial"/>
          <w:sz w:val="11"/>
          <w:szCs w:val="11"/>
          <w:color w:val="auto"/>
        </w:rPr>
        <w:t>investigation into a Transaction Party or any related entity of a Transaction Party by a Government Body;</w:t>
      </w:r>
    </w:p>
    <w:p>
      <w:pPr>
        <w:spacing w:after="0" w:line="46" w:lineRule="exact"/>
        <w:rPr>
          <w:rFonts w:ascii="Arial" w:cs="Arial" w:eastAsia="Arial" w:hAnsi="Arial"/>
          <w:sz w:val="11"/>
          <w:szCs w:val="11"/>
          <w:color w:val="auto"/>
        </w:rPr>
      </w:pPr>
    </w:p>
    <w:p>
      <w:pPr>
        <w:ind w:left="1100" w:hanging="270"/>
        <w:spacing w:after="0"/>
        <w:tabs>
          <w:tab w:leader="none" w:pos="1100" w:val="left"/>
        </w:tabs>
        <w:numPr>
          <w:ilvl w:val="0"/>
          <w:numId w:val="84"/>
        </w:numPr>
        <w:rPr>
          <w:rFonts w:ascii="Arial" w:cs="Arial" w:eastAsia="Arial" w:hAnsi="Arial"/>
          <w:sz w:val="11"/>
          <w:szCs w:val="11"/>
          <w:color w:val="auto"/>
        </w:rPr>
      </w:pPr>
      <w:r>
        <w:rPr>
          <w:rFonts w:ascii="Arial" w:cs="Arial" w:eastAsia="Arial" w:hAnsi="Arial"/>
          <w:sz w:val="11"/>
          <w:szCs w:val="11"/>
          <w:color w:val="auto"/>
        </w:rPr>
        <w:t>application for or grant of an injunction or order in respect of any Encumbrance, Facility or account held with the Bank made by a Government Body, or</w:t>
      </w:r>
    </w:p>
    <w:p>
      <w:pPr>
        <w:spacing w:after="0" w:line="46" w:lineRule="exact"/>
        <w:rPr>
          <w:rFonts w:ascii="Arial" w:cs="Arial" w:eastAsia="Arial" w:hAnsi="Arial"/>
          <w:sz w:val="11"/>
          <w:szCs w:val="11"/>
          <w:color w:val="auto"/>
        </w:rPr>
      </w:pPr>
    </w:p>
    <w:p>
      <w:pPr>
        <w:ind w:left="1100" w:hanging="270"/>
        <w:spacing w:after="0"/>
        <w:tabs>
          <w:tab w:leader="none" w:pos="1100" w:val="left"/>
        </w:tabs>
        <w:numPr>
          <w:ilvl w:val="0"/>
          <w:numId w:val="84"/>
        </w:numPr>
        <w:rPr>
          <w:rFonts w:ascii="Arial" w:cs="Arial" w:eastAsia="Arial" w:hAnsi="Arial"/>
          <w:sz w:val="11"/>
          <w:szCs w:val="11"/>
          <w:color w:val="auto"/>
        </w:rPr>
      </w:pPr>
      <w:r>
        <w:rPr>
          <w:rFonts w:ascii="Arial" w:cs="Arial" w:eastAsia="Arial" w:hAnsi="Arial"/>
          <w:sz w:val="11"/>
          <w:szCs w:val="11"/>
          <w:color w:val="auto"/>
        </w:rPr>
        <w:t>change in, or introduction of a new, code of practice or custom relating to the provision of the Services which a reasonable and prudent banker would comply with,</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20</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88" w:name="page89"/>
    <w:bookmarkEnd w:id="88"/>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whether in Australia or elsewhere, that, in the Bank’s good faith opinion, applies in any way to a Transaction Party, or the Service.</w:t>
      </w:r>
    </w:p>
    <w:p>
      <w:pPr>
        <w:spacing w:after="0" w:line="4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Representative </w:t>
      </w:r>
      <w:r>
        <w:rPr>
          <w:rFonts w:ascii="Arial" w:cs="Arial" w:eastAsia="Arial" w:hAnsi="Arial"/>
          <w:sz w:val="11"/>
          <w:szCs w:val="11"/>
          <w:color w:val="auto"/>
        </w:rPr>
        <w:t>of a person means an officer, employee, contractor or agent of that person.</w:t>
      </w:r>
    </w:p>
    <w:p>
      <w:pPr>
        <w:spacing w:after="0" w:line="46" w:lineRule="exact"/>
        <w:rPr>
          <w:sz w:val="20"/>
          <w:szCs w:val="20"/>
          <w:color w:val="auto"/>
        </w:rPr>
      </w:pPr>
    </w:p>
    <w:p>
      <w:pPr>
        <w:ind w:left="840" w:right="520"/>
        <w:spacing w:after="0" w:line="277" w:lineRule="auto"/>
        <w:rPr>
          <w:sz w:val="20"/>
          <w:szCs w:val="20"/>
          <w:color w:val="auto"/>
        </w:rPr>
      </w:pPr>
      <w:r>
        <w:rPr>
          <w:rFonts w:ascii="Arial" w:cs="Arial" w:eastAsia="Arial" w:hAnsi="Arial"/>
          <w:sz w:val="11"/>
          <w:szCs w:val="11"/>
          <w:b w:val="1"/>
          <w:bCs w:val="1"/>
          <w:color w:val="auto"/>
        </w:rPr>
        <w:t xml:space="preserve">Reset Margin </w:t>
      </w:r>
      <w:r>
        <w:rPr>
          <w:rFonts w:ascii="Arial" w:cs="Arial" w:eastAsia="Arial" w:hAnsi="Arial"/>
          <w:sz w:val="11"/>
          <w:szCs w:val="11"/>
          <w:color w:val="auto"/>
        </w:rPr>
        <w:t>means the reset margin (if any) applicable if a Pricing Period is, or becomes, shorter than three months, as determined in accordance with</w:t>
      </w:r>
      <w:r>
        <w:rPr>
          <w:rFonts w:ascii="Arial" w:cs="Arial" w:eastAsia="Arial" w:hAnsi="Arial"/>
          <w:sz w:val="11"/>
          <w:szCs w:val="11"/>
          <w:b w:val="1"/>
          <w:bCs w:val="1"/>
          <w:color w:val="auto"/>
        </w:rPr>
        <w:t xml:space="preserve"> clause 6.6</w:t>
      </w:r>
      <w:r>
        <w:rPr>
          <w:rFonts w:ascii="Arial" w:cs="Arial" w:eastAsia="Arial" w:hAnsi="Arial"/>
          <w:sz w:val="11"/>
          <w:szCs w:val="11"/>
          <w:color w:val="auto"/>
        </w:rPr>
        <w:t>. It is 0.02% per annum (indicatively).</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Restatement Deed </w:t>
      </w:r>
      <w:r>
        <w:rPr>
          <w:rFonts w:ascii="Arial" w:cs="Arial" w:eastAsia="Arial" w:hAnsi="Arial"/>
          <w:sz w:val="11"/>
          <w:szCs w:val="11"/>
          <w:color w:val="auto"/>
        </w:rPr>
        <w:t>means the document entitled ‘Restatement Deed’ executed in December 2015 between the Bank and the Transaction Parties.</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Review Event </w:t>
      </w:r>
      <w:r>
        <w:rPr>
          <w:rFonts w:ascii="Arial" w:cs="Arial" w:eastAsia="Arial" w:hAnsi="Arial"/>
          <w:sz w:val="11"/>
          <w:szCs w:val="11"/>
          <w:color w:val="auto"/>
        </w:rPr>
        <w:t>means any event or circumstance described in</w:t>
      </w:r>
      <w:r>
        <w:rPr>
          <w:rFonts w:ascii="Arial" w:cs="Arial" w:eastAsia="Arial" w:hAnsi="Arial"/>
          <w:sz w:val="11"/>
          <w:szCs w:val="11"/>
          <w:b w:val="1"/>
          <w:bCs w:val="1"/>
          <w:color w:val="auto"/>
        </w:rPr>
        <w:t xml:space="preserve"> clause 10.4</w:t>
      </w:r>
      <w:r>
        <w:rPr>
          <w:rFonts w:ascii="Arial" w:cs="Arial" w:eastAsia="Arial" w:hAnsi="Arial"/>
          <w:sz w:val="11"/>
          <w:szCs w:val="11"/>
          <w:color w:val="auto"/>
        </w:rPr>
        <w:t>.</w:t>
      </w:r>
    </w:p>
    <w:p>
      <w:pPr>
        <w:spacing w:after="0" w:line="52" w:lineRule="exact"/>
        <w:rPr>
          <w:sz w:val="20"/>
          <w:szCs w:val="20"/>
          <w:color w:val="auto"/>
        </w:rPr>
      </w:pPr>
    </w:p>
    <w:p>
      <w:pPr>
        <w:ind w:left="840" w:right="1020"/>
        <w:spacing w:after="0" w:line="268" w:lineRule="auto"/>
        <w:rPr>
          <w:sz w:val="20"/>
          <w:szCs w:val="20"/>
          <w:color w:val="auto"/>
        </w:rPr>
      </w:pPr>
      <w:r>
        <w:rPr>
          <w:rFonts w:ascii="Arial" w:cs="Arial" w:eastAsia="Arial" w:hAnsi="Arial"/>
          <w:sz w:val="11"/>
          <w:szCs w:val="11"/>
          <w:b w:val="1"/>
          <w:bCs w:val="1"/>
          <w:color w:val="auto"/>
        </w:rPr>
        <w:t xml:space="preserve">Revolving Tranche </w:t>
      </w:r>
      <w:r>
        <w:rPr>
          <w:rFonts w:ascii="Arial" w:cs="Arial" w:eastAsia="Arial" w:hAnsi="Arial"/>
          <w:sz w:val="11"/>
          <w:szCs w:val="11"/>
          <w:color w:val="auto"/>
        </w:rPr>
        <w:t>means at any time, the aggregate of the unpaid Advances outstanding under the Corporate Markets Loan Facility at that time less</w:t>
      </w:r>
      <w:r>
        <w:rPr>
          <w:rFonts w:ascii="Arial" w:cs="Arial" w:eastAsia="Arial" w:hAnsi="Arial"/>
          <w:sz w:val="11"/>
          <w:szCs w:val="11"/>
          <w:b w:val="1"/>
          <w:bCs w:val="1"/>
          <w:color w:val="auto"/>
        </w:rPr>
        <w:t xml:space="preserve"> </w:t>
      </w:r>
      <w:r>
        <w:rPr>
          <w:rFonts w:ascii="Arial" w:cs="Arial" w:eastAsia="Arial" w:hAnsi="Arial"/>
          <w:sz w:val="11"/>
          <w:szCs w:val="11"/>
          <w:color w:val="auto"/>
        </w:rPr>
        <w:t>the Term Tranche at that time.</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Secured Property </w:t>
      </w:r>
      <w:r>
        <w:rPr>
          <w:rFonts w:ascii="Arial" w:cs="Arial" w:eastAsia="Arial" w:hAnsi="Arial"/>
          <w:sz w:val="11"/>
          <w:szCs w:val="11"/>
          <w:color w:val="auto"/>
        </w:rPr>
        <w:t>means all property which, from time to time, is subject to a Security which forms part of the Collateral Security.</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Security </w:t>
      </w:r>
      <w:r>
        <w:rPr>
          <w:rFonts w:ascii="Arial" w:cs="Arial" w:eastAsia="Arial" w:hAnsi="Arial"/>
          <w:sz w:val="11"/>
          <w:szCs w:val="11"/>
          <w:color w:val="auto"/>
        </w:rPr>
        <w:t>means any document or transaction which reserves or creates a Security Interest.</w:t>
      </w:r>
    </w:p>
    <w:p>
      <w:pPr>
        <w:spacing w:after="0" w:line="46" w:lineRule="exact"/>
        <w:rPr>
          <w:sz w:val="20"/>
          <w:szCs w:val="20"/>
          <w:color w:val="auto"/>
        </w:rPr>
      </w:pPr>
    </w:p>
    <w:p>
      <w:pPr>
        <w:ind w:left="840" w:right="260"/>
        <w:spacing w:after="0" w:line="268" w:lineRule="auto"/>
        <w:rPr>
          <w:sz w:val="20"/>
          <w:szCs w:val="20"/>
          <w:color w:val="auto"/>
        </w:rPr>
      </w:pPr>
      <w:r>
        <w:rPr>
          <w:rFonts w:ascii="Arial" w:cs="Arial" w:eastAsia="Arial" w:hAnsi="Arial"/>
          <w:sz w:val="11"/>
          <w:szCs w:val="11"/>
          <w:b w:val="1"/>
          <w:bCs w:val="1"/>
          <w:color w:val="auto"/>
        </w:rPr>
        <w:t xml:space="preserve">Security Interest </w:t>
      </w:r>
      <w:r>
        <w:rPr>
          <w:rFonts w:ascii="Arial" w:cs="Arial" w:eastAsia="Arial" w:hAnsi="Arial"/>
          <w:sz w:val="11"/>
          <w:szCs w:val="11"/>
          <w:color w:val="auto"/>
        </w:rPr>
        <w:t>means any interest or right which secures the payment of a debt or other monetary obligation or the compliance with any other obligation. It includes</w:t>
      </w:r>
      <w:r>
        <w:rPr>
          <w:rFonts w:ascii="Arial" w:cs="Arial" w:eastAsia="Arial" w:hAnsi="Arial"/>
          <w:sz w:val="11"/>
          <w:szCs w:val="11"/>
          <w:b w:val="1"/>
          <w:bCs w:val="1"/>
          <w:color w:val="auto"/>
        </w:rPr>
        <w:t xml:space="preserve"> </w:t>
      </w:r>
      <w:r>
        <w:rPr>
          <w:rFonts w:ascii="Arial" w:cs="Arial" w:eastAsia="Arial" w:hAnsi="Arial"/>
          <w:sz w:val="11"/>
          <w:szCs w:val="11"/>
          <w:color w:val="auto"/>
        </w:rPr>
        <w:t>any retention of title to any property and any right to set off or withhold payment of any deposit or other money.</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Security Provider </w:t>
      </w:r>
      <w:r>
        <w:rPr>
          <w:rFonts w:ascii="Arial" w:cs="Arial" w:eastAsia="Arial" w:hAnsi="Arial"/>
          <w:sz w:val="11"/>
          <w:szCs w:val="11"/>
          <w:color w:val="auto"/>
        </w:rPr>
        <w:t>means each person who gives a Collateral Security (other than a related body corporate of the Bank).</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Service </w:t>
      </w:r>
      <w:r>
        <w:rPr>
          <w:rFonts w:ascii="Arial" w:cs="Arial" w:eastAsia="Arial" w:hAnsi="Arial"/>
          <w:sz w:val="11"/>
          <w:szCs w:val="11"/>
          <w:color w:val="auto"/>
        </w:rPr>
        <w:t>means any service the Bank provides to the Borrower under or in relation to a Facility including making or processing any payment or issuing any document.</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Subordinated Debt </w:t>
      </w:r>
      <w:r>
        <w:rPr>
          <w:rFonts w:ascii="Arial" w:cs="Arial" w:eastAsia="Arial" w:hAnsi="Arial"/>
          <w:sz w:val="11"/>
          <w:szCs w:val="11"/>
          <w:color w:val="auto"/>
        </w:rPr>
        <w:t>means:</w:t>
      </w:r>
    </w:p>
    <w:p>
      <w:pPr>
        <w:spacing w:after="0" w:line="58" w:lineRule="exact"/>
        <w:rPr>
          <w:sz w:val="20"/>
          <w:szCs w:val="20"/>
          <w:color w:val="auto"/>
        </w:rPr>
      </w:pPr>
    </w:p>
    <w:p>
      <w:pPr>
        <w:ind w:left="1100" w:right="180" w:hanging="270"/>
        <w:spacing w:after="0" w:line="256" w:lineRule="auto"/>
        <w:tabs>
          <w:tab w:leader="none" w:pos="1100" w:val="left"/>
        </w:tabs>
        <w:numPr>
          <w:ilvl w:val="0"/>
          <w:numId w:val="85"/>
        </w:numPr>
        <w:rPr>
          <w:rFonts w:ascii="Arial" w:cs="Arial" w:eastAsia="Arial" w:hAnsi="Arial"/>
          <w:sz w:val="11"/>
          <w:szCs w:val="11"/>
          <w:color w:val="auto"/>
        </w:rPr>
      </w:pPr>
      <w:r>
        <w:rPr>
          <w:rFonts w:ascii="Arial" w:cs="Arial" w:eastAsia="Arial" w:hAnsi="Arial"/>
          <w:sz w:val="11"/>
          <w:szCs w:val="11"/>
          <w:color w:val="auto"/>
        </w:rPr>
        <w:t>Financial Indebtedness that is or may become owing by the Borrower to Reading International Cinemas, LLC, that is fully subordinated on the terms set out in the Parent Subordination Agreement; and</w:t>
      </w:r>
    </w:p>
    <w:p>
      <w:pPr>
        <w:spacing w:after="0" w:line="22" w:lineRule="exact"/>
        <w:rPr>
          <w:rFonts w:ascii="Arial" w:cs="Arial" w:eastAsia="Arial" w:hAnsi="Arial"/>
          <w:sz w:val="11"/>
          <w:szCs w:val="11"/>
          <w:color w:val="auto"/>
        </w:rPr>
      </w:pPr>
    </w:p>
    <w:p>
      <w:pPr>
        <w:jc w:val="both"/>
        <w:ind w:left="1100" w:right="1040" w:hanging="270"/>
        <w:spacing w:after="0" w:line="242" w:lineRule="auto"/>
        <w:tabs>
          <w:tab w:leader="none" w:pos="1100" w:val="left"/>
        </w:tabs>
        <w:numPr>
          <w:ilvl w:val="0"/>
          <w:numId w:val="85"/>
        </w:numPr>
        <w:rPr>
          <w:rFonts w:ascii="Arial" w:cs="Arial" w:eastAsia="Arial" w:hAnsi="Arial"/>
          <w:sz w:val="11"/>
          <w:szCs w:val="11"/>
          <w:color w:val="auto"/>
        </w:rPr>
      </w:pPr>
      <w:r>
        <w:rPr>
          <w:rFonts w:ascii="Arial" w:cs="Arial" w:eastAsia="Arial" w:hAnsi="Arial"/>
          <w:sz w:val="11"/>
          <w:szCs w:val="11"/>
          <w:color w:val="auto"/>
        </w:rPr>
        <w:t>Financial Indebtedness that is or may become owing by a Transaction Party to Reading International Inc (or any subsidiary or affiliate of Reading International Inc) that is fully subordinated on substantially the same terms (except for the name and other details of the subordinated lender) as those set out in the Parent Subordination Agreement.</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21</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89" w:name="page90"/>
    <w:bookmarkEnd w:id="89"/>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40" w:right="160"/>
        <w:spacing w:after="0" w:line="268" w:lineRule="auto"/>
        <w:rPr>
          <w:sz w:val="20"/>
          <w:szCs w:val="20"/>
          <w:color w:val="auto"/>
        </w:rPr>
      </w:pPr>
      <w:r>
        <w:rPr>
          <w:rFonts w:ascii="Arial" w:cs="Arial" w:eastAsia="Arial" w:hAnsi="Arial"/>
          <w:sz w:val="11"/>
          <w:szCs w:val="11"/>
          <w:b w:val="1"/>
          <w:bCs w:val="1"/>
          <w:color w:val="auto"/>
        </w:rPr>
        <w:t xml:space="preserve">Tax </w:t>
      </w:r>
      <w:r>
        <w:rPr>
          <w:rFonts w:ascii="Arial" w:cs="Arial" w:eastAsia="Arial" w:hAnsi="Arial"/>
          <w:sz w:val="11"/>
          <w:szCs w:val="11"/>
          <w:color w:val="auto"/>
        </w:rPr>
        <w:t>means a tax (including any tax in the nature of a goods and services tax), rate, levy, impost or duty (other than a tax on the net overall income of the Bank) and any</w:t>
      </w:r>
      <w:r>
        <w:rPr>
          <w:rFonts w:ascii="Arial" w:cs="Arial" w:eastAsia="Arial" w:hAnsi="Arial"/>
          <w:sz w:val="11"/>
          <w:szCs w:val="11"/>
          <w:b w:val="1"/>
          <w:bCs w:val="1"/>
          <w:color w:val="auto"/>
        </w:rPr>
        <w:t xml:space="preserve"> </w:t>
      </w:r>
      <w:r>
        <w:rPr>
          <w:rFonts w:ascii="Arial" w:cs="Arial" w:eastAsia="Arial" w:hAnsi="Arial"/>
          <w:sz w:val="11"/>
          <w:szCs w:val="11"/>
          <w:color w:val="auto"/>
        </w:rPr>
        <w:t>interest, penalty, fine or expense relating to any of them.</w:t>
      </w:r>
    </w:p>
    <w:p>
      <w:pPr>
        <w:spacing w:after="0" w:line="10" w:lineRule="exact"/>
        <w:rPr>
          <w:sz w:val="20"/>
          <w:szCs w:val="20"/>
          <w:color w:val="auto"/>
        </w:rPr>
      </w:pPr>
    </w:p>
    <w:p>
      <w:pPr>
        <w:ind w:left="840" w:right="400"/>
        <w:spacing w:after="0" w:line="277" w:lineRule="auto"/>
        <w:rPr>
          <w:sz w:val="20"/>
          <w:szCs w:val="20"/>
          <w:color w:val="auto"/>
        </w:rPr>
      </w:pPr>
      <w:r>
        <w:rPr>
          <w:rFonts w:ascii="Arial" w:cs="Arial" w:eastAsia="Arial" w:hAnsi="Arial"/>
          <w:sz w:val="11"/>
          <w:szCs w:val="11"/>
          <w:b w:val="1"/>
          <w:bCs w:val="1"/>
          <w:color w:val="auto"/>
        </w:rPr>
        <w:t xml:space="preserve">Term Tranche </w:t>
      </w:r>
      <w:r>
        <w:rPr>
          <w:rFonts w:ascii="Arial" w:cs="Arial" w:eastAsia="Arial" w:hAnsi="Arial"/>
          <w:sz w:val="11"/>
          <w:szCs w:val="11"/>
          <w:color w:val="auto"/>
        </w:rPr>
        <w:t>means the first $43,000,000 of the unpaid Advances outstanding under the Corporate Markets Loan Facility on the ‘Amendment Date’ as defined in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Amendment Deed, as that amount may be reduced from time to time in accordance with </w:t>
      </w:r>
      <w:r>
        <w:rPr>
          <w:rFonts w:ascii="Arial" w:cs="Arial" w:eastAsia="Arial" w:hAnsi="Arial"/>
          <w:sz w:val="11"/>
          <w:szCs w:val="11"/>
          <w:b w:val="1"/>
          <w:bCs w:val="1"/>
          <w:color w:val="auto"/>
        </w:rPr>
        <w:t>clause 5.6</w:t>
      </w:r>
      <w:r>
        <w:rPr>
          <w:rFonts w:ascii="Arial" w:cs="Arial" w:eastAsia="Arial" w:hAnsi="Arial"/>
          <w:sz w:val="11"/>
          <w:szCs w:val="11"/>
          <w:color w:val="auto"/>
        </w:rPr>
        <w:t>.</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Termination Date </w:t>
      </w:r>
      <w:r>
        <w:rPr>
          <w:rFonts w:ascii="Arial" w:cs="Arial" w:eastAsia="Arial" w:hAnsi="Arial"/>
          <w:sz w:val="11"/>
          <w:szCs w:val="11"/>
          <w:color w:val="auto"/>
        </w:rPr>
        <w:t>means, in respect of each Facility, the Termination Date set out in</w:t>
      </w:r>
      <w:r>
        <w:rPr>
          <w:rFonts w:ascii="Arial" w:cs="Arial" w:eastAsia="Arial" w:hAnsi="Arial"/>
          <w:sz w:val="11"/>
          <w:szCs w:val="11"/>
          <w:b w:val="1"/>
          <w:bCs w:val="1"/>
          <w:color w:val="auto"/>
        </w:rPr>
        <w:t xml:space="preserve"> schedule 2, </w:t>
      </w:r>
      <w:r>
        <w:rPr>
          <w:rFonts w:ascii="Arial" w:cs="Arial" w:eastAsia="Arial" w:hAnsi="Arial"/>
          <w:sz w:val="11"/>
          <w:szCs w:val="11"/>
          <w:color w:val="auto"/>
        </w:rPr>
        <w:t>or such other date agreed in writing by the parties.</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Total Gross Debt </w:t>
      </w:r>
      <w:r>
        <w:rPr>
          <w:rFonts w:ascii="Arial" w:cs="Arial" w:eastAsia="Arial" w:hAnsi="Arial"/>
          <w:sz w:val="11"/>
          <w:szCs w:val="11"/>
          <w:color w:val="auto"/>
        </w:rPr>
        <w:t>means, on any date, all Financial Indebtedness of the Reading Entertainment Australia Group, but excluding any Excluded Financial Indebtedness.</w:t>
      </w:r>
    </w:p>
    <w:p>
      <w:pPr>
        <w:spacing w:after="0" w:line="46" w:lineRule="exact"/>
        <w:rPr>
          <w:sz w:val="20"/>
          <w:szCs w:val="20"/>
          <w:color w:val="auto"/>
        </w:rPr>
      </w:pPr>
    </w:p>
    <w:p>
      <w:pPr>
        <w:ind w:left="840" w:right="260"/>
        <w:spacing w:after="0" w:line="268" w:lineRule="auto"/>
        <w:rPr>
          <w:sz w:val="20"/>
          <w:szCs w:val="20"/>
          <w:color w:val="auto"/>
        </w:rPr>
      </w:pPr>
      <w:r>
        <w:rPr>
          <w:rFonts w:ascii="Arial" w:cs="Arial" w:eastAsia="Arial" w:hAnsi="Arial"/>
          <w:sz w:val="11"/>
          <w:szCs w:val="11"/>
          <w:b w:val="1"/>
          <w:bCs w:val="1"/>
          <w:color w:val="auto"/>
        </w:rPr>
        <w:t xml:space="preserve">Total Lease Payments </w:t>
      </w:r>
      <w:r>
        <w:rPr>
          <w:rFonts w:ascii="Arial" w:cs="Arial" w:eastAsia="Arial" w:hAnsi="Arial"/>
          <w:sz w:val="11"/>
          <w:szCs w:val="11"/>
          <w:color w:val="auto"/>
        </w:rPr>
        <w:t>means the aggregate amount of all rental expenditure of the Reading Entertainment Australia Group, other than rental expenditure payable to</w:t>
      </w:r>
      <w:r>
        <w:rPr>
          <w:rFonts w:ascii="Arial" w:cs="Arial" w:eastAsia="Arial" w:hAnsi="Arial"/>
          <w:sz w:val="11"/>
          <w:szCs w:val="11"/>
          <w:b w:val="1"/>
          <w:bCs w:val="1"/>
          <w:color w:val="auto"/>
        </w:rPr>
        <w:t xml:space="preserve"> </w:t>
      </w:r>
      <w:r>
        <w:rPr>
          <w:rFonts w:ascii="Arial" w:cs="Arial" w:eastAsia="Arial" w:hAnsi="Arial"/>
          <w:sz w:val="11"/>
          <w:szCs w:val="11"/>
          <w:color w:val="auto"/>
        </w:rPr>
        <w:t>any Transaction Party, calculated in accordance with Accounting Standards, for that period.</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Transaction Documents </w:t>
      </w:r>
      <w:r>
        <w:rPr>
          <w:rFonts w:ascii="Arial" w:cs="Arial" w:eastAsia="Arial" w:hAnsi="Arial"/>
          <w:sz w:val="11"/>
          <w:szCs w:val="11"/>
          <w:color w:val="auto"/>
        </w:rPr>
        <w:t>means:</w:t>
      </w:r>
    </w:p>
    <w:p>
      <w:pPr>
        <w:spacing w:after="0" w:line="66" w:lineRule="exact"/>
        <w:rPr>
          <w:sz w:val="20"/>
          <w:szCs w:val="20"/>
          <w:color w:val="auto"/>
        </w:rPr>
      </w:pPr>
    </w:p>
    <w:p>
      <w:pPr>
        <w:ind w:left="1100" w:hanging="270"/>
        <w:spacing w:after="0"/>
        <w:tabs>
          <w:tab w:leader="none" w:pos="1100"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this document;</w:t>
      </w:r>
    </w:p>
    <w:p>
      <w:pPr>
        <w:spacing w:after="0" w:line="83" w:lineRule="exact"/>
        <w:rPr>
          <w:rFonts w:ascii="Arial" w:cs="Arial" w:eastAsia="Arial" w:hAnsi="Arial"/>
          <w:sz w:val="11"/>
          <w:szCs w:val="11"/>
          <w:color w:val="auto"/>
        </w:rPr>
      </w:pPr>
    </w:p>
    <w:p>
      <w:pPr>
        <w:ind w:left="1100" w:hanging="270"/>
        <w:spacing w:after="0"/>
        <w:tabs>
          <w:tab w:leader="none" w:pos="1100" w:val="left"/>
        </w:tabs>
        <w:numPr>
          <w:ilvl w:val="0"/>
          <w:numId w:val="86"/>
        </w:numPr>
        <w:rPr>
          <w:rFonts w:ascii="Arial" w:cs="Arial" w:eastAsia="Arial" w:hAnsi="Arial"/>
          <w:sz w:val="11"/>
          <w:szCs w:val="11"/>
          <w:color w:val="auto"/>
        </w:rPr>
      </w:pPr>
      <w:r>
        <w:rPr>
          <w:rFonts w:ascii="Arial" w:cs="Arial" w:eastAsia="Arial" w:hAnsi="Arial"/>
          <w:sz w:val="11"/>
          <w:szCs w:val="11"/>
          <w:color w:val="auto"/>
        </w:rPr>
        <w:t>not used;</w:t>
      </w:r>
    </w:p>
    <w:p>
      <w:pPr>
        <w:spacing w:after="0" w:line="76" w:lineRule="exact"/>
        <w:rPr>
          <w:rFonts w:ascii="Arial" w:cs="Arial" w:eastAsia="Arial" w:hAnsi="Arial"/>
          <w:sz w:val="11"/>
          <w:szCs w:val="11"/>
          <w:color w:val="auto"/>
        </w:rPr>
      </w:pPr>
    </w:p>
    <w:p>
      <w:pPr>
        <w:ind w:left="1100" w:hanging="270"/>
        <w:spacing w:after="0"/>
        <w:tabs>
          <w:tab w:leader="none" w:pos="1100" w:val="left"/>
        </w:tabs>
        <w:numPr>
          <w:ilvl w:val="0"/>
          <w:numId w:val="86"/>
        </w:numPr>
        <w:rPr>
          <w:rFonts w:ascii="Arial" w:cs="Arial" w:eastAsia="Arial" w:hAnsi="Arial"/>
          <w:sz w:val="11"/>
          <w:szCs w:val="11"/>
          <w:color w:val="auto"/>
        </w:rPr>
      </w:pPr>
      <w:r>
        <w:rPr>
          <w:rFonts w:ascii="Arial" w:cs="Arial" w:eastAsia="Arial" w:hAnsi="Arial"/>
          <w:sz w:val="11"/>
          <w:szCs w:val="11"/>
          <w:color w:val="auto"/>
        </w:rPr>
        <w:t>each Guarantor Accession Deed;</w:t>
      </w:r>
    </w:p>
    <w:p>
      <w:pPr>
        <w:spacing w:after="0" w:line="76" w:lineRule="exact"/>
        <w:rPr>
          <w:rFonts w:ascii="Arial" w:cs="Arial" w:eastAsia="Arial" w:hAnsi="Arial"/>
          <w:sz w:val="11"/>
          <w:szCs w:val="11"/>
          <w:color w:val="auto"/>
        </w:rPr>
      </w:pPr>
    </w:p>
    <w:p>
      <w:pPr>
        <w:ind w:left="1100" w:hanging="270"/>
        <w:spacing w:after="0"/>
        <w:tabs>
          <w:tab w:leader="none" w:pos="1100"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Collateral Security;</w:t>
      </w:r>
    </w:p>
    <w:p>
      <w:pPr>
        <w:spacing w:after="0" w:line="76" w:lineRule="exact"/>
        <w:rPr>
          <w:rFonts w:ascii="Arial" w:cs="Arial" w:eastAsia="Arial" w:hAnsi="Arial"/>
          <w:sz w:val="11"/>
          <w:szCs w:val="11"/>
          <w:color w:val="auto"/>
        </w:rPr>
      </w:pPr>
    </w:p>
    <w:p>
      <w:pPr>
        <w:ind w:left="1100" w:hanging="270"/>
        <w:spacing w:after="0"/>
        <w:tabs>
          <w:tab w:leader="none" w:pos="1100"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Parent Subordination Agreement;</w:t>
      </w:r>
    </w:p>
    <w:p>
      <w:pPr>
        <w:spacing w:after="0" w:line="68" w:lineRule="exact"/>
        <w:rPr>
          <w:rFonts w:ascii="Arial" w:cs="Arial" w:eastAsia="Arial" w:hAnsi="Arial"/>
          <w:sz w:val="11"/>
          <w:szCs w:val="11"/>
          <w:color w:val="auto"/>
        </w:rPr>
      </w:pPr>
    </w:p>
    <w:p>
      <w:pPr>
        <w:ind w:left="1100" w:hanging="270"/>
        <w:spacing w:after="0"/>
        <w:tabs>
          <w:tab w:leader="none" w:pos="1100"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ISDA Master Agreement dated 17 June 2011 between the Bank and the Borrower, as amended from time to time;</w:t>
      </w:r>
    </w:p>
    <w:p>
      <w:pPr>
        <w:spacing w:after="0" w:line="50" w:lineRule="exact"/>
        <w:rPr>
          <w:rFonts w:ascii="Arial" w:cs="Arial" w:eastAsia="Arial" w:hAnsi="Arial"/>
          <w:sz w:val="11"/>
          <w:szCs w:val="11"/>
          <w:color w:val="auto"/>
        </w:rPr>
      </w:pPr>
    </w:p>
    <w:p>
      <w:pPr>
        <w:ind w:left="1100" w:hanging="270"/>
        <w:spacing w:after="0"/>
        <w:tabs>
          <w:tab w:leader="none" w:pos="1100" w:val="left"/>
        </w:tabs>
        <w:numPr>
          <w:ilvl w:val="0"/>
          <w:numId w:val="86"/>
        </w:numPr>
        <w:rPr>
          <w:rFonts w:ascii="Arial" w:cs="Arial" w:eastAsia="Arial" w:hAnsi="Arial"/>
          <w:sz w:val="11"/>
          <w:szCs w:val="11"/>
          <w:color w:val="auto"/>
        </w:rPr>
      </w:pPr>
      <w:r>
        <w:rPr>
          <w:rFonts w:ascii="Arial" w:cs="Arial" w:eastAsia="Arial" w:hAnsi="Arial"/>
          <w:sz w:val="11"/>
          <w:szCs w:val="11"/>
          <w:color w:val="auto"/>
        </w:rPr>
        <w:t>each deed of consent referred to in item 12 (</w:t>
      </w:r>
      <w:r>
        <w:rPr>
          <w:rFonts w:ascii="Arial" w:cs="Arial" w:eastAsia="Arial" w:hAnsi="Arial"/>
          <w:sz w:val="11"/>
          <w:szCs w:val="11"/>
          <w:i w:val="1"/>
          <w:iCs w:val="1"/>
          <w:color w:val="auto"/>
        </w:rPr>
        <w:t>Deed of consent</w:t>
      </w:r>
      <w:r>
        <w:rPr>
          <w:rFonts w:ascii="Arial" w:cs="Arial" w:eastAsia="Arial" w:hAnsi="Arial"/>
          <w:sz w:val="11"/>
          <w:szCs w:val="11"/>
          <w:color w:val="auto"/>
        </w:rPr>
        <w:t>) of</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1"/>
          <w:szCs w:val="11"/>
          <w:b w:val="1"/>
          <w:bCs w:val="1"/>
          <w:color w:val="auto"/>
        </w:rPr>
        <w:t xml:space="preserve">schedule 3 </w:t>
      </w:r>
      <w:r>
        <w:rPr>
          <w:rFonts w:ascii="Arial" w:cs="Arial" w:eastAsia="Arial" w:hAnsi="Arial"/>
          <w:sz w:val="11"/>
          <w:szCs w:val="11"/>
          <w:color w:val="auto"/>
        </w:rPr>
        <w:t>upon it being executed by the relevant parties;</w:t>
      </w:r>
    </w:p>
    <w:p>
      <w:pPr>
        <w:spacing w:after="0" w:line="64" w:lineRule="exact"/>
        <w:rPr>
          <w:sz w:val="20"/>
          <w:szCs w:val="20"/>
          <w:color w:val="auto"/>
        </w:rPr>
      </w:pPr>
    </w:p>
    <w:p>
      <w:pPr>
        <w:ind w:left="1100" w:hanging="270"/>
        <w:spacing w:after="0"/>
        <w:tabs>
          <w:tab w:leader="none" w:pos="1100" w:val="left"/>
        </w:tabs>
        <w:numPr>
          <w:ilvl w:val="0"/>
          <w:numId w:val="87"/>
        </w:numPr>
        <w:rPr>
          <w:rFonts w:ascii="Arial" w:cs="Arial" w:eastAsia="Arial" w:hAnsi="Arial"/>
          <w:sz w:val="11"/>
          <w:szCs w:val="11"/>
          <w:color w:val="auto"/>
        </w:rPr>
      </w:pPr>
      <w:r>
        <w:rPr>
          <w:rFonts w:ascii="Arial" w:cs="Arial" w:eastAsia="Arial" w:hAnsi="Arial"/>
          <w:sz w:val="11"/>
          <w:szCs w:val="11"/>
          <w:color w:val="auto"/>
        </w:rPr>
        <w:t>any agreement relating to the priority of any Security which is a Collateral Security;</w:t>
      </w:r>
    </w:p>
    <w:p>
      <w:pPr>
        <w:spacing w:after="0" w:line="61" w:lineRule="exact"/>
        <w:rPr>
          <w:rFonts w:ascii="Arial" w:cs="Arial" w:eastAsia="Arial" w:hAnsi="Arial"/>
          <w:sz w:val="11"/>
          <w:szCs w:val="11"/>
          <w:color w:val="auto"/>
        </w:rPr>
      </w:pPr>
    </w:p>
    <w:p>
      <w:pPr>
        <w:ind w:left="1100" w:hanging="270"/>
        <w:spacing w:after="0"/>
        <w:tabs>
          <w:tab w:leader="none" w:pos="1100" w:val="left"/>
        </w:tabs>
        <w:numPr>
          <w:ilvl w:val="0"/>
          <w:numId w:val="87"/>
        </w:numPr>
        <w:rPr>
          <w:rFonts w:ascii="Arial" w:cs="Arial" w:eastAsia="Arial" w:hAnsi="Arial"/>
          <w:sz w:val="11"/>
          <w:szCs w:val="11"/>
          <w:color w:val="auto"/>
        </w:rPr>
      </w:pPr>
      <w:r>
        <w:rPr>
          <w:rFonts w:ascii="Arial" w:cs="Arial" w:eastAsia="Arial" w:hAnsi="Arial"/>
          <w:sz w:val="11"/>
          <w:szCs w:val="11"/>
          <w:color w:val="auto"/>
        </w:rPr>
        <w:t>the Merchant Services Agreement;</w:t>
      </w:r>
    </w:p>
    <w:p>
      <w:pPr>
        <w:spacing w:after="0" w:line="68" w:lineRule="exact"/>
        <w:rPr>
          <w:rFonts w:ascii="Arial" w:cs="Arial" w:eastAsia="Arial" w:hAnsi="Arial"/>
          <w:sz w:val="11"/>
          <w:szCs w:val="11"/>
          <w:color w:val="auto"/>
        </w:rPr>
      </w:pPr>
    </w:p>
    <w:p>
      <w:pPr>
        <w:ind w:left="1100" w:hanging="270"/>
        <w:spacing w:after="0"/>
        <w:tabs>
          <w:tab w:leader="none" w:pos="1100" w:val="left"/>
        </w:tabs>
        <w:numPr>
          <w:ilvl w:val="0"/>
          <w:numId w:val="87"/>
        </w:numPr>
        <w:rPr>
          <w:rFonts w:ascii="Arial" w:cs="Arial" w:eastAsia="Arial" w:hAnsi="Arial"/>
          <w:sz w:val="11"/>
          <w:szCs w:val="11"/>
          <w:color w:val="auto"/>
        </w:rPr>
      </w:pPr>
      <w:r>
        <w:rPr>
          <w:rFonts w:ascii="Arial" w:cs="Arial" w:eastAsia="Arial" w:hAnsi="Arial"/>
          <w:sz w:val="11"/>
          <w:szCs w:val="11"/>
          <w:color w:val="auto"/>
        </w:rPr>
        <w:t>any document which the Borrower and the Bank agree is a Transaction Document for the purposes of this document; and</w:t>
      </w:r>
    </w:p>
    <w:p>
      <w:pPr>
        <w:spacing w:after="0" w:line="46" w:lineRule="exact"/>
        <w:rPr>
          <w:rFonts w:ascii="Arial" w:cs="Arial" w:eastAsia="Arial" w:hAnsi="Arial"/>
          <w:sz w:val="11"/>
          <w:szCs w:val="11"/>
          <w:color w:val="auto"/>
        </w:rPr>
      </w:pPr>
    </w:p>
    <w:p>
      <w:pPr>
        <w:ind w:left="1100" w:hanging="270"/>
        <w:spacing w:after="0"/>
        <w:tabs>
          <w:tab w:leader="none" w:pos="1100" w:val="left"/>
        </w:tabs>
        <w:numPr>
          <w:ilvl w:val="0"/>
          <w:numId w:val="87"/>
        </w:numPr>
        <w:rPr>
          <w:rFonts w:ascii="Arial" w:cs="Arial" w:eastAsia="Arial" w:hAnsi="Arial"/>
          <w:sz w:val="11"/>
          <w:szCs w:val="11"/>
          <w:color w:val="auto"/>
        </w:rPr>
      </w:pPr>
      <w:r>
        <w:rPr>
          <w:rFonts w:ascii="Arial" w:cs="Arial" w:eastAsia="Arial" w:hAnsi="Arial"/>
          <w:sz w:val="11"/>
          <w:szCs w:val="11"/>
          <w:color w:val="auto"/>
        </w:rPr>
        <w:t>each document entered into for the purpose of amending, novating, restating or replacing any of them.</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22</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90" w:name="page91"/>
    <w:bookmarkEnd w:id="90"/>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Transaction Parties </w:t>
      </w:r>
      <w:r>
        <w:rPr>
          <w:rFonts w:ascii="Arial" w:cs="Arial" w:eastAsia="Arial" w:hAnsi="Arial"/>
          <w:sz w:val="11"/>
          <w:szCs w:val="11"/>
          <w:color w:val="auto"/>
        </w:rPr>
        <w:t>means the Borrower and each Guarantor.</w:t>
      </w:r>
    </w:p>
    <w:p>
      <w:pPr>
        <w:spacing w:after="0" w:line="52"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Trust </w:t>
      </w:r>
      <w:r>
        <w:rPr>
          <w:rFonts w:ascii="Arial" w:cs="Arial" w:eastAsia="Arial" w:hAnsi="Arial"/>
          <w:sz w:val="11"/>
          <w:szCs w:val="11"/>
          <w:color w:val="auto"/>
        </w:rPr>
        <w:t>means, in relation to any Transaction Party that enters into a Transaction Document in the capacity as trustee of a trust, the relevant trust.</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Trust Deed </w:t>
      </w:r>
      <w:r>
        <w:rPr>
          <w:rFonts w:ascii="Arial" w:cs="Arial" w:eastAsia="Arial" w:hAnsi="Arial"/>
          <w:sz w:val="11"/>
          <w:szCs w:val="11"/>
          <w:color w:val="auto"/>
        </w:rPr>
        <w:t>means, in relation to a Trust, the trust deed or other document which establishes or evidences that Trust.</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Trustee </w:t>
      </w:r>
      <w:r>
        <w:rPr>
          <w:rFonts w:ascii="Arial" w:cs="Arial" w:eastAsia="Arial" w:hAnsi="Arial"/>
          <w:sz w:val="11"/>
          <w:szCs w:val="11"/>
          <w:color w:val="auto"/>
        </w:rPr>
        <w:t>means a Transaction Party that enters into a Transaction Document acting as the trustee of a Trust.</w:t>
      </w:r>
    </w:p>
    <w:p>
      <w:pPr>
        <w:spacing w:after="0" w:line="46" w:lineRule="exact"/>
        <w:rPr>
          <w:sz w:val="20"/>
          <w:szCs w:val="20"/>
          <w:color w:val="auto"/>
        </w:rPr>
      </w:pPr>
    </w:p>
    <w:p>
      <w:pPr>
        <w:ind w:left="840" w:right="400"/>
        <w:spacing w:after="0" w:line="268" w:lineRule="auto"/>
        <w:rPr>
          <w:sz w:val="20"/>
          <w:szCs w:val="20"/>
          <w:color w:val="auto"/>
        </w:rPr>
      </w:pPr>
      <w:r>
        <w:rPr>
          <w:rFonts w:ascii="Arial" w:cs="Arial" w:eastAsia="Arial" w:hAnsi="Arial"/>
          <w:sz w:val="11"/>
          <w:szCs w:val="11"/>
          <w:b w:val="1"/>
          <w:bCs w:val="1"/>
          <w:color w:val="auto"/>
        </w:rPr>
        <w:t xml:space="preserve">Valuation </w:t>
      </w:r>
      <w:r>
        <w:rPr>
          <w:rFonts w:ascii="Arial" w:cs="Arial" w:eastAsia="Arial" w:hAnsi="Arial"/>
          <w:sz w:val="11"/>
          <w:szCs w:val="11"/>
          <w:color w:val="auto"/>
        </w:rPr>
        <w:t>means a valuation of the Freehold Properties or leasehold properties included in the Secured Property addressed to the Bank, by an Approved Valuer in</w:t>
      </w:r>
      <w:r>
        <w:rPr>
          <w:rFonts w:ascii="Arial" w:cs="Arial" w:eastAsia="Arial" w:hAnsi="Arial"/>
          <w:sz w:val="11"/>
          <w:szCs w:val="11"/>
          <w:b w:val="1"/>
          <w:bCs w:val="1"/>
          <w:color w:val="auto"/>
        </w:rPr>
        <w:t xml:space="preserve"> </w:t>
      </w:r>
      <w:r>
        <w:rPr>
          <w:rFonts w:ascii="Arial" w:cs="Arial" w:eastAsia="Arial" w:hAnsi="Arial"/>
          <w:sz w:val="11"/>
          <w:szCs w:val="11"/>
          <w:color w:val="auto"/>
        </w:rPr>
        <w:t>form and substance satisfactory to the Bank in all respects.</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Verification Certificate </w:t>
      </w:r>
      <w:r>
        <w:rPr>
          <w:rFonts w:ascii="Arial" w:cs="Arial" w:eastAsia="Arial" w:hAnsi="Arial"/>
          <w:sz w:val="11"/>
          <w:szCs w:val="11"/>
          <w:color w:val="auto"/>
        </w:rPr>
        <w:t>means a certificate in substantially the form set out in</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schedule 6</w:t>
      </w:r>
      <w:r>
        <w:rPr>
          <w:rFonts w:ascii="Arial" w:cs="Arial" w:eastAsia="Arial" w:hAnsi="Arial"/>
          <w:sz w:val="11"/>
          <w:szCs w:val="11"/>
          <w:color w:val="auto"/>
        </w:rPr>
        <w:t>.</w:t>
      </w:r>
    </w:p>
    <w:p>
      <w:pPr>
        <w:spacing w:after="0" w:line="9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2"/>
          <w:szCs w:val="12"/>
          <w:b w:val="1"/>
          <w:bCs w:val="1"/>
          <w:color w:val="auto"/>
        </w:rPr>
        <w:t>Construction</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1"/>
          <w:szCs w:val="11"/>
          <w:color w:val="auto"/>
        </w:rPr>
        <w:t>Unless expressed to the contrary, in this document:</w:t>
      </w:r>
    </w:p>
    <w:p>
      <w:pPr>
        <w:spacing w:after="0" w:line="76" w:lineRule="exact"/>
        <w:rPr>
          <w:sz w:val="20"/>
          <w:szCs w:val="20"/>
          <w:color w:val="auto"/>
        </w:rPr>
      </w:pPr>
    </w:p>
    <w:p>
      <w:pPr>
        <w:ind w:left="1080" w:hanging="280"/>
        <w:spacing w:after="0"/>
        <w:tabs>
          <w:tab w:leader="none" w:pos="1080" w:val="left"/>
        </w:tabs>
        <w:numPr>
          <w:ilvl w:val="0"/>
          <w:numId w:val="88"/>
        </w:numPr>
        <w:rPr>
          <w:rFonts w:ascii="Arial" w:cs="Arial" w:eastAsia="Arial" w:hAnsi="Arial"/>
          <w:sz w:val="11"/>
          <w:szCs w:val="11"/>
          <w:color w:val="auto"/>
        </w:rPr>
      </w:pPr>
      <w:r>
        <w:rPr>
          <w:rFonts w:ascii="Arial" w:cs="Arial" w:eastAsia="Arial" w:hAnsi="Arial"/>
          <w:sz w:val="11"/>
          <w:szCs w:val="11"/>
          <w:color w:val="auto"/>
        </w:rPr>
        <w:t>words in the singular include the plural and vice versa;</w:t>
      </w:r>
    </w:p>
    <w:p>
      <w:pPr>
        <w:spacing w:after="0" w:line="76" w:lineRule="exact"/>
        <w:rPr>
          <w:rFonts w:ascii="Arial" w:cs="Arial" w:eastAsia="Arial" w:hAnsi="Arial"/>
          <w:sz w:val="11"/>
          <w:szCs w:val="11"/>
          <w:color w:val="auto"/>
        </w:rPr>
      </w:pPr>
    </w:p>
    <w:p>
      <w:pPr>
        <w:ind w:left="1080" w:hanging="280"/>
        <w:spacing w:after="0"/>
        <w:tabs>
          <w:tab w:leader="none" w:pos="1080" w:val="left"/>
        </w:tabs>
        <w:numPr>
          <w:ilvl w:val="0"/>
          <w:numId w:val="88"/>
        </w:numPr>
        <w:rPr>
          <w:rFonts w:ascii="Arial" w:cs="Arial" w:eastAsia="Arial" w:hAnsi="Arial"/>
          <w:sz w:val="11"/>
          <w:szCs w:val="11"/>
          <w:color w:val="auto"/>
        </w:rPr>
      </w:pPr>
      <w:r>
        <w:rPr>
          <w:rFonts w:ascii="Arial" w:cs="Arial" w:eastAsia="Arial" w:hAnsi="Arial"/>
          <w:sz w:val="11"/>
          <w:szCs w:val="11"/>
          <w:color w:val="auto"/>
        </w:rPr>
        <w:t>any gender includes the other genders;</w:t>
      </w:r>
    </w:p>
    <w:p>
      <w:pPr>
        <w:spacing w:after="0" w:line="68" w:lineRule="exact"/>
        <w:rPr>
          <w:rFonts w:ascii="Arial" w:cs="Arial" w:eastAsia="Arial" w:hAnsi="Arial"/>
          <w:sz w:val="11"/>
          <w:szCs w:val="11"/>
          <w:color w:val="auto"/>
        </w:rPr>
      </w:pPr>
    </w:p>
    <w:p>
      <w:pPr>
        <w:ind w:left="1080" w:hanging="280"/>
        <w:spacing w:after="0"/>
        <w:tabs>
          <w:tab w:leader="none" w:pos="1080" w:val="left"/>
        </w:tabs>
        <w:numPr>
          <w:ilvl w:val="0"/>
          <w:numId w:val="88"/>
        </w:numPr>
        <w:rPr>
          <w:rFonts w:ascii="Arial" w:cs="Arial" w:eastAsia="Arial" w:hAnsi="Arial"/>
          <w:sz w:val="11"/>
          <w:szCs w:val="11"/>
          <w:color w:val="auto"/>
        </w:rPr>
      </w:pPr>
      <w:r>
        <w:rPr>
          <w:rFonts w:ascii="Arial" w:cs="Arial" w:eastAsia="Arial" w:hAnsi="Arial"/>
          <w:sz w:val="11"/>
          <w:szCs w:val="11"/>
          <w:color w:val="auto"/>
        </w:rPr>
        <w:t>if a word or phrase is defined its other grammatical forms have corresponding meanings;</w:t>
      </w:r>
    </w:p>
    <w:p>
      <w:pPr>
        <w:spacing w:after="0" w:line="61" w:lineRule="exact"/>
        <w:rPr>
          <w:rFonts w:ascii="Arial" w:cs="Arial" w:eastAsia="Arial" w:hAnsi="Arial"/>
          <w:sz w:val="11"/>
          <w:szCs w:val="11"/>
          <w:color w:val="auto"/>
        </w:rPr>
      </w:pPr>
    </w:p>
    <w:p>
      <w:pPr>
        <w:ind w:left="1080" w:hanging="280"/>
        <w:spacing w:after="0"/>
        <w:tabs>
          <w:tab w:leader="none" w:pos="1080" w:val="left"/>
        </w:tabs>
        <w:numPr>
          <w:ilvl w:val="0"/>
          <w:numId w:val="88"/>
        </w:numPr>
        <w:rPr>
          <w:rFonts w:ascii="Arial" w:cs="Arial" w:eastAsia="Arial" w:hAnsi="Arial"/>
          <w:sz w:val="11"/>
          <w:szCs w:val="11"/>
          <w:color w:val="auto"/>
        </w:rPr>
      </w:pPr>
      <w:r>
        <w:rPr>
          <w:rFonts w:ascii="Arial" w:cs="Arial" w:eastAsia="Arial" w:hAnsi="Arial"/>
          <w:sz w:val="11"/>
          <w:szCs w:val="11"/>
          <w:color w:val="auto"/>
        </w:rPr>
        <w:t>“includes” means includes without limitation;</w:t>
      </w:r>
    </w:p>
    <w:p>
      <w:pPr>
        <w:spacing w:after="0" w:line="68" w:lineRule="exact"/>
        <w:rPr>
          <w:rFonts w:ascii="Arial" w:cs="Arial" w:eastAsia="Arial" w:hAnsi="Arial"/>
          <w:sz w:val="11"/>
          <w:szCs w:val="11"/>
          <w:color w:val="auto"/>
        </w:rPr>
      </w:pPr>
    </w:p>
    <w:p>
      <w:pPr>
        <w:ind w:left="1080" w:right="2080" w:hanging="280"/>
        <w:spacing w:after="0" w:line="256" w:lineRule="auto"/>
        <w:tabs>
          <w:tab w:leader="none" w:pos="1080" w:val="left"/>
        </w:tabs>
        <w:numPr>
          <w:ilvl w:val="0"/>
          <w:numId w:val="88"/>
        </w:numPr>
        <w:rPr>
          <w:rFonts w:ascii="Arial" w:cs="Arial" w:eastAsia="Arial" w:hAnsi="Arial"/>
          <w:sz w:val="11"/>
          <w:szCs w:val="11"/>
          <w:color w:val="auto"/>
        </w:rPr>
      </w:pPr>
      <w:r>
        <w:rPr>
          <w:rFonts w:ascii="Arial" w:cs="Arial" w:eastAsia="Arial" w:hAnsi="Arial"/>
          <w:sz w:val="11"/>
          <w:szCs w:val="11"/>
          <w:color w:val="auto"/>
        </w:rPr>
        <w:t>no rule of construction will apply to a clause to the disadvantage of a party merely because that party put forward the clause or would otherwise benefit from it; and</w:t>
      </w:r>
    </w:p>
    <w:p>
      <w:pPr>
        <w:spacing w:after="0" w:line="37" w:lineRule="exact"/>
        <w:rPr>
          <w:rFonts w:ascii="Arial" w:cs="Arial" w:eastAsia="Arial" w:hAnsi="Arial"/>
          <w:sz w:val="11"/>
          <w:szCs w:val="11"/>
          <w:color w:val="auto"/>
        </w:rPr>
      </w:pPr>
    </w:p>
    <w:p>
      <w:pPr>
        <w:ind w:left="1080" w:hanging="280"/>
        <w:spacing w:after="0"/>
        <w:tabs>
          <w:tab w:leader="none" w:pos="1080" w:val="left"/>
        </w:tabs>
        <w:numPr>
          <w:ilvl w:val="0"/>
          <w:numId w:val="88"/>
        </w:numPr>
        <w:rPr>
          <w:rFonts w:ascii="Arial" w:cs="Arial" w:eastAsia="Arial" w:hAnsi="Arial"/>
          <w:sz w:val="11"/>
          <w:szCs w:val="11"/>
          <w:color w:val="auto"/>
        </w:rPr>
      </w:pPr>
      <w:r>
        <w:rPr>
          <w:rFonts w:ascii="Arial" w:cs="Arial" w:eastAsia="Arial" w:hAnsi="Arial"/>
          <w:sz w:val="11"/>
          <w:szCs w:val="11"/>
          <w:color w:val="auto"/>
        </w:rPr>
        <w:t>a reference to:</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88"/>
        </w:numPr>
        <w:rPr>
          <w:rFonts w:ascii="Arial" w:cs="Arial" w:eastAsia="Arial" w:hAnsi="Arial"/>
          <w:sz w:val="11"/>
          <w:szCs w:val="11"/>
          <w:color w:val="auto"/>
        </w:rPr>
      </w:pPr>
      <w:r>
        <w:rPr>
          <w:rFonts w:ascii="Arial" w:cs="Arial" w:eastAsia="Arial" w:hAnsi="Arial"/>
          <w:sz w:val="11"/>
          <w:szCs w:val="11"/>
          <w:color w:val="auto"/>
        </w:rPr>
        <w:t>a person includes a partnership, joint venture, unincorporated association, corporation and a government or statutory body or authority;</w:t>
      </w:r>
    </w:p>
    <w:p>
      <w:pPr>
        <w:spacing w:after="0" w:line="53" w:lineRule="exact"/>
        <w:rPr>
          <w:rFonts w:ascii="Arial" w:cs="Arial" w:eastAsia="Arial" w:hAnsi="Arial"/>
          <w:sz w:val="11"/>
          <w:szCs w:val="11"/>
          <w:color w:val="auto"/>
        </w:rPr>
      </w:pPr>
    </w:p>
    <w:p>
      <w:pPr>
        <w:ind w:left="1400" w:hanging="285"/>
        <w:spacing w:after="0"/>
        <w:tabs>
          <w:tab w:leader="none" w:pos="1400" w:val="left"/>
        </w:tabs>
        <w:numPr>
          <w:ilvl w:val="1"/>
          <w:numId w:val="88"/>
        </w:numPr>
        <w:rPr>
          <w:rFonts w:ascii="Arial" w:cs="Arial" w:eastAsia="Arial" w:hAnsi="Arial"/>
          <w:sz w:val="11"/>
          <w:szCs w:val="11"/>
          <w:color w:val="auto"/>
        </w:rPr>
      </w:pPr>
      <w:r>
        <w:rPr>
          <w:rFonts w:ascii="Arial" w:cs="Arial" w:eastAsia="Arial" w:hAnsi="Arial"/>
          <w:sz w:val="11"/>
          <w:szCs w:val="11"/>
          <w:color w:val="auto"/>
        </w:rPr>
        <w:t>a person includes the person’s legal personal representatives, successors, assigns and persons substituted by novation;</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88"/>
        </w:numPr>
        <w:rPr>
          <w:rFonts w:ascii="Arial" w:cs="Arial" w:eastAsia="Arial" w:hAnsi="Arial"/>
          <w:sz w:val="11"/>
          <w:szCs w:val="11"/>
          <w:color w:val="auto"/>
        </w:rPr>
      </w:pPr>
      <w:r>
        <w:rPr>
          <w:rFonts w:ascii="Arial" w:cs="Arial" w:eastAsia="Arial" w:hAnsi="Arial"/>
          <w:sz w:val="11"/>
          <w:szCs w:val="11"/>
          <w:color w:val="auto"/>
        </w:rPr>
        <w:t>any legislation includes subordinate legislation under it and includes that legislation and subordinate legislation as modified or replaced;</w:t>
      </w:r>
    </w:p>
    <w:p>
      <w:pPr>
        <w:spacing w:after="0" w:line="46" w:lineRule="exact"/>
        <w:rPr>
          <w:rFonts w:ascii="Arial" w:cs="Arial" w:eastAsia="Arial" w:hAnsi="Arial"/>
          <w:sz w:val="11"/>
          <w:szCs w:val="11"/>
          <w:color w:val="auto"/>
        </w:rPr>
      </w:pPr>
    </w:p>
    <w:p>
      <w:pPr>
        <w:ind w:left="1400" w:right="720" w:hanging="285"/>
        <w:spacing w:after="0" w:line="256" w:lineRule="auto"/>
        <w:tabs>
          <w:tab w:leader="none" w:pos="1400" w:val="left"/>
        </w:tabs>
        <w:numPr>
          <w:ilvl w:val="1"/>
          <w:numId w:val="88"/>
        </w:numPr>
        <w:rPr>
          <w:rFonts w:ascii="Arial" w:cs="Arial" w:eastAsia="Arial" w:hAnsi="Arial"/>
          <w:sz w:val="11"/>
          <w:szCs w:val="11"/>
          <w:color w:val="auto"/>
        </w:rPr>
      </w:pPr>
      <w:r>
        <w:rPr>
          <w:rFonts w:ascii="Arial" w:cs="Arial" w:eastAsia="Arial" w:hAnsi="Arial"/>
          <w:sz w:val="11"/>
          <w:szCs w:val="11"/>
          <w:color w:val="auto"/>
        </w:rPr>
        <w:t>an obligation includes a representation or warranty and a reference to a failure to comply with an obligation includes a breach of representation or warranty;</w:t>
      </w:r>
    </w:p>
    <w:p>
      <w:pPr>
        <w:spacing w:after="0" w:line="37" w:lineRule="exact"/>
        <w:rPr>
          <w:rFonts w:ascii="Arial" w:cs="Arial" w:eastAsia="Arial" w:hAnsi="Arial"/>
          <w:sz w:val="11"/>
          <w:szCs w:val="11"/>
          <w:color w:val="auto"/>
        </w:rPr>
      </w:pPr>
    </w:p>
    <w:p>
      <w:pPr>
        <w:ind w:left="1400" w:hanging="285"/>
        <w:spacing w:after="0"/>
        <w:tabs>
          <w:tab w:leader="none" w:pos="1400" w:val="left"/>
        </w:tabs>
        <w:numPr>
          <w:ilvl w:val="1"/>
          <w:numId w:val="88"/>
        </w:numPr>
        <w:rPr>
          <w:rFonts w:ascii="Arial" w:cs="Arial" w:eastAsia="Arial" w:hAnsi="Arial"/>
          <w:sz w:val="11"/>
          <w:szCs w:val="11"/>
          <w:color w:val="auto"/>
        </w:rPr>
      </w:pPr>
      <w:r>
        <w:rPr>
          <w:rFonts w:ascii="Arial" w:cs="Arial" w:eastAsia="Arial" w:hAnsi="Arial"/>
          <w:sz w:val="11"/>
          <w:szCs w:val="11"/>
          <w:color w:val="auto"/>
        </w:rPr>
        <w:t>a right includes a benefit, remedy, discretion or power;</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88"/>
        </w:numPr>
        <w:rPr>
          <w:rFonts w:ascii="Arial" w:cs="Arial" w:eastAsia="Arial" w:hAnsi="Arial"/>
          <w:sz w:val="11"/>
          <w:szCs w:val="11"/>
          <w:color w:val="auto"/>
        </w:rPr>
      </w:pPr>
      <w:r>
        <w:rPr>
          <w:rFonts w:ascii="Arial" w:cs="Arial" w:eastAsia="Arial" w:hAnsi="Arial"/>
          <w:sz w:val="11"/>
          <w:szCs w:val="11"/>
          <w:color w:val="auto"/>
        </w:rPr>
        <w:t>time is to local time in Melbourne;</w:t>
      </w:r>
    </w:p>
    <w:p>
      <w:pPr>
        <w:spacing w:after="0" w:line="83" w:lineRule="exact"/>
        <w:rPr>
          <w:rFonts w:ascii="Arial" w:cs="Arial" w:eastAsia="Arial" w:hAnsi="Arial"/>
          <w:sz w:val="11"/>
          <w:szCs w:val="11"/>
          <w:color w:val="auto"/>
        </w:rPr>
      </w:pPr>
    </w:p>
    <w:p>
      <w:pPr>
        <w:ind w:left="1400" w:hanging="285"/>
        <w:spacing w:after="0"/>
        <w:tabs>
          <w:tab w:leader="none" w:pos="1400" w:val="left"/>
        </w:tabs>
        <w:numPr>
          <w:ilvl w:val="1"/>
          <w:numId w:val="88"/>
        </w:numPr>
        <w:rPr>
          <w:rFonts w:ascii="Arial" w:cs="Arial" w:eastAsia="Arial" w:hAnsi="Arial"/>
          <w:sz w:val="11"/>
          <w:szCs w:val="11"/>
          <w:color w:val="auto"/>
        </w:rPr>
      </w:pPr>
      <w:r>
        <w:rPr>
          <w:rFonts w:ascii="Arial" w:cs="Arial" w:eastAsia="Arial" w:hAnsi="Arial"/>
          <w:sz w:val="11"/>
          <w:szCs w:val="11"/>
          <w:color w:val="auto"/>
        </w:rPr>
        <w:t>“$” or “dollars” is a reference to Australian currency;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23</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91" w:name="page92"/>
    <w:bookmarkEnd w:id="91"/>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0" w:hanging="285"/>
        <w:spacing w:after="0"/>
        <w:tabs>
          <w:tab w:leader="none" w:pos="1400" w:val="left"/>
        </w:tabs>
        <w:numPr>
          <w:ilvl w:val="0"/>
          <w:numId w:val="89"/>
        </w:numPr>
        <w:rPr>
          <w:rFonts w:ascii="Arial" w:cs="Arial" w:eastAsia="Arial" w:hAnsi="Arial"/>
          <w:sz w:val="11"/>
          <w:szCs w:val="11"/>
          <w:color w:val="auto"/>
        </w:rPr>
      </w:pPr>
      <w:r>
        <w:rPr>
          <w:rFonts w:ascii="Arial" w:cs="Arial" w:eastAsia="Arial" w:hAnsi="Arial"/>
          <w:sz w:val="11"/>
          <w:szCs w:val="11"/>
          <w:color w:val="auto"/>
        </w:rPr>
        <w:t>this or any other document includes the document as novated, varied or replaced and despite any change in the identity of the parties;</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0"/>
          <w:numId w:val="89"/>
        </w:numPr>
        <w:rPr>
          <w:rFonts w:ascii="Arial" w:cs="Arial" w:eastAsia="Arial" w:hAnsi="Arial"/>
          <w:sz w:val="11"/>
          <w:szCs w:val="11"/>
          <w:color w:val="auto"/>
        </w:rPr>
      </w:pPr>
      <w:r>
        <w:rPr>
          <w:rFonts w:ascii="Arial" w:cs="Arial" w:eastAsia="Arial" w:hAnsi="Arial"/>
          <w:sz w:val="11"/>
          <w:szCs w:val="11"/>
          <w:color w:val="auto"/>
        </w:rPr>
        <w:t>writing includes any mode of representing or reproducing words in tangible and permanently visible form, and includes fax transmissions;</w:t>
      </w:r>
    </w:p>
    <w:p>
      <w:pPr>
        <w:spacing w:after="0" w:line="46" w:lineRule="exact"/>
        <w:rPr>
          <w:rFonts w:ascii="Arial" w:cs="Arial" w:eastAsia="Arial" w:hAnsi="Arial"/>
          <w:sz w:val="11"/>
          <w:szCs w:val="11"/>
          <w:color w:val="auto"/>
        </w:rPr>
      </w:pPr>
    </w:p>
    <w:p>
      <w:pPr>
        <w:ind w:left="1400" w:right="160" w:hanging="285"/>
        <w:spacing w:after="0" w:line="256" w:lineRule="auto"/>
        <w:tabs>
          <w:tab w:leader="none" w:pos="1400" w:val="left"/>
        </w:tabs>
        <w:numPr>
          <w:ilvl w:val="0"/>
          <w:numId w:val="89"/>
        </w:numPr>
        <w:rPr>
          <w:rFonts w:ascii="Arial" w:cs="Arial" w:eastAsia="Arial" w:hAnsi="Arial"/>
          <w:sz w:val="11"/>
          <w:szCs w:val="11"/>
          <w:color w:val="auto"/>
        </w:rPr>
      </w:pPr>
      <w:r>
        <w:rPr>
          <w:rFonts w:ascii="Arial" w:cs="Arial" w:eastAsia="Arial" w:hAnsi="Arial"/>
          <w:sz w:val="11"/>
          <w:szCs w:val="11"/>
          <w:color w:val="auto"/>
        </w:rPr>
        <w:t>any thing (including any amount) is a reference to the whole or any part of it and a reference to a group of things or persons is a reference to any one or more of them;</w:t>
      </w:r>
    </w:p>
    <w:p>
      <w:pPr>
        <w:spacing w:after="0" w:line="30" w:lineRule="exact"/>
        <w:rPr>
          <w:rFonts w:ascii="Arial" w:cs="Arial" w:eastAsia="Arial" w:hAnsi="Arial"/>
          <w:sz w:val="11"/>
          <w:szCs w:val="11"/>
          <w:color w:val="auto"/>
        </w:rPr>
      </w:pPr>
    </w:p>
    <w:p>
      <w:pPr>
        <w:ind w:left="1400" w:hanging="285"/>
        <w:spacing w:after="0"/>
        <w:tabs>
          <w:tab w:leader="none" w:pos="1400" w:val="left"/>
        </w:tabs>
        <w:numPr>
          <w:ilvl w:val="0"/>
          <w:numId w:val="89"/>
        </w:numPr>
        <w:rPr>
          <w:rFonts w:ascii="Arial" w:cs="Arial" w:eastAsia="Arial" w:hAnsi="Arial"/>
          <w:sz w:val="11"/>
          <w:szCs w:val="11"/>
          <w:color w:val="auto"/>
        </w:rPr>
      </w:pPr>
      <w:r>
        <w:rPr>
          <w:rFonts w:ascii="Arial" w:cs="Arial" w:eastAsia="Arial" w:hAnsi="Arial"/>
          <w:sz w:val="11"/>
          <w:szCs w:val="11"/>
          <w:color w:val="auto"/>
        </w:rPr>
        <w:t>this document includes all schedules and annexures to it; and</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0"/>
          <w:numId w:val="89"/>
        </w:numPr>
        <w:rPr>
          <w:rFonts w:ascii="Arial" w:cs="Arial" w:eastAsia="Arial" w:hAnsi="Arial"/>
          <w:sz w:val="11"/>
          <w:szCs w:val="11"/>
          <w:color w:val="auto"/>
        </w:rPr>
      </w:pPr>
      <w:r>
        <w:rPr>
          <w:rFonts w:ascii="Arial" w:cs="Arial" w:eastAsia="Arial" w:hAnsi="Arial"/>
          <w:sz w:val="11"/>
          <w:szCs w:val="11"/>
          <w:color w:val="auto"/>
        </w:rPr>
        <w:t>a clause, schedule or annexure is a reference to a clause, schedule or annexure, as the case may be, of this document.</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1"/>
          <w:szCs w:val="11"/>
          <w:b w:val="1"/>
          <w:bCs w:val="1"/>
          <w:color w:val="auto"/>
        </w:rPr>
        <w:t>Headings</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1"/>
          <w:szCs w:val="11"/>
          <w:color w:val="auto"/>
        </w:rPr>
        <w:t>Headings do not affect the interpretation of this document.</w:t>
      </w:r>
    </w:p>
    <w:p>
      <w:pPr>
        <w:spacing w:after="0" w:line="101"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1.4</w:t>
      </w:r>
      <w:r>
        <w:rPr>
          <w:sz w:val="20"/>
          <w:szCs w:val="20"/>
          <w:color w:val="auto"/>
        </w:rPr>
        <w:tab/>
      </w:r>
      <w:r>
        <w:rPr>
          <w:rFonts w:ascii="Arial" w:cs="Arial" w:eastAsia="Arial" w:hAnsi="Arial"/>
          <w:sz w:val="11"/>
          <w:szCs w:val="11"/>
          <w:b w:val="1"/>
          <w:bCs w:val="1"/>
          <w:color w:val="auto"/>
        </w:rPr>
        <w:t>Corporations Act, GST and Accounting Standards</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1"/>
          <w:szCs w:val="11"/>
          <w:color w:val="auto"/>
        </w:rPr>
        <w:t>Unless expressed to the contrary:</w:t>
      </w:r>
    </w:p>
    <w:p>
      <w:pPr>
        <w:spacing w:after="0" w:line="69" w:lineRule="exact"/>
        <w:rPr>
          <w:sz w:val="20"/>
          <w:szCs w:val="20"/>
          <w:color w:val="auto"/>
        </w:rPr>
      </w:pPr>
    </w:p>
    <w:p>
      <w:pPr>
        <w:ind w:left="1080" w:right="2000" w:hanging="280"/>
        <w:spacing w:after="0" w:line="242" w:lineRule="auto"/>
        <w:tabs>
          <w:tab w:leader="none" w:pos="1080" w:val="left"/>
        </w:tabs>
        <w:numPr>
          <w:ilvl w:val="0"/>
          <w:numId w:val="90"/>
        </w:numPr>
        <w:rPr>
          <w:rFonts w:ascii="Arial" w:cs="Arial" w:eastAsia="Arial" w:hAnsi="Arial"/>
          <w:sz w:val="11"/>
          <w:szCs w:val="11"/>
          <w:color w:val="auto"/>
        </w:rPr>
      </w:pPr>
      <w:r>
        <w:rPr>
          <w:rFonts w:ascii="Arial" w:cs="Arial" w:eastAsia="Arial" w:hAnsi="Arial"/>
          <w:sz w:val="11"/>
          <w:szCs w:val="11"/>
          <w:color w:val="auto"/>
        </w:rPr>
        <w:t>“control”, “controller”, “corporation”, “disclosing entity”, “holding company”, “marketable security”, “prospective liability”, “public company”, “related body corporate” and “subsidiary” each has the meaning which it is</w:t>
      </w:r>
    </w:p>
    <w:p>
      <w:pPr>
        <w:ind w:left="3380"/>
        <w:spacing w:after="0"/>
        <w:rPr>
          <w:sz w:val="20"/>
          <w:szCs w:val="20"/>
          <w:color w:val="auto"/>
        </w:rPr>
      </w:pPr>
      <w:r>
        <w:rPr>
          <w:rFonts w:ascii="Arial" w:cs="Arial" w:eastAsia="Arial" w:hAnsi="Arial"/>
          <w:sz w:val="11"/>
          <w:szCs w:val="11"/>
          <w:color w:val="auto"/>
        </w:rPr>
        <w:t>defined to have in the Corporations Act;</w:t>
      </w:r>
    </w:p>
    <w:p>
      <w:pPr>
        <w:spacing w:after="0" w:line="58" w:lineRule="exact"/>
        <w:rPr>
          <w:sz w:val="20"/>
          <w:szCs w:val="20"/>
          <w:color w:val="auto"/>
        </w:rPr>
      </w:pPr>
    </w:p>
    <w:p>
      <w:pPr>
        <w:ind w:left="1080" w:right="260" w:hanging="280"/>
        <w:spacing w:after="0" w:line="227" w:lineRule="auto"/>
        <w:tabs>
          <w:tab w:leader="none" w:pos="1080" w:val="left"/>
        </w:tabs>
        <w:numPr>
          <w:ilvl w:val="0"/>
          <w:numId w:val="91"/>
        </w:numPr>
        <w:rPr>
          <w:rFonts w:ascii="Arial" w:cs="Arial" w:eastAsia="Arial" w:hAnsi="Arial"/>
          <w:sz w:val="11"/>
          <w:szCs w:val="11"/>
          <w:color w:val="auto"/>
        </w:rPr>
      </w:pPr>
      <w:r>
        <w:rPr>
          <w:rFonts w:ascii="Arial" w:cs="Arial" w:eastAsia="Arial" w:hAnsi="Arial"/>
          <w:sz w:val="11"/>
          <w:szCs w:val="11"/>
          <w:color w:val="auto"/>
        </w:rPr>
        <w:t xml:space="preserve">“adjustment event”, “consideration”, “GST”, “input tax credit”, “supply”, “taxable supply” and “tax invoice” each has the meaning which it is defined to have in the </w:t>
      </w:r>
      <w:r>
        <w:rPr>
          <w:rFonts w:ascii="Arial" w:cs="Arial" w:eastAsia="Arial" w:hAnsi="Arial"/>
          <w:sz w:val="11"/>
          <w:szCs w:val="11"/>
          <w:i w:val="1"/>
          <w:iCs w:val="1"/>
          <w:color w:val="auto"/>
        </w:rPr>
        <w:t>A New Tax</w:t>
      </w:r>
      <w:r>
        <w:rPr>
          <w:rFonts w:ascii="Arial" w:cs="Arial" w:eastAsia="Arial" w:hAnsi="Arial"/>
          <w:sz w:val="11"/>
          <w:szCs w:val="11"/>
          <w:color w:val="auto"/>
        </w:rPr>
        <w:t xml:space="preserve"> </w:t>
      </w:r>
      <w:r>
        <w:rPr>
          <w:rFonts w:ascii="Arial" w:cs="Arial" w:eastAsia="Arial" w:hAnsi="Arial"/>
          <w:sz w:val="11"/>
          <w:szCs w:val="11"/>
          <w:i w:val="1"/>
          <w:iCs w:val="1"/>
          <w:color w:val="auto"/>
        </w:rPr>
        <w:t>System (Goods and Services Tax) Act 1999</w:t>
      </w:r>
      <w:r>
        <w:rPr>
          <w:rFonts w:ascii="Arial" w:cs="Arial" w:eastAsia="Arial" w:hAnsi="Arial"/>
          <w:sz w:val="11"/>
          <w:szCs w:val="11"/>
          <w:color w:val="auto"/>
        </w:rPr>
        <w:t>; and</w:t>
      </w:r>
    </w:p>
    <w:p>
      <w:pPr>
        <w:spacing w:after="0" w:line="25" w:lineRule="exact"/>
        <w:rPr>
          <w:rFonts w:ascii="Arial" w:cs="Arial" w:eastAsia="Arial" w:hAnsi="Arial"/>
          <w:sz w:val="11"/>
          <w:szCs w:val="11"/>
          <w:color w:val="auto"/>
        </w:rPr>
      </w:pPr>
    </w:p>
    <w:p>
      <w:pPr>
        <w:ind w:left="1080" w:hanging="280"/>
        <w:spacing w:after="0"/>
        <w:tabs>
          <w:tab w:leader="none" w:pos="1080" w:val="left"/>
        </w:tabs>
        <w:numPr>
          <w:ilvl w:val="0"/>
          <w:numId w:val="91"/>
        </w:numPr>
        <w:rPr>
          <w:rFonts w:ascii="Arial" w:cs="Arial" w:eastAsia="Arial" w:hAnsi="Arial"/>
          <w:sz w:val="11"/>
          <w:szCs w:val="11"/>
          <w:color w:val="auto"/>
        </w:rPr>
      </w:pPr>
      <w:r>
        <w:rPr>
          <w:rFonts w:ascii="Arial" w:cs="Arial" w:eastAsia="Arial" w:hAnsi="Arial"/>
          <w:sz w:val="11"/>
          <w:szCs w:val="11"/>
          <w:color w:val="auto"/>
        </w:rPr>
        <w:t>“economic entity”, “entity” and “finance lease” each has the meaning which it has in the Accounting Standards.</w:t>
      </w:r>
    </w:p>
    <w:p>
      <w:pPr>
        <w:spacing w:after="0" w:line="61" w:lineRule="exact"/>
        <w:rPr>
          <w:rFonts w:ascii="Arial" w:cs="Arial" w:eastAsia="Arial" w:hAnsi="Arial"/>
          <w:sz w:val="11"/>
          <w:szCs w:val="11"/>
          <w:color w:val="auto"/>
        </w:rPr>
      </w:pPr>
    </w:p>
    <w:p>
      <w:pPr>
        <w:ind w:left="1080" w:hanging="280"/>
        <w:spacing w:after="0"/>
        <w:tabs>
          <w:tab w:leader="none" w:pos="1080" w:val="left"/>
        </w:tabs>
        <w:numPr>
          <w:ilvl w:val="0"/>
          <w:numId w:val="91"/>
        </w:numPr>
        <w:rPr>
          <w:rFonts w:ascii="Arial" w:cs="Arial" w:eastAsia="Arial" w:hAnsi="Arial"/>
          <w:sz w:val="11"/>
          <w:szCs w:val="11"/>
          <w:color w:val="auto"/>
        </w:rPr>
      </w:pPr>
      <w:r>
        <w:rPr>
          <w:rFonts w:ascii="Arial" w:cs="Arial" w:eastAsia="Arial" w:hAnsi="Arial"/>
          <w:sz w:val="11"/>
          <w:szCs w:val="11"/>
          <w:color w:val="auto"/>
        </w:rPr>
        <w:t>terms have the meanings given to them in the PPS Act.</w:t>
      </w:r>
    </w:p>
    <w:p>
      <w:pPr>
        <w:spacing w:after="0" w:line="101"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1.5</w:t>
      </w:r>
      <w:r>
        <w:rPr>
          <w:sz w:val="20"/>
          <w:szCs w:val="20"/>
          <w:color w:val="auto"/>
        </w:rPr>
        <w:tab/>
      </w:r>
      <w:r>
        <w:rPr>
          <w:rFonts w:ascii="Arial" w:cs="Arial" w:eastAsia="Arial" w:hAnsi="Arial"/>
          <w:sz w:val="11"/>
          <w:szCs w:val="11"/>
          <w:b w:val="1"/>
          <w:bCs w:val="1"/>
          <w:color w:val="auto"/>
        </w:rPr>
        <w:t>Subsisting Events of Default and Potential Events of Default</w:t>
      </w:r>
    </w:p>
    <w:p>
      <w:pPr>
        <w:spacing w:after="0" w:line="47" w:lineRule="exact"/>
        <w:rPr>
          <w:sz w:val="20"/>
          <w:szCs w:val="20"/>
          <w:color w:val="auto"/>
        </w:rPr>
      </w:pPr>
    </w:p>
    <w:p>
      <w:pPr>
        <w:ind w:left="1080" w:hanging="280"/>
        <w:spacing w:after="0"/>
        <w:tabs>
          <w:tab w:leader="none" w:pos="1080" w:val="left"/>
        </w:tabs>
        <w:numPr>
          <w:ilvl w:val="0"/>
          <w:numId w:val="92"/>
        </w:numPr>
        <w:rPr>
          <w:rFonts w:ascii="Arial" w:cs="Arial" w:eastAsia="Arial" w:hAnsi="Arial"/>
          <w:sz w:val="11"/>
          <w:szCs w:val="11"/>
          <w:color w:val="auto"/>
        </w:rPr>
      </w:pPr>
      <w:r>
        <w:rPr>
          <w:rFonts w:ascii="Arial" w:cs="Arial" w:eastAsia="Arial" w:hAnsi="Arial"/>
          <w:sz w:val="11"/>
          <w:szCs w:val="11"/>
          <w:color w:val="auto"/>
        </w:rPr>
        <w:t>An Event of Default subsists if it has occurred and has not been waived by the Bank in accordance with this document or remedied.</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92"/>
        </w:numPr>
        <w:rPr>
          <w:rFonts w:ascii="Arial" w:cs="Arial" w:eastAsia="Arial" w:hAnsi="Arial"/>
          <w:sz w:val="11"/>
          <w:szCs w:val="11"/>
          <w:color w:val="auto"/>
        </w:rPr>
      </w:pPr>
      <w:r>
        <w:rPr>
          <w:rFonts w:ascii="Arial" w:cs="Arial" w:eastAsia="Arial" w:hAnsi="Arial"/>
          <w:sz w:val="11"/>
          <w:szCs w:val="11"/>
          <w:color w:val="auto"/>
        </w:rPr>
        <w:t>A Potential Event of Default subsists if it exists and has not been waived by the Bank in accordance with this document or remedied.</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w:t>
      </w:r>
      <w:r>
        <w:rPr>
          <w:sz w:val="20"/>
          <w:szCs w:val="20"/>
          <w:color w:val="auto"/>
        </w:rPr>
        <w:tab/>
      </w:r>
      <w:r>
        <w:rPr>
          <w:rFonts w:ascii="Arial" w:cs="Arial" w:eastAsia="Arial" w:hAnsi="Arial"/>
          <w:sz w:val="12"/>
          <w:szCs w:val="12"/>
          <w:b w:val="1"/>
          <w:bCs w:val="1"/>
          <w:color w:val="auto"/>
        </w:rPr>
        <w:t>Not used</w:t>
      </w:r>
    </w:p>
    <w:p>
      <w:pPr>
        <w:spacing w:after="0" w:line="72"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1.7</w:t>
      </w:r>
      <w:r>
        <w:rPr>
          <w:sz w:val="20"/>
          <w:szCs w:val="20"/>
          <w:color w:val="auto"/>
        </w:rPr>
        <w:tab/>
      </w:r>
      <w:r>
        <w:rPr>
          <w:rFonts w:ascii="Arial" w:cs="Arial" w:eastAsia="Arial" w:hAnsi="Arial"/>
          <w:sz w:val="11"/>
          <w:szCs w:val="11"/>
          <w:b w:val="1"/>
          <w:bCs w:val="1"/>
          <w:color w:val="auto"/>
        </w:rPr>
        <w:t>Inconsistency</w:t>
      </w:r>
    </w:p>
    <w:p>
      <w:pPr>
        <w:spacing w:after="0" w:line="47" w:lineRule="exact"/>
        <w:rPr>
          <w:sz w:val="20"/>
          <w:szCs w:val="20"/>
          <w:color w:val="auto"/>
        </w:rPr>
      </w:pPr>
    </w:p>
    <w:p>
      <w:pPr>
        <w:jc w:val="center"/>
        <w:ind w:right="60"/>
        <w:spacing w:after="0"/>
        <w:rPr>
          <w:sz w:val="20"/>
          <w:szCs w:val="20"/>
          <w:color w:val="auto"/>
        </w:rPr>
      </w:pPr>
      <w:r>
        <w:rPr>
          <w:rFonts w:ascii="Arial" w:cs="Arial" w:eastAsia="Arial" w:hAnsi="Arial"/>
          <w:sz w:val="11"/>
          <w:szCs w:val="11"/>
          <w:color w:val="auto"/>
        </w:rPr>
        <w:t>If there is any inconsistency between this document and any other Transaction Document, then this document prevails to the extent of that inconsistency.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24</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92" w:name="page93"/>
    <w:bookmarkEnd w:id="92"/>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0" w:hanging="405"/>
        <w:spacing w:after="0"/>
        <w:tabs>
          <w:tab w:leader="none" w:pos="8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Consideration</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1"/>
          <w:szCs w:val="11"/>
          <w:color w:val="auto"/>
        </w:rPr>
        <w:t>The Borrower enters into this document in consideration of the Bank agreeing to make the Facility available in accordance with this document.</w:t>
      </w:r>
    </w:p>
    <w:p>
      <w:pPr>
        <w:spacing w:after="0" w:line="288" w:lineRule="exact"/>
        <w:rPr>
          <w:sz w:val="20"/>
          <w:szCs w:val="20"/>
          <w:color w:val="auto"/>
        </w:rPr>
      </w:pPr>
    </w:p>
    <w:p>
      <w:pPr>
        <w:ind w:left="800" w:hanging="405"/>
        <w:spacing w:after="0"/>
        <w:tabs>
          <w:tab w:leader="none" w:pos="8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Conditions precedent</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2"/>
          <w:szCs w:val="12"/>
          <w:b w:val="1"/>
          <w:bCs w:val="1"/>
          <w:color w:val="auto"/>
        </w:rPr>
        <w:t>Not used</w:t>
      </w:r>
    </w:p>
    <w:p>
      <w:pPr>
        <w:spacing w:after="0" w:line="72"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1"/>
          <w:szCs w:val="11"/>
          <w:b w:val="1"/>
          <w:bCs w:val="1"/>
          <w:color w:val="auto"/>
        </w:rPr>
        <w:t>Conditions precedent to Advances and Drawings</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obligation of the Bank to make any Advances or Drawings is subject to the further conditions precedent that the Bank is satisfied in its absolute discretion that:</w:t>
      </w:r>
    </w:p>
    <w:p>
      <w:pPr>
        <w:spacing w:after="0" w:line="40" w:lineRule="exact"/>
        <w:rPr>
          <w:sz w:val="20"/>
          <w:szCs w:val="20"/>
          <w:color w:val="auto"/>
        </w:rPr>
      </w:pPr>
    </w:p>
    <w:p>
      <w:pPr>
        <w:ind w:left="1080" w:right="200" w:hanging="280"/>
        <w:spacing w:after="0" w:line="268" w:lineRule="auto"/>
        <w:tabs>
          <w:tab w:leader="none" w:pos="1080" w:val="left"/>
        </w:tabs>
        <w:numPr>
          <w:ilvl w:val="0"/>
          <w:numId w:val="95"/>
        </w:numPr>
        <w:rPr>
          <w:rFonts w:ascii="Arial" w:cs="Arial" w:eastAsia="Arial" w:hAnsi="Arial"/>
          <w:sz w:val="11"/>
          <w:szCs w:val="11"/>
          <w:color w:val="auto"/>
        </w:rPr>
      </w:pPr>
      <w:r>
        <w:rPr>
          <w:rFonts w:ascii="Arial" w:cs="Arial" w:eastAsia="Arial" w:hAnsi="Arial"/>
          <w:sz w:val="11"/>
          <w:szCs w:val="11"/>
          <w:color w:val="auto"/>
        </w:rPr>
        <w:t xml:space="preserve">the representations and warranties set out in </w:t>
      </w:r>
      <w:r>
        <w:rPr>
          <w:rFonts w:ascii="Arial" w:cs="Arial" w:eastAsia="Arial" w:hAnsi="Arial"/>
          <w:sz w:val="11"/>
          <w:szCs w:val="11"/>
          <w:b w:val="1"/>
          <w:bCs w:val="1"/>
          <w:color w:val="auto"/>
        </w:rPr>
        <w:t>clause 8.1</w:t>
      </w:r>
      <w:r>
        <w:rPr>
          <w:rFonts w:ascii="Arial" w:cs="Arial" w:eastAsia="Arial" w:hAnsi="Arial"/>
          <w:sz w:val="11"/>
          <w:szCs w:val="11"/>
          <w:color w:val="auto"/>
        </w:rPr>
        <w:t xml:space="preserve"> are correct and in all material respects not misleading in any material respect when the Funding Notice is given and on the Funding Date;</w:t>
      </w:r>
    </w:p>
    <w:p>
      <w:pPr>
        <w:spacing w:after="0" w:line="10" w:lineRule="exact"/>
        <w:rPr>
          <w:rFonts w:ascii="Arial" w:cs="Arial" w:eastAsia="Arial" w:hAnsi="Arial"/>
          <w:sz w:val="11"/>
          <w:szCs w:val="11"/>
          <w:color w:val="auto"/>
        </w:rPr>
      </w:pPr>
    </w:p>
    <w:p>
      <w:pPr>
        <w:ind w:left="1080" w:hanging="280"/>
        <w:spacing w:after="0"/>
        <w:tabs>
          <w:tab w:leader="none" w:pos="1080" w:val="left"/>
        </w:tabs>
        <w:numPr>
          <w:ilvl w:val="0"/>
          <w:numId w:val="95"/>
        </w:numPr>
        <w:rPr>
          <w:rFonts w:ascii="Arial" w:cs="Arial" w:eastAsia="Arial" w:hAnsi="Arial"/>
          <w:sz w:val="11"/>
          <w:szCs w:val="11"/>
          <w:color w:val="auto"/>
        </w:rPr>
      </w:pPr>
      <w:r>
        <w:rPr>
          <w:rFonts w:ascii="Arial" w:cs="Arial" w:eastAsia="Arial" w:hAnsi="Arial"/>
          <w:sz w:val="11"/>
          <w:szCs w:val="11"/>
          <w:color w:val="auto"/>
        </w:rPr>
        <w:t xml:space="preserve">all fees and charges then due and payable in connection with the Facility have been paid (including the Restructure Fee set out in </w:t>
      </w:r>
      <w:r>
        <w:rPr>
          <w:rFonts w:ascii="Arial" w:cs="Arial" w:eastAsia="Arial" w:hAnsi="Arial"/>
          <w:sz w:val="11"/>
          <w:szCs w:val="11"/>
          <w:b w:val="1"/>
          <w:bCs w:val="1"/>
          <w:color w:val="auto"/>
        </w:rPr>
        <w:t>clause 9.1(a)</w:t>
      </w:r>
      <w:r>
        <w:rPr>
          <w:rFonts w:ascii="Arial" w:cs="Arial" w:eastAsia="Arial" w:hAnsi="Arial"/>
          <w:sz w:val="11"/>
          <w:szCs w:val="11"/>
          <w:color w:val="auto"/>
        </w:rPr>
        <w:t>); and</w:t>
      </w:r>
    </w:p>
    <w:p>
      <w:pPr>
        <w:spacing w:after="0" w:line="59" w:lineRule="exact"/>
        <w:rPr>
          <w:rFonts w:ascii="Arial" w:cs="Arial" w:eastAsia="Arial" w:hAnsi="Arial"/>
          <w:sz w:val="11"/>
          <w:szCs w:val="11"/>
          <w:color w:val="auto"/>
        </w:rPr>
      </w:pPr>
    </w:p>
    <w:p>
      <w:pPr>
        <w:ind w:left="1080" w:hanging="280"/>
        <w:spacing w:after="0"/>
        <w:tabs>
          <w:tab w:leader="none" w:pos="1080" w:val="left"/>
        </w:tabs>
        <w:numPr>
          <w:ilvl w:val="0"/>
          <w:numId w:val="95"/>
        </w:numPr>
        <w:rPr>
          <w:rFonts w:ascii="Arial" w:cs="Arial" w:eastAsia="Arial" w:hAnsi="Arial"/>
          <w:sz w:val="11"/>
          <w:szCs w:val="11"/>
          <w:color w:val="auto"/>
        </w:rPr>
      </w:pPr>
      <w:r>
        <w:rPr>
          <w:rFonts w:ascii="Arial" w:cs="Arial" w:eastAsia="Arial" w:hAnsi="Arial"/>
          <w:sz w:val="11"/>
          <w:szCs w:val="11"/>
          <w:color w:val="auto"/>
        </w:rPr>
        <w:t>no Event of Default or Potential Event of Default subsists when the Funding Notice is given and on the Funding Date.</w:t>
      </w:r>
    </w:p>
    <w:p>
      <w:pPr>
        <w:spacing w:after="0" w:line="228" w:lineRule="exact"/>
        <w:rPr>
          <w:sz w:val="20"/>
          <w:szCs w:val="20"/>
          <w:color w:val="auto"/>
        </w:rPr>
      </w:pPr>
    </w:p>
    <w:p>
      <w:pPr>
        <w:ind w:left="800" w:hanging="405"/>
        <w:spacing w:after="0"/>
        <w:tabs>
          <w:tab w:leader="none" w:pos="8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Facility</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4.1</w:t>
      </w:r>
      <w:r>
        <w:rPr>
          <w:sz w:val="20"/>
          <w:szCs w:val="20"/>
          <w:color w:val="auto"/>
        </w:rPr>
        <w:tab/>
      </w:r>
      <w:r>
        <w:rPr>
          <w:rFonts w:ascii="Arial" w:cs="Arial" w:eastAsia="Arial" w:hAnsi="Arial"/>
          <w:sz w:val="11"/>
          <w:szCs w:val="11"/>
          <w:b w:val="1"/>
          <w:bCs w:val="1"/>
          <w:color w:val="auto"/>
        </w:rPr>
        <w:t>Nature</w:t>
      </w:r>
    </w:p>
    <w:p>
      <w:pPr>
        <w:spacing w:after="0" w:line="50" w:lineRule="exact"/>
        <w:rPr>
          <w:sz w:val="20"/>
          <w:szCs w:val="20"/>
          <w:color w:val="auto"/>
        </w:rPr>
      </w:pPr>
    </w:p>
    <w:p>
      <w:pPr>
        <w:ind w:left="1080" w:hanging="280"/>
        <w:spacing w:after="0"/>
        <w:tabs>
          <w:tab w:leader="none" w:pos="1080" w:val="left"/>
        </w:tabs>
        <w:numPr>
          <w:ilvl w:val="0"/>
          <w:numId w:val="97"/>
        </w:numPr>
        <w:rPr>
          <w:rFonts w:ascii="Arial" w:cs="Arial" w:eastAsia="Arial" w:hAnsi="Arial"/>
          <w:sz w:val="11"/>
          <w:szCs w:val="11"/>
          <w:color w:val="auto"/>
        </w:rPr>
      </w:pPr>
      <w:r>
        <w:rPr>
          <w:rFonts w:ascii="Arial" w:cs="Arial" w:eastAsia="Arial" w:hAnsi="Arial"/>
          <w:sz w:val="11"/>
          <w:szCs w:val="11"/>
          <w:color w:val="auto"/>
        </w:rPr>
        <w:t xml:space="preserve">Subject to </w:t>
      </w:r>
      <w:r>
        <w:rPr>
          <w:rFonts w:ascii="Arial" w:cs="Arial" w:eastAsia="Arial" w:hAnsi="Arial"/>
          <w:sz w:val="11"/>
          <w:szCs w:val="11"/>
          <w:b w:val="1"/>
          <w:bCs w:val="1"/>
          <w:color w:val="auto"/>
        </w:rPr>
        <w:t>clauses 3</w:t>
      </w:r>
      <w:r>
        <w:rPr>
          <w:rFonts w:ascii="Arial" w:cs="Arial" w:eastAsia="Arial" w:hAnsi="Arial"/>
          <w:sz w:val="11"/>
          <w:szCs w:val="11"/>
          <w:color w:val="auto"/>
        </w:rPr>
        <w:t xml:space="preserve"> and </w:t>
      </w:r>
      <w:r>
        <w:rPr>
          <w:rFonts w:ascii="Arial" w:cs="Arial" w:eastAsia="Arial" w:hAnsi="Arial"/>
          <w:sz w:val="11"/>
          <w:szCs w:val="11"/>
          <w:b w:val="1"/>
          <w:bCs w:val="1"/>
          <w:color w:val="auto"/>
        </w:rPr>
        <w:t>10.2</w:t>
      </w:r>
      <w:r>
        <w:rPr>
          <w:rFonts w:ascii="Arial" w:cs="Arial" w:eastAsia="Arial" w:hAnsi="Arial"/>
          <w:sz w:val="11"/>
          <w:szCs w:val="11"/>
          <w:color w:val="auto"/>
        </w:rPr>
        <w:t>, the Bank will make available:</w:t>
      </w:r>
    </w:p>
    <w:p>
      <w:pPr>
        <w:spacing w:after="0" w:line="58" w:lineRule="exact"/>
        <w:rPr>
          <w:rFonts w:ascii="Arial" w:cs="Arial" w:eastAsia="Arial" w:hAnsi="Arial"/>
          <w:sz w:val="11"/>
          <w:szCs w:val="11"/>
          <w:color w:val="auto"/>
        </w:rPr>
      </w:pPr>
    </w:p>
    <w:p>
      <w:pPr>
        <w:ind w:left="1400" w:hanging="285"/>
        <w:spacing w:after="0"/>
        <w:tabs>
          <w:tab w:leader="none" w:pos="1400" w:val="left"/>
        </w:tabs>
        <w:numPr>
          <w:ilvl w:val="1"/>
          <w:numId w:val="97"/>
        </w:numPr>
        <w:rPr>
          <w:rFonts w:ascii="Arial" w:cs="Arial" w:eastAsia="Arial" w:hAnsi="Arial"/>
          <w:sz w:val="11"/>
          <w:szCs w:val="11"/>
          <w:color w:val="auto"/>
        </w:rPr>
      </w:pPr>
      <w:r>
        <w:rPr>
          <w:rFonts w:ascii="Arial" w:cs="Arial" w:eastAsia="Arial" w:hAnsi="Arial"/>
          <w:sz w:val="11"/>
          <w:szCs w:val="11"/>
          <w:color w:val="auto"/>
        </w:rPr>
        <w:t>the revolving Corporate Markets Loan Facility under which it will make Advances; and</w:t>
      </w:r>
    </w:p>
    <w:p>
      <w:pPr>
        <w:spacing w:after="0" w:line="46" w:lineRule="exact"/>
        <w:rPr>
          <w:rFonts w:ascii="Arial" w:cs="Arial" w:eastAsia="Arial" w:hAnsi="Arial"/>
          <w:sz w:val="11"/>
          <w:szCs w:val="11"/>
          <w:color w:val="auto"/>
        </w:rPr>
      </w:pPr>
    </w:p>
    <w:p>
      <w:pPr>
        <w:ind w:left="1100" w:right="2880" w:firstLine="15"/>
        <w:spacing w:after="0" w:line="350" w:lineRule="auto"/>
        <w:tabs>
          <w:tab w:leader="none" w:pos="1385" w:val="left"/>
        </w:tabs>
        <w:numPr>
          <w:ilvl w:val="1"/>
          <w:numId w:val="97"/>
        </w:numPr>
        <w:rPr>
          <w:rFonts w:ascii="Arial" w:cs="Arial" w:eastAsia="Arial" w:hAnsi="Arial"/>
          <w:sz w:val="11"/>
          <w:szCs w:val="11"/>
          <w:color w:val="auto"/>
        </w:rPr>
      </w:pPr>
      <w:r>
        <w:rPr>
          <w:rFonts w:ascii="Arial" w:cs="Arial" w:eastAsia="Arial" w:hAnsi="Arial"/>
          <w:sz w:val="11"/>
          <w:szCs w:val="11"/>
          <w:color w:val="auto"/>
        </w:rPr>
        <w:t>the Bank Guarantee Facility under which it will issue Bank Guarantees at the request of the Borrower, in accordance with this document.</w:t>
      </w:r>
    </w:p>
    <w:p>
      <w:pPr>
        <w:ind w:left="1080" w:right="540" w:hanging="280"/>
        <w:spacing w:after="0" w:line="268" w:lineRule="auto"/>
        <w:tabs>
          <w:tab w:leader="none" w:pos="1080" w:val="left"/>
        </w:tabs>
        <w:numPr>
          <w:ilvl w:val="0"/>
          <w:numId w:val="97"/>
        </w:numPr>
        <w:rPr>
          <w:rFonts w:ascii="Arial" w:cs="Arial" w:eastAsia="Arial" w:hAnsi="Arial"/>
          <w:sz w:val="11"/>
          <w:szCs w:val="11"/>
          <w:color w:val="auto"/>
        </w:rPr>
      </w:pPr>
      <w:r>
        <w:rPr>
          <w:rFonts w:ascii="Arial" w:cs="Arial" w:eastAsia="Arial" w:hAnsi="Arial"/>
          <w:sz w:val="11"/>
          <w:szCs w:val="11"/>
          <w:color w:val="auto"/>
        </w:rPr>
        <w:t xml:space="preserve">The Borrower may request one or more Advances and Drawings in accordance with this </w:t>
      </w:r>
      <w:r>
        <w:rPr>
          <w:rFonts w:ascii="Arial" w:cs="Arial" w:eastAsia="Arial" w:hAnsi="Arial"/>
          <w:sz w:val="11"/>
          <w:szCs w:val="11"/>
          <w:b w:val="1"/>
          <w:bCs w:val="1"/>
          <w:color w:val="auto"/>
        </w:rPr>
        <w:t>clause 4</w:t>
      </w:r>
      <w:r>
        <w:rPr>
          <w:rFonts w:ascii="Arial" w:cs="Arial" w:eastAsia="Arial" w:hAnsi="Arial"/>
          <w:sz w:val="11"/>
          <w:szCs w:val="11"/>
          <w:color w:val="auto"/>
        </w:rPr>
        <w:t>, but so that the Outstanding Accommodation under each Facility does not at any time exceed the relevant Facility Limit.</w:t>
      </w:r>
    </w:p>
    <w:p>
      <w:pPr>
        <w:spacing w:after="0" w:line="4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1"/>
          <w:szCs w:val="11"/>
          <w:b w:val="1"/>
          <w:bCs w:val="1"/>
          <w:color w:val="auto"/>
        </w:rPr>
        <w:t>Purpose</w:t>
      </w:r>
    </w:p>
    <w:p>
      <w:pPr>
        <w:spacing w:after="0" w:line="41" w:lineRule="exact"/>
        <w:rPr>
          <w:sz w:val="20"/>
          <w:szCs w:val="20"/>
          <w:color w:val="auto"/>
        </w:rPr>
      </w:pPr>
    </w:p>
    <w:p>
      <w:pPr>
        <w:ind w:left="840" w:right="180"/>
        <w:spacing w:after="0" w:line="268" w:lineRule="auto"/>
        <w:rPr>
          <w:sz w:val="20"/>
          <w:szCs w:val="20"/>
          <w:color w:val="auto"/>
        </w:rPr>
      </w:pPr>
      <w:r>
        <w:rPr>
          <w:rFonts w:ascii="Arial" w:cs="Arial" w:eastAsia="Arial" w:hAnsi="Arial"/>
          <w:sz w:val="11"/>
          <w:szCs w:val="11"/>
          <w:color w:val="auto"/>
        </w:rPr>
        <w:t xml:space="preserve">The Borrower must only use Advances and Drawings under each Facility for the relevant purposes set out in </w:t>
      </w:r>
      <w:r>
        <w:rPr>
          <w:rFonts w:ascii="Arial" w:cs="Arial" w:eastAsia="Arial" w:hAnsi="Arial"/>
          <w:sz w:val="11"/>
          <w:szCs w:val="11"/>
          <w:b w:val="1"/>
          <w:bCs w:val="1"/>
          <w:color w:val="auto"/>
        </w:rPr>
        <w:t>schedule 2</w:t>
      </w:r>
      <w:r>
        <w:rPr>
          <w:rFonts w:ascii="Arial" w:cs="Arial" w:eastAsia="Arial" w:hAnsi="Arial"/>
          <w:sz w:val="11"/>
          <w:szCs w:val="11"/>
          <w:color w:val="auto"/>
        </w:rPr>
        <w:t>, and the Borrower must promptly repay to the Bank all Advances and Drawings not used for these purposes.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25</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93" w:name="page94"/>
    <w:bookmarkEnd w:id="93"/>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9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4.3</w:t>
      </w:r>
      <w:r>
        <w:rPr>
          <w:sz w:val="20"/>
          <w:szCs w:val="20"/>
          <w:color w:val="auto"/>
        </w:rPr>
        <w:tab/>
      </w:r>
      <w:r>
        <w:rPr>
          <w:rFonts w:ascii="Arial" w:cs="Arial" w:eastAsia="Arial" w:hAnsi="Arial"/>
          <w:sz w:val="11"/>
          <w:szCs w:val="11"/>
          <w:b w:val="1"/>
          <w:bCs w:val="1"/>
          <w:color w:val="auto"/>
        </w:rPr>
        <w:t>Advances and Drawings</w:t>
      </w:r>
    </w:p>
    <w:p>
      <w:pPr>
        <w:spacing w:after="0" w:line="47" w:lineRule="exact"/>
        <w:rPr>
          <w:sz w:val="20"/>
          <w:szCs w:val="20"/>
          <w:color w:val="auto"/>
        </w:rPr>
      </w:pPr>
    </w:p>
    <w:p>
      <w:pPr>
        <w:ind w:left="1080" w:right="440" w:hanging="280"/>
        <w:spacing w:after="0" w:line="256" w:lineRule="auto"/>
        <w:tabs>
          <w:tab w:leader="none" w:pos="1080" w:val="left"/>
        </w:tabs>
        <w:numPr>
          <w:ilvl w:val="0"/>
          <w:numId w:val="98"/>
        </w:numPr>
        <w:rPr>
          <w:rFonts w:ascii="Arial" w:cs="Arial" w:eastAsia="Arial" w:hAnsi="Arial"/>
          <w:sz w:val="11"/>
          <w:szCs w:val="11"/>
          <w:color w:val="auto"/>
        </w:rPr>
      </w:pPr>
      <w:r>
        <w:rPr>
          <w:rFonts w:ascii="Arial" w:cs="Arial" w:eastAsia="Arial" w:hAnsi="Arial"/>
          <w:sz w:val="11"/>
          <w:szCs w:val="11"/>
          <w:color w:val="auto"/>
        </w:rPr>
        <w:t>The Borrower may request an Advance or a Drawing by giving a Funding Notice to the Bank by 11.00 am at least one clear Business Day before the date the proposed Advance or Drawing is required.</w:t>
      </w:r>
    </w:p>
    <w:p>
      <w:pPr>
        <w:spacing w:after="0" w:line="22" w:lineRule="exact"/>
        <w:rPr>
          <w:rFonts w:ascii="Arial" w:cs="Arial" w:eastAsia="Arial" w:hAnsi="Arial"/>
          <w:sz w:val="11"/>
          <w:szCs w:val="11"/>
          <w:color w:val="auto"/>
        </w:rPr>
      </w:pPr>
    </w:p>
    <w:p>
      <w:pPr>
        <w:ind w:left="1080" w:hanging="280"/>
        <w:spacing w:after="0"/>
        <w:tabs>
          <w:tab w:leader="none" w:pos="1080" w:val="left"/>
        </w:tabs>
        <w:numPr>
          <w:ilvl w:val="0"/>
          <w:numId w:val="98"/>
        </w:numPr>
        <w:rPr>
          <w:rFonts w:ascii="Arial" w:cs="Arial" w:eastAsia="Arial" w:hAnsi="Arial"/>
          <w:sz w:val="11"/>
          <w:szCs w:val="11"/>
          <w:color w:val="auto"/>
        </w:rPr>
      </w:pPr>
      <w:r>
        <w:rPr>
          <w:rFonts w:ascii="Arial" w:cs="Arial" w:eastAsia="Arial" w:hAnsi="Arial"/>
          <w:sz w:val="11"/>
          <w:szCs w:val="11"/>
          <w:color w:val="auto"/>
        </w:rPr>
        <w:t>An Advance under the Corporate Markets Loan Facility must not be for an amount which, when added to the Outstanding</w:t>
      </w:r>
    </w:p>
    <w:p>
      <w:pPr>
        <w:spacing w:after="0" w:line="1" w:lineRule="exact"/>
        <w:rPr>
          <w:rFonts w:ascii="Arial" w:cs="Arial" w:eastAsia="Arial" w:hAnsi="Arial"/>
          <w:sz w:val="11"/>
          <w:szCs w:val="11"/>
          <w:color w:val="auto"/>
        </w:rPr>
      </w:pPr>
    </w:p>
    <w:p>
      <w:pPr>
        <w:ind w:left="1080" w:right="600"/>
        <w:spacing w:after="0" w:line="241" w:lineRule="auto"/>
        <w:rPr>
          <w:rFonts w:ascii="Arial" w:cs="Arial" w:eastAsia="Arial" w:hAnsi="Arial"/>
          <w:sz w:val="11"/>
          <w:szCs w:val="11"/>
          <w:color w:val="auto"/>
        </w:rPr>
      </w:pPr>
      <w:r>
        <w:rPr>
          <w:rFonts w:ascii="Arial" w:cs="Arial" w:eastAsia="Arial" w:hAnsi="Arial"/>
          <w:sz w:val="11"/>
          <w:szCs w:val="11"/>
          <w:color w:val="auto"/>
        </w:rPr>
        <w:t>Accommodation (if any) under that Facility, causes the Facility Limit for that Facility to be exceeded. In determining with an Advance will cause the Facility Limit to be exceeded:</w:t>
      </w:r>
    </w:p>
    <w:p>
      <w:pPr>
        <w:spacing w:after="0" w:line="30" w:lineRule="exact"/>
        <w:rPr>
          <w:rFonts w:ascii="Arial" w:cs="Arial" w:eastAsia="Arial" w:hAnsi="Arial"/>
          <w:sz w:val="11"/>
          <w:szCs w:val="11"/>
          <w:color w:val="auto"/>
        </w:rPr>
      </w:pPr>
    </w:p>
    <w:p>
      <w:pPr>
        <w:ind w:left="1400" w:hanging="285"/>
        <w:spacing w:after="0"/>
        <w:tabs>
          <w:tab w:leader="none" w:pos="1400" w:val="left"/>
        </w:tabs>
        <w:numPr>
          <w:ilvl w:val="1"/>
          <w:numId w:val="98"/>
        </w:numPr>
        <w:rPr>
          <w:rFonts w:ascii="Arial" w:cs="Arial" w:eastAsia="Arial" w:hAnsi="Arial"/>
          <w:sz w:val="11"/>
          <w:szCs w:val="11"/>
          <w:color w:val="auto"/>
        </w:rPr>
      </w:pPr>
      <w:r>
        <w:rPr>
          <w:rFonts w:ascii="Arial" w:cs="Arial" w:eastAsia="Arial" w:hAnsi="Arial"/>
          <w:sz w:val="11"/>
          <w:szCs w:val="11"/>
          <w:color w:val="auto"/>
        </w:rPr>
        <w:t>the amount of all Advances repaid on the Funding Date are excluded from the calculation of the Outstanding Accommodation; and</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98"/>
        </w:numPr>
        <w:rPr>
          <w:rFonts w:ascii="Arial" w:cs="Arial" w:eastAsia="Arial" w:hAnsi="Arial"/>
          <w:sz w:val="11"/>
          <w:szCs w:val="11"/>
          <w:color w:val="auto"/>
        </w:rPr>
      </w:pPr>
      <w:r>
        <w:rPr>
          <w:rFonts w:ascii="Arial" w:cs="Arial" w:eastAsia="Arial" w:hAnsi="Arial"/>
          <w:sz w:val="11"/>
          <w:szCs w:val="11"/>
          <w:color w:val="auto"/>
        </w:rPr>
        <w:t>the aggregate amount of all other Advances which the Borrower has requested to be made on the same Funding Date are included in that calculation.</w:t>
      </w:r>
    </w:p>
    <w:p>
      <w:pPr>
        <w:spacing w:after="0" w:line="46" w:lineRule="exact"/>
        <w:rPr>
          <w:rFonts w:ascii="Arial" w:cs="Arial" w:eastAsia="Arial" w:hAnsi="Arial"/>
          <w:sz w:val="11"/>
          <w:szCs w:val="11"/>
          <w:color w:val="auto"/>
        </w:rPr>
      </w:pPr>
    </w:p>
    <w:p>
      <w:pPr>
        <w:ind w:left="1080" w:right="640" w:hanging="280"/>
        <w:spacing w:after="0" w:line="242" w:lineRule="auto"/>
        <w:tabs>
          <w:tab w:leader="none" w:pos="1080" w:val="left"/>
        </w:tabs>
        <w:numPr>
          <w:ilvl w:val="0"/>
          <w:numId w:val="98"/>
        </w:numPr>
        <w:rPr>
          <w:rFonts w:ascii="Arial" w:cs="Arial" w:eastAsia="Arial" w:hAnsi="Arial"/>
          <w:sz w:val="11"/>
          <w:szCs w:val="11"/>
          <w:color w:val="auto"/>
        </w:rPr>
      </w:pPr>
      <w:r>
        <w:rPr>
          <w:rFonts w:ascii="Arial" w:cs="Arial" w:eastAsia="Arial" w:hAnsi="Arial"/>
          <w:sz w:val="11"/>
          <w:szCs w:val="11"/>
          <w:color w:val="auto"/>
        </w:rPr>
        <w:t>The Aggregate Amount of a Drawing under the Bank Guarantee Facility must not, when added to the Outstanding Accommodation (if any) under that Facility, cause the Facility Limit for that Facility to be exceeded at any time during the Funding Period. In determining whether the Aggregate Amount of a Drawing will cause the Facility Limit to be exceeded:</w:t>
      </w:r>
    </w:p>
    <w:p>
      <w:pPr>
        <w:spacing w:after="0" w:line="29" w:lineRule="exact"/>
        <w:rPr>
          <w:rFonts w:ascii="Arial" w:cs="Arial" w:eastAsia="Arial" w:hAnsi="Arial"/>
          <w:sz w:val="11"/>
          <w:szCs w:val="11"/>
          <w:color w:val="auto"/>
        </w:rPr>
      </w:pPr>
    </w:p>
    <w:p>
      <w:pPr>
        <w:ind w:left="1400" w:right="360" w:hanging="285"/>
        <w:spacing w:after="0" w:line="256" w:lineRule="auto"/>
        <w:tabs>
          <w:tab w:leader="none" w:pos="1400" w:val="left"/>
        </w:tabs>
        <w:numPr>
          <w:ilvl w:val="1"/>
          <w:numId w:val="98"/>
        </w:numPr>
        <w:rPr>
          <w:rFonts w:ascii="Arial" w:cs="Arial" w:eastAsia="Arial" w:hAnsi="Arial"/>
          <w:sz w:val="11"/>
          <w:szCs w:val="11"/>
          <w:color w:val="auto"/>
        </w:rPr>
      </w:pPr>
      <w:r>
        <w:rPr>
          <w:rFonts w:ascii="Arial" w:cs="Arial" w:eastAsia="Arial" w:hAnsi="Arial"/>
          <w:sz w:val="11"/>
          <w:szCs w:val="11"/>
          <w:color w:val="auto"/>
        </w:rPr>
        <w:t>the Face Value of all Bank Guarantees under a Facility which will mature on the Funding Date for the relevant Drawing are excluded from the calculation of the Outstanding Accommodation; and</w:t>
      </w:r>
    </w:p>
    <w:p>
      <w:pPr>
        <w:spacing w:after="0" w:line="22" w:lineRule="exact"/>
        <w:rPr>
          <w:rFonts w:ascii="Arial" w:cs="Arial" w:eastAsia="Arial" w:hAnsi="Arial"/>
          <w:sz w:val="11"/>
          <w:szCs w:val="11"/>
          <w:color w:val="auto"/>
        </w:rPr>
      </w:pPr>
    </w:p>
    <w:p>
      <w:pPr>
        <w:ind w:left="1400" w:right="440" w:hanging="285"/>
        <w:spacing w:after="0" w:line="256" w:lineRule="auto"/>
        <w:tabs>
          <w:tab w:leader="none" w:pos="1400" w:val="left"/>
        </w:tabs>
        <w:numPr>
          <w:ilvl w:val="1"/>
          <w:numId w:val="98"/>
        </w:numPr>
        <w:rPr>
          <w:rFonts w:ascii="Arial" w:cs="Arial" w:eastAsia="Arial" w:hAnsi="Arial"/>
          <w:sz w:val="11"/>
          <w:szCs w:val="11"/>
          <w:color w:val="auto"/>
        </w:rPr>
      </w:pPr>
      <w:r>
        <w:rPr>
          <w:rFonts w:ascii="Arial" w:cs="Arial" w:eastAsia="Arial" w:hAnsi="Arial"/>
          <w:sz w:val="11"/>
          <w:szCs w:val="11"/>
          <w:color w:val="auto"/>
        </w:rPr>
        <w:t>the Aggregate Amount of all other Drawings which the Borrower has requested to be made under the same Facility and on the same Funding Date are included in that calculation.</w:t>
      </w:r>
    </w:p>
    <w:p>
      <w:pPr>
        <w:spacing w:after="0" w:line="22" w:lineRule="exact"/>
        <w:rPr>
          <w:rFonts w:ascii="Arial" w:cs="Arial" w:eastAsia="Arial" w:hAnsi="Arial"/>
          <w:sz w:val="11"/>
          <w:szCs w:val="11"/>
          <w:color w:val="auto"/>
        </w:rPr>
      </w:pPr>
    </w:p>
    <w:p>
      <w:pPr>
        <w:ind w:left="1080" w:hanging="280"/>
        <w:spacing w:after="0"/>
        <w:tabs>
          <w:tab w:leader="none" w:pos="1080" w:val="left"/>
        </w:tabs>
        <w:numPr>
          <w:ilvl w:val="0"/>
          <w:numId w:val="98"/>
        </w:numPr>
        <w:rPr>
          <w:rFonts w:ascii="Arial" w:cs="Arial" w:eastAsia="Arial" w:hAnsi="Arial"/>
          <w:sz w:val="11"/>
          <w:szCs w:val="11"/>
          <w:color w:val="auto"/>
        </w:rPr>
      </w:pPr>
      <w:r>
        <w:rPr>
          <w:rFonts w:ascii="Arial" w:cs="Arial" w:eastAsia="Arial" w:hAnsi="Arial"/>
          <w:sz w:val="11"/>
          <w:szCs w:val="11"/>
          <w:color w:val="auto"/>
        </w:rPr>
        <w:t>The Bank is only obliged to make Advances or accept any Drawings during the Availability Period.</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4.4</w:t>
      </w:r>
      <w:r>
        <w:rPr>
          <w:sz w:val="20"/>
          <w:szCs w:val="20"/>
          <w:color w:val="auto"/>
        </w:rPr>
        <w:tab/>
      </w:r>
      <w:r>
        <w:rPr>
          <w:rFonts w:ascii="Arial" w:cs="Arial" w:eastAsia="Arial" w:hAnsi="Arial"/>
          <w:sz w:val="11"/>
          <w:szCs w:val="11"/>
          <w:b w:val="1"/>
          <w:bCs w:val="1"/>
          <w:color w:val="auto"/>
        </w:rPr>
        <w:t>Funding Notices</w:t>
      </w:r>
    </w:p>
    <w:p>
      <w:pPr>
        <w:spacing w:after="0" w:line="55" w:lineRule="exact"/>
        <w:rPr>
          <w:sz w:val="20"/>
          <w:szCs w:val="20"/>
          <w:color w:val="auto"/>
        </w:rPr>
      </w:pPr>
    </w:p>
    <w:p>
      <w:pPr>
        <w:ind w:left="1080" w:hanging="280"/>
        <w:spacing w:after="0"/>
        <w:tabs>
          <w:tab w:leader="none" w:pos="1080" w:val="left"/>
        </w:tabs>
        <w:numPr>
          <w:ilvl w:val="0"/>
          <w:numId w:val="99"/>
        </w:numPr>
        <w:rPr>
          <w:rFonts w:ascii="Arial" w:cs="Arial" w:eastAsia="Arial" w:hAnsi="Arial"/>
          <w:sz w:val="11"/>
          <w:szCs w:val="11"/>
          <w:color w:val="auto"/>
        </w:rPr>
      </w:pPr>
      <w:r>
        <w:rPr>
          <w:rFonts w:ascii="Arial" w:cs="Arial" w:eastAsia="Arial" w:hAnsi="Arial"/>
          <w:sz w:val="11"/>
          <w:szCs w:val="11"/>
          <w:color w:val="auto"/>
        </w:rPr>
        <w:t>A Funding Notice must:</w:t>
      </w:r>
    </w:p>
    <w:p>
      <w:pPr>
        <w:spacing w:after="0" w:line="71" w:lineRule="exact"/>
        <w:rPr>
          <w:rFonts w:ascii="Arial" w:cs="Arial" w:eastAsia="Arial" w:hAnsi="Arial"/>
          <w:sz w:val="11"/>
          <w:szCs w:val="11"/>
          <w:color w:val="auto"/>
        </w:rPr>
      </w:pPr>
    </w:p>
    <w:p>
      <w:pPr>
        <w:ind w:left="1400" w:hanging="285"/>
        <w:spacing w:after="0"/>
        <w:tabs>
          <w:tab w:leader="none" w:pos="1400" w:val="left"/>
        </w:tabs>
        <w:numPr>
          <w:ilvl w:val="1"/>
          <w:numId w:val="99"/>
        </w:numPr>
        <w:rPr>
          <w:rFonts w:ascii="Arial" w:cs="Arial" w:eastAsia="Arial" w:hAnsi="Arial"/>
          <w:sz w:val="11"/>
          <w:szCs w:val="11"/>
          <w:color w:val="auto"/>
        </w:rPr>
      </w:pPr>
      <w:r>
        <w:rPr>
          <w:rFonts w:ascii="Arial" w:cs="Arial" w:eastAsia="Arial" w:hAnsi="Arial"/>
          <w:sz w:val="11"/>
          <w:szCs w:val="11"/>
          <w:color w:val="auto"/>
        </w:rPr>
        <w:t xml:space="preserve">be substantially in the form of </w:t>
      </w:r>
      <w:r>
        <w:rPr>
          <w:rFonts w:ascii="Arial" w:cs="Arial" w:eastAsia="Arial" w:hAnsi="Arial"/>
          <w:sz w:val="11"/>
          <w:szCs w:val="11"/>
          <w:b w:val="1"/>
          <w:bCs w:val="1"/>
          <w:color w:val="auto"/>
        </w:rPr>
        <w:t>schedule 7</w:t>
      </w:r>
      <w:r>
        <w:rPr>
          <w:rFonts w:ascii="Arial" w:cs="Arial" w:eastAsia="Arial" w:hAnsi="Arial"/>
          <w:sz w:val="11"/>
          <w:szCs w:val="11"/>
          <w:color w:val="auto"/>
        </w:rPr>
        <w:t>;</w:t>
      </w:r>
    </w:p>
    <w:p>
      <w:pPr>
        <w:spacing w:after="0" w:line="65" w:lineRule="exact"/>
        <w:rPr>
          <w:rFonts w:ascii="Arial" w:cs="Arial" w:eastAsia="Arial" w:hAnsi="Arial"/>
          <w:sz w:val="11"/>
          <w:szCs w:val="11"/>
          <w:color w:val="auto"/>
        </w:rPr>
      </w:pPr>
    </w:p>
    <w:p>
      <w:pPr>
        <w:ind w:left="1400" w:hanging="285"/>
        <w:spacing w:after="0"/>
        <w:tabs>
          <w:tab w:leader="none" w:pos="1400" w:val="left"/>
        </w:tabs>
        <w:numPr>
          <w:ilvl w:val="1"/>
          <w:numId w:val="99"/>
        </w:numPr>
        <w:rPr>
          <w:rFonts w:ascii="Arial" w:cs="Arial" w:eastAsia="Arial" w:hAnsi="Arial"/>
          <w:sz w:val="11"/>
          <w:szCs w:val="11"/>
          <w:color w:val="auto"/>
        </w:rPr>
      </w:pPr>
      <w:r>
        <w:rPr>
          <w:rFonts w:ascii="Arial" w:cs="Arial" w:eastAsia="Arial" w:hAnsi="Arial"/>
          <w:sz w:val="11"/>
          <w:szCs w:val="11"/>
          <w:color w:val="auto"/>
        </w:rPr>
        <w:t>be signed by an Authorised Representative of the Borrower;</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99"/>
        </w:numPr>
        <w:rPr>
          <w:rFonts w:ascii="Arial" w:cs="Arial" w:eastAsia="Arial" w:hAnsi="Arial"/>
          <w:sz w:val="11"/>
          <w:szCs w:val="11"/>
          <w:color w:val="auto"/>
        </w:rPr>
      </w:pPr>
      <w:r>
        <w:rPr>
          <w:rFonts w:ascii="Arial" w:cs="Arial" w:eastAsia="Arial" w:hAnsi="Arial"/>
          <w:sz w:val="11"/>
          <w:szCs w:val="11"/>
          <w:color w:val="auto"/>
        </w:rPr>
        <w:t>specify the proposed Funding Date which must be a Business Day during the Availability Period;</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99"/>
        </w:numPr>
        <w:rPr>
          <w:rFonts w:ascii="Arial" w:cs="Arial" w:eastAsia="Arial" w:hAnsi="Arial"/>
          <w:sz w:val="11"/>
          <w:szCs w:val="11"/>
          <w:color w:val="auto"/>
        </w:rPr>
      </w:pPr>
      <w:r>
        <w:rPr>
          <w:rFonts w:ascii="Arial" w:cs="Arial" w:eastAsia="Arial" w:hAnsi="Arial"/>
          <w:sz w:val="11"/>
          <w:szCs w:val="11"/>
          <w:color w:val="auto"/>
        </w:rPr>
        <w:t>specify the amount of the proposed Advance or the Aggregate Amount of the proposed Drawing;</w:t>
      </w:r>
    </w:p>
    <w:p>
      <w:pPr>
        <w:spacing w:after="0" w:line="61" w:lineRule="exact"/>
        <w:rPr>
          <w:rFonts w:ascii="Arial" w:cs="Arial" w:eastAsia="Arial" w:hAnsi="Arial"/>
          <w:sz w:val="11"/>
          <w:szCs w:val="11"/>
          <w:color w:val="auto"/>
        </w:rPr>
      </w:pPr>
    </w:p>
    <w:p>
      <w:pPr>
        <w:ind w:left="1400" w:hanging="285"/>
        <w:spacing w:after="0"/>
        <w:tabs>
          <w:tab w:leader="none" w:pos="1400" w:val="left"/>
        </w:tabs>
        <w:numPr>
          <w:ilvl w:val="1"/>
          <w:numId w:val="99"/>
        </w:numPr>
        <w:rPr>
          <w:rFonts w:ascii="Arial" w:cs="Arial" w:eastAsia="Arial" w:hAnsi="Arial"/>
          <w:sz w:val="11"/>
          <w:szCs w:val="11"/>
          <w:color w:val="auto"/>
        </w:rPr>
      </w:pPr>
      <w:r>
        <w:rPr>
          <w:rFonts w:ascii="Arial" w:cs="Arial" w:eastAsia="Arial" w:hAnsi="Arial"/>
          <w:sz w:val="11"/>
          <w:szCs w:val="11"/>
          <w:color w:val="auto"/>
        </w:rPr>
        <w:t>specify the duration of the Pricing Period for each Advance; and</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99"/>
        </w:numPr>
        <w:rPr>
          <w:rFonts w:ascii="Arial" w:cs="Arial" w:eastAsia="Arial" w:hAnsi="Arial"/>
          <w:sz w:val="11"/>
          <w:szCs w:val="11"/>
          <w:color w:val="auto"/>
        </w:rPr>
      </w:pPr>
      <w:r>
        <w:rPr>
          <w:rFonts w:ascii="Arial" w:cs="Arial" w:eastAsia="Arial" w:hAnsi="Arial"/>
          <w:sz w:val="11"/>
          <w:szCs w:val="11"/>
          <w:color w:val="auto"/>
        </w:rPr>
        <w:t>in the case of any Drawing, specify whether the Drawing is:</w:t>
      </w:r>
    </w:p>
    <w:p>
      <w:pPr>
        <w:spacing w:after="0" w:line="68" w:lineRule="exact"/>
        <w:rPr>
          <w:rFonts w:ascii="Arial" w:cs="Arial" w:eastAsia="Arial" w:hAnsi="Arial"/>
          <w:sz w:val="11"/>
          <w:szCs w:val="11"/>
          <w:color w:val="auto"/>
        </w:rPr>
      </w:pPr>
    </w:p>
    <w:p>
      <w:pPr>
        <w:ind w:left="1660" w:hanging="275"/>
        <w:spacing w:after="0"/>
        <w:tabs>
          <w:tab w:leader="none" w:pos="1660" w:val="left"/>
        </w:tabs>
        <w:numPr>
          <w:ilvl w:val="2"/>
          <w:numId w:val="99"/>
        </w:numPr>
        <w:rPr>
          <w:rFonts w:ascii="Arial" w:cs="Arial" w:eastAsia="Arial" w:hAnsi="Arial"/>
          <w:sz w:val="11"/>
          <w:szCs w:val="11"/>
          <w:color w:val="auto"/>
        </w:rPr>
      </w:pPr>
      <w:r>
        <w:rPr>
          <w:rFonts w:ascii="Arial" w:cs="Arial" w:eastAsia="Arial" w:hAnsi="Arial"/>
          <w:sz w:val="11"/>
          <w:szCs w:val="11"/>
          <w:color w:val="auto"/>
        </w:rPr>
        <w:t>to comprise the issue of a new Bank Guarantee, and if so, also specify the date to be shown as the Expiry Date, the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26</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94" w:name="page95"/>
    <w:bookmarkEnd w:id="94"/>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person to be named as the Beneficiary and the Face Value of each requested Bank Guarantees; or</w:t>
      </w:r>
    </w:p>
    <w:p>
      <w:pPr>
        <w:spacing w:after="0" w:line="46" w:lineRule="exact"/>
        <w:rPr>
          <w:sz w:val="20"/>
          <w:szCs w:val="20"/>
          <w:color w:val="auto"/>
        </w:rPr>
      </w:pPr>
    </w:p>
    <w:p>
      <w:pPr>
        <w:ind w:left="1660" w:right="460" w:hanging="275"/>
        <w:spacing w:after="0" w:line="256" w:lineRule="auto"/>
        <w:tabs>
          <w:tab w:leader="none" w:pos="1660" w:val="left"/>
        </w:tabs>
        <w:numPr>
          <w:ilvl w:val="1"/>
          <w:numId w:val="100"/>
        </w:numPr>
        <w:rPr>
          <w:rFonts w:ascii="Arial" w:cs="Arial" w:eastAsia="Arial" w:hAnsi="Arial"/>
          <w:sz w:val="11"/>
          <w:szCs w:val="11"/>
          <w:color w:val="auto"/>
        </w:rPr>
      </w:pPr>
      <w:r>
        <w:rPr>
          <w:rFonts w:ascii="Arial" w:cs="Arial" w:eastAsia="Arial" w:hAnsi="Arial"/>
          <w:sz w:val="11"/>
          <w:szCs w:val="11"/>
          <w:color w:val="auto"/>
        </w:rPr>
        <w:t>deemed to comprise an existing bank guarantee that prior to the date of this document has been issued by the Bank at the request of the Borrower and, if so, specify the date shown as the Expiry Date, the person named as the Beneficiary and the Face Value of that bank guarantee.</w:t>
      </w:r>
    </w:p>
    <w:p>
      <w:pPr>
        <w:spacing w:after="0" w:line="22" w:lineRule="exact"/>
        <w:rPr>
          <w:rFonts w:ascii="Arial" w:cs="Arial" w:eastAsia="Arial" w:hAnsi="Arial"/>
          <w:sz w:val="11"/>
          <w:szCs w:val="11"/>
          <w:color w:val="auto"/>
        </w:rPr>
      </w:pPr>
    </w:p>
    <w:p>
      <w:pPr>
        <w:ind w:left="1080" w:hanging="280"/>
        <w:spacing w:after="0"/>
        <w:tabs>
          <w:tab w:leader="none" w:pos="108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The requirement of a Funding Notice is for the benefit of the Bank. The Bank may waive the requirement at any time and in any manner.</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A Funding Notice is irrevocable from the time of its actual receipt in legible form by the Bank.</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4.5</w:t>
      </w:r>
      <w:r>
        <w:rPr>
          <w:sz w:val="20"/>
          <w:szCs w:val="20"/>
          <w:color w:val="auto"/>
        </w:rPr>
        <w:tab/>
      </w:r>
      <w:r>
        <w:rPr>
          <w:rFonts w:ascii="Arial" w:cs="Arial" w:eastAsia="Arial" w:hAnsi="Arial"/>
          <w:sz w:val="12"/>
          <w:szCs w:val="12"/>
          <w:b w:val="1"/>
          <w:bCs w:val="1"/>
          <w:color w:val="auto"/>
        </w:rPr>
        <w:t>Not used</w:t>
      </w:r>
    </w:p>
    <w:p>
      <w:pPr>
        <w:spacing w:after="0" w:line="72"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4.6</w:t>
      </w:r>
      <w:r>
        <w:rPr>
          <w:sz w:val="20"/>
          <w:szCs w:val="20"/>
          <w:color w:val="auto"/>
        </w:rPr>
        <w:tab/>
      </w:r>
      <w:r>
        <w:rPr>
          <w:rFonts w:ascii="Arial" w:cs="Arial" w:eastAsia="Arial" w:hAnsi="Arial"/>
          <w:sz w:val="12"/>
          <w:szCs w:val="12"/>
          <w:b w:val="1"/>
          <w:bCs w:val="1"/>
          <w:color w:val="auto"/>
        </w:rPr>
        <w:t>Not used</w:t>
      </w:r>
    </w:p>
    <w:p>
      <w:pPr>
        <w:spacing w:after="0" w:line="72"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4.7</w:t>
      </w:r>
      <w:r>
        <w:rPr>
          <w:sz w:val="20"/>
          <w:szCs w:val="20"/>
          <w:color w:val="auto"/>
        </w:rPr>
        <w:tab/>
      </w:r>
      <w:r>
        <w:rPr>
          <w:rFonts w:ascii="Arial" w:cs="Arial" w:eastAsia="Arial" w:hAnsi="Arial"/>
          <w:sz w:val="12"/>
          <w:szCs w:val="12"/>
          <w:b w:val="1"/>
          <w:bCs w:val="1"/>
          <w:color w:val="auto"/>
        </w:rPr>
        <w:t>Not used</w:t>
      </w:r>
    </w:p>
    <w:p>
      <w:pPr>
        <w:spacing w:after="0" w:line="72"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4.8</w:t>
      </w:r>
      <w:r>
        <w:rPr>
          <w:sz w:val="20"/>
          <w:szCs w:val="20"/>
          <w:color w:val="auto"/>
        </w:rPr>
        <w:tab/>
      </w:r>
      <w:r>
        <w:rPr>
          <w:rFonts w:ascii="Arial" w:cs="Arial" w:eastAsia="Arial" w:hAnsi="Arial"/>
          <w:sz w:val="11"/>
          <w:szCs w:val="11"/>
          <w:b w:val="1"/>
          <w:bCs w:val="1"/>
          <w:color w:val="auto"/>
        </w:rPr>
        <w:t>Bank Guarantee Facilities</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In the case of the Bank Guarantee Facility on the Funding Date specified in the Funding Notice:</w:t>
      </w:r>
    </w:p>
    <w:p>
      <w:pPr>
        <w:spacing w:after="0" w:line="40" w:lineRule="exact"/>
        <w:rPr>
          <w:sz w:val="20"/>
          <w:szCs w:val="20"/>
          <w:color w:val="auto"/>
        </w:rPr>
      </w:pPr>
    </w:p>
    <w:p>
      <w:pPr>
        <w:ind w:left="1080" w:right="160" w:hanging="280"/>
        <w:spacing w:after="0" w:line="268" w:lineRule="auto"/>
        <w:tabs>
          <w:tab w:leader="none" w:pos="108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 xml:space="preserve">the Bank must for the purposes of a Drawing contemplated under </w:t>
      </w:r>
      <w:r>
        <w:rPr>
          <w:rFonts w:ascii="Arial" w:cs="Arial" w:eastAsia="Arial" w:hAnsi="Arial"/>
          <w:sz w:val="11"/>
          <w:szCs w:val="11"/>
          <w:b w:val="1"/>
          <w:bCs w:val="1"/>
          <w:color w:val="auto"/>
        </w:rPr>
        <w:t>clause 4.4(a)(vi)(A)</w:t>
      </w:r>
      <w:r>
        <w:rPr>
          <w:rFonts w:ascii="Arial" w:cs="Arial" w:eastAsia="Arial" w:hAnsi="Arial"/>
          <w:sz w:val="11"/>
          <w:szCs w:val="11"/>
          <w:color w:val="auto"/>
        </w:rPr>
        <w:t>, issue each Bank Guarantee requested in the Funding Notice in accordance with that Funding Notice; or</w:t>
      </w:r>
    </w:p>
    <w:p>
      <w:pPr>
        <w:spacing w:after="0" w:line="10" w:lineRule="exact"/>
        <w:rPr>
          <w:rFonts w:ascii="Arial" w:cs="Arial" w:eastAsia="Arial" w:hAnsi="Arial"/>
          <w:sz w:val="11"/>
          <w:szCs w:val="11"/>
          <w:color w:val="auto"/>
        </w:rPr>
      </w:pPr>
    </w:p>
    <w:p>
      <w:pPr>
        <w:ind w:left="1080" w:right="440" w:hanging="280"/>
        <w:spacing w:after="0" w:line="268" w:lineRule="auto"/>
        <w:tabs>
          <w:tab w:leader="none" w:pos="108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 xml:space="preserve">the parties agree that for the purposes of a Drawing contemplated under </w:t>
      </w:r>
      <w:r>
        <w:rPr>
          <w:rFonts w:ascii="Arial" w:cs="Arial" w:eastAsia="Arial" w:hAnsi="Arial"/>
          <w:sz w:val="11"/>
          <w:szCs w:val="11"/>
          <w:b w:val="1"/>
          <w:bCs w:val="1"/>
          <w:color w:val="auto"/>
        </w:rPr>
        <w:t>clause 4.4(a)(vi)(B)</w:t>
      </w:r>
      <w:r>
        <w:rPr>
          <w:rFonts w:ascii="Arial" w:cs="Arial" w:eastAsia="Arial" w:hAnsi="Arial"/>
          <w:sz w:val="11"/>
          <w:szCs w:val="11"/>
          <w:color w:val="auto"/>
        </w:rPr>
        <w:t>, the existing bank guarantee referred to in the Funding Notice is deemed to be a Bank Guarantee issued in accordance with the Bank Guarantee Facility and that Funding Notice.</w:t>
      </w:r>
    </w:p>
    <w:p>
      <w:pPr>
        <w:spacing w:after="0" w:line="4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4.9</w:t>
      </w:r>
      <w:r>
        <w:rPr>
          <w:sz w:val="20"/>
          <w:szCs w:val="20"/>
          <w:color w:val="auto"/>
        </w:rPr>
        <w:tab/>
      </w:r>
      <w:r>
        <w:rPr>
          <w:rFonts w:ascii="Arial" w:cs="Arial" w:eastAsia="Arial" w:hAnsi="Arial"/>
          <w:sz w:val="12"/>
          <w:szCs w:val="12"/>
          <w:b w:val="1"/>
          <w:bCs w:val="1"/>
          <w:color w:val="auto"/>
        </w:rPr>
        <w:t>Cancellation</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Borrower may cancel the Available Commitment or any part of it (being</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$100,000 or an integral multiple of that amount) by giving 30 Business Days’ notice to the Bank specifying the amount to be cancelled and the date on which the</w:t>
      </w:r>
    </w:p>
    <w:p>
      <w:pPr>
        <w:ind w:left="840" w:right="280"/>
        <w:spacing w:after="0" w:line="241" w:lineRule="auto"/>
        <w:rPr>
          <w:sz w:val="20"/>
          <w:szCs w:val="20"/>
          <w:color w:val="auto"/>
        </w:rPr>
      </w:pPr>
      <w:r>
        <w:rPr>
          <w:rFonts w:ascii="Arial" w:cs="Arial" w:eastAsia="Arial" w:hAnsi="Arial"/>
          <w:sz w:val="11"/>
          <w:szCs w:val="11"/>
          <w:color w:val="auto"/>
        </w:rPr>
        <w:t>cancellation takes effect. The cancellation takes effect on the date specified in the notice (which must be a date not earlier than five Business Days after the date the Bank receives the notice).</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4.10</w:t>
        <w:tab/>
        <w:t>Market disruption</w:t>
      </w:r>
    </w:p>
    <w:p>
      <w:pPr>
        <w:spacing w:after="0" w:line="47" w:lineRule="exact"/>
        <w:rPr>
          <w:sz w:val="20"/>
          <w:szCs w:val="20"/>
          <w:color w:val="auto"/>
        </w:rPr>
      </w:pPr>
    </w:p>
    <w:p>
      <w:pPr>
        <w:ind w:left="1080" w:right="320" w:hanging="280"/>
        <w:spacing w:after="0" w:line="256" w:lineRule="auto"/>
        <w:tabs>
          <w:tab w:leader="none" w:pos="108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If the Bank determines that a Market Disruption Event occurs or has occurred in relation to an Advance, then the Bank will promptly notify the Borrower, and the Interest Rate on that Advance for that Pricing Period will be the rate per annum which is the sum of:</w:t>
      </w:r>
    </w:p>
    <w:p>
      <w:pPr>
        <w:spacing w:after="0" w:line="30" w:lineRule="exact"/>
        <w:rPr>
          <w:rFonts w:ascii="Arial" w:cs="Arial" w:eastAsia="Arial" w:hAnsi="Arial"/>
          <w:sz w:val="11"/>
          <w:szCs w:val="11"/>
          <w:color w:val="auto"/>
        </w:rPr>
      </w:pPr>
    </w:p>
    <w:p>
      <w:pPr>
        <w:ind w:left="1400" w:hanging="285"/>
        <w:spacing w:after="0"/>
        <w:tabs>
          <w:tab w:leader="none" w:pos="1400" w:val="left"/>
        </w:tabs>
        <w:numPr>
          <w:ilvl w:val="1"/>
          <w:numId w:val="103"/>
        </w:numPr>
        <w:rPr>
          <w:rFonts w:ascii="Arial" w:cs="Arial" w:eastAsia="Arial" w:hAnsi="Arial"/>
          <w:sz w:val="11"/>
          <w:szCs w:val="11"/>
          <w:color w:val="auto"/>
        </w:rPr>
      </w:pPr>
      <w:r>
        <w:rPr>
          <w:rFonts w:ascii="Arial" w:cs="Arial" w:eastAsia="Arial" w:hAnsi="Arial"/>
          <w:sz w:val="11"/>
          <w:szCs w:val="11"/>
          <w:color w:val="auto"/>
        </w:rPr>
        <w:t>the Margin for the Advance; and</w:t>
      </w:r>
    </w:p>
    <w:p>
      <w:pPr>
        <w:spacing w:after="0" w:line="68" w:lineRule="exact"/>
        <w:rPr>
          <w:rFonts w:ascii="Arial" w:cs="Arial" w:eastAsia="Arial" w:hAnsi="Arial"/>
          <w:sz w:val="11"/>
          <w:szCs w:val="11"/>
          <w:color w:val="auto"/>
        </w:rPr>
      </w:pPr>
    </w:p>
    <w:p>
      <w:pPr>
        <w:ind w:left="1400" w:right="1060" w:hanging="285"/>
        <w:spacing w:after="0" w:line="256" w:lineRule="auto"/>
        <w:tabs>
          <w:tab w:leader="none" w:pos="1400" w:val="left"/>
        </w:tabs>
        <w:numPr>
          <w:ilvl w:val="1"/>
          <w:numId w:val="103"/>
        </w:numPr>
        <w:rPr>
          <w:rFonts w:ascii="Arial" w:cs="Arial" w:eastAsia="Arial" w:hAnsi="Arial"/>
          <w:sz w:val="11"/>
          <w:szCs w:val="11"/>
          <w:color w:val="auto"/>
        </w:rPr>
      </w:pPr>
      <w:r>
        <w:rPr>
          <w:rFonts w:ascii="Arial" w:cs="Arial" w:eastAsia="Arial" w:hAnsi="Arial"/>
          <w:sz w:val="11"/>
          <w:szCs w:val="11"/>
          <w:color w:val="auto"/>
        </w:rPr>
        <w:t>the rate notified to the Borrower as soon as practicable and in any event no later than the Business Day before interest is due to be paid in respect of that Pricing Period, to be that which expresses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27</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95" w:name="page96"/>
    <w:bookmarkEnd w:id="95"/>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0"/>
        <w:spacing w:after="0"/>
        <w:rPr>
          <w:sz w:val="20"/>
          <w:szCs w:val="20"/>
          <w:color w:val="auto"/>
        </w:rPr>
      </w:pPr>
      <w:r>
        <w:rPr>
          <w:rFonts w:ascii="Arial" w:cs="Arial" w:eastAsia="Arial" w:hAnsi="Arial"/>
          <w:sz w:val="11"/>
          <w:szCs w:val="11"/>
          <w:color w:val="auto"/>
        </w:rPr>
        <w:t>as a percentage rate per annum the cost to the Bank of funding that Advance from whatever source or sources the Bank may reasonably select.</w:t>
      </w:r>
    </w:p>
    <w:p>
      <w:pPr>
        <w:spacing w:after="0" w:line="49" w:lineRule="exact"/>
        <w:rPr>
          <w:sz w:val="20"/>
          <w:szCs w:val="20"/>
          <w:color w:val="auto"/>
        </w:rPr>
      </w:pPr>
    </w:p>
    <w:p>
      <w:pPr>
        <w:ind w:left="1080" w:hanging="280"/>
        <w:spacing w:after="0"/>
        <w:tabs>
          <w:tab w:leader="none" w:pos="108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 xml:space="preserve">For the purposes of </w:t>
      </w:r>
      <w:r>
        <w:rPr>
          <w:rFonts w:ascii="Arial" w:cs="Arial" w:eastAsia="Arial" w:hAnsi="Arial"/>
          <w:sz w:val="11"/>
          <w:szCs w:val="11"/>
          <w:b w:val="1"/>
          <w:bCs w:val="1"/>
          <w:color w:val="auto"/>
        </w:rPr>
        <w:t>clause 4.10(a)</w:t>
      </w:r>
      <w:r>
        <w:rPr>
          <w:rFonts w:ascii="Arial" w:cs="Arial" w:eastAsia="Arial" w:hAnsi="Arial"/>
          <w:sz w:val="11"/>
          <w:szCs w:val="11"/>
          <w:color w:val="auto"/>
        </w:rPr>
        <w:t>:</w:t>
      </w:r>
    </w:p>
    <w:p>
      <w:pPr>
        <w:spacing w:after="0" w:line="59" w:lineRule="exact"/>
        <w:rPr>
          <w:rFonts w:ascii="Arial" w:cs="Arial" w:eastAsia="Arial" w:hAnsi="Arial"/>
          <w:sz w:val="11"/>
          <w:szCs w:val="11"/>
          <w:color w:val="auto"/>
        </w:rPr>
      </w:pPr>
    </w:p>
    <w:p>
      <w:pPr>
        <w:ind w:left="1400" w:hanging="285"/>
        <w:spacing w:after="0"/>
        <w:tabs>
          <w:tab w:leader="none" w:pos="1400" w:val="left"/>
        </w:tabs>
        <w:numPr>
          <w:ilvl w:val="1"/>
          <w:numId w:val="104"/>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Market Disruption Event </w:t>
      </w:r>
      <w:r>
        <w:rPr>
          <w:rFonts w:ascii="Arial" w:cs="Arial" w:eastAsia="Arial" w:hAnsi="Arial"/>
          <w:sz w:val="11"/>
          <w:szCs w:val="11"/>
          <w:color w:val="auto"/>
        </w:rPr>
        <w:t>means:</w:t>
      </w:r>
    </w:p>
    <w:p>
      <w:pPr>
        <w:spacing w:after="0" w:line="74" w:lineRule="exact"/>
        <w:rPr>
          <w:rFonts w:ascii="Arial" w:cs="Arial" w:eastAsia="Arial" w:hAnsi="Arial"/>
          <w:sz w:val="11"/>
          <w:szCs w:val="11"/>
          <w:b w:val="1"/>
          <w:bCs w:val="1"/>
          <w:color w:val="auto"/>
        </w:rPr>
      </w:pPr>
    </w:p>
    <w:p>
      <w:pPr>
        <w:ind w:left="1660" w:right="780" w:hanging="275"/>
        <w:spacing w:after="0" w:line="256" w:lineRule="auto"/>
        <w:tabs>
          <w:tab w:leader="none" w:pos="1660" w:val="left"/>
        </w:tabs>
        <w:numPr>
          <w:ilvl w:val="2"/>
          <w:numId w:val="104"/>
        </w:numPr>
        <w:rPr>
          <w:rFonts w:ascii="Arial" w:cs="Arial" w:eastAsia="Arial" w:hAnsi="Arial"/>
          <w:sz w:val="11"/>
          <w:szCs w:val="11"/>
          <w:color w:val="auto"/>
        </w:rPr>
      </w:pPr>
      <w:r>
        <w:rPr>
          <w:rFonts w:ascii="Arial" w:cs="Arial" w:eastAsia="Arial" w:hAnsi="Arial"/>
          <w:sz w:val="11"/>
          <w:szCs w:val="11"/>
          <w:color w:val="auto"/>
        </w:rPr>
        <w:t>at or about the time on the day (Quotation Day) for the Bank to determine the Screen Rate for the relevant currency and Pricing Period, the Screen Rate is not available and the Bank is unable to specify another page or service displaying an appropriate rate; or</w:t>
      </w:r>
    </w:p>
    <w:p>
      <w:pPr>
        <w:spacing w:after="0" w:line="22" w:lineRule="exact"/>
        <w:rPr>
          <w:rFonts w:ascii="Arial" w:cs="Arial" w:eastAsia="Arial" w:hAnsi="Arial"/>
          <w:sz w:val="11"/>
          <w:szCs w:val="11"/>
          <w:color w:val="auto"/>
        </w:rPr>
      </w:pPr>
    </w:p>
    <w:p>
      <w:pPr>
        <w:ind w:left="1660" w:right="480" w:hanging="275"/>
        <w:spacing w:after="0" w:line="256" w:lineRule="auto"/>
        <w:tabs>
          <w:tab w:leader="none" w:pos="1660" w:val="left"/>
        </w:tabs>
        <w:numPr>
          <w:ilvl w:val="2"/>
          <w:numId w:val="104"/>
        </w:numPr>
        <w:rPr>
          <w:rFonts w:ascii="Arial" w:cs="Arial" w:eastAsia="Arial" w:hAnsi="Arial"/>
          <w:sz w:val="11"/>
          <w:szCs w:val="11"/>
          <w:color w:val="auto"/>
        </w:rPr>
      </w:pPr>
      <w:r>
        <w:rPr>
          <w:rFonts w:ascii="Arial" w:cs="Arial" w:eastAsia="Arial" w:hAnsi="Arial"/>
          <w:sz w:val="11"/>
          <w:szCs w:val="11"/>
          <w:color w:val="auto"/>
        </w:rPr>
        <w:t>in relation to an Advance, before 5.00 pm (local time) on the Business Day after the Quotation Day for the relevant period, the Bank notifies the Borrower, that as a result of market circumstances not limited to the Bank the cost to the Bank of funding the Advance exceeds the Screen Rate.</w:t>
      </w:r>
    </w:p>
    <w:p>
      <w:pPr>
        <w:spacing w:after="0" w:line="16" w:lineRule="exact"/>
        <w:rPr>
          <w:rFonts w:ascii="Arial" w:cs="Arial" w:eastAsia="Arial" w:hAnsi="Arial"/>
          <w:sz w:val="11"/>
          <w:szCs w:val="11"/>
          <w:color w:val="auto"/>
        </w:rPr>
      </w:pPr>
    </w:p>
    <w:p>
      <w:pPr>
        <w:ind w:left="1400" w:hanging="285"/>
        <w:spacing w:after="0"/>
        <w:tabs>
          <w:tab w:leader="none" w:pos="1400" w:val="left"/>
        </w:tabs>
        <w:numPr>
          <w:ilvl w:val="1"/>
          <w:numId w:val="104"/>
        </w:numPr>
        <w:rPr>
          <w:rFonts w:ascii="Arial" w:cs="Arial" w:eastAsia="Arial" w:hAnsi="Arial"/>
          <w:sz w:val="11"/>
          <w:szCs w:val="11"/>
          <w:color w:val="auto"/>
        </w:rPr>
      </w:pPr>
      <w:r>
        <w:rPr>
          <w:rFonts w:ascii="Arial" w:cs="Arial" w:eastAsia="Arial" w:hAnsi="Arial"/>
          <w:sz w:val="11"/>
          <w:szCs w:val="11"/>
          <w:b w:val="1"/>
          <w:bCs w:val="1"/>
          <w:color w:val="auto"/>
        </w:rPr>
        <w:t xml:space="preserve">Screen Rate </w:t>
      </w:r>
      <w:r>
        <w:rPr>
          <w:rFonts w:ascii="Arial" w:cs="Arial" w:eastAsia="Arial" w:hAnsi="Arial"/>
          <w:sz w:val="11"/>
          <w:szCs w:val="11"/>
          <w:color w:val="auto"/>
        </w:rPr>
        <w:t>means the rate specified in paragraph (a) of the definition of “Base Rate”.</w:t>
      </w:r>
    </w:p>
    <w:p>
      <w:pPr>
        <w:spacing w:after="0" w:line="84"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4.11</w:t>
      </w:r>
      <w:r>
        <w:rPr>
          <w:sz w:val="20"/>
          <w:szCs w:val="20"/>
          <w:color w:val="auto"/>
        </w:rPr>
        <w:tab/>
      </w:r>
      <w:r>
        <w:rPr>
          <w:rFonts w:ascii="Arial" w:cs="Arial" w:eastAsia="Arial" w:hAnsi="Arial"/>
          <w:sz w:val="11"/>
          <w:szCs w:val="11"/>
          <w:b w:val="1"/>
          <w:bCs w:val="1"/>
          <w:color w:val="auto"/>
        </w:rPr>
        <w:t>Alternative basis of interest or funding</w:t>
      </w:r>
    </w:p>
    <w:p>
      <w:pPr>
        <w:spacing w:after="0" w:line="47" w:lineRule="exact"/>
        <w:rPr>
          <w:sz w:val="20"/>
          <w:szCs w:val="20"/>
          <w:color w:val="auto"/>
        </w:rPr>
      </w:pPr>
    </w:p>
    <w:p>
      <w:pPr>
        <w:ind w:left="840" w:right="300"/>
        <w:spacing w:after="0" w:line="256" w:lineRule="auto"/>
        <w:rPr>
          <w:sz w:val="20"/>
          <w:szCs w:val="20"/>
          <w:color w:val="auto"/>
        </w:rPr>
      </w:pPr>
      <w:r>
        <w:rPr>
          <w:rFonts w:ascii="Arial" w:cs="Arial" w:eastAsia="Arial" w:hAnsi="Arial"/>
          <w:sz w:val="11"/>
          <w:szCs w:val="11"/>
          <w:color w:val="auto"/>
        </w:rPr>
        <w:t>If a Market Disruption Event occurs and the Bank or the Borrower so requires, the Bank and the Borrower will enter into negotiations (for a period of not more than 30 days) with a view to agreeing a substitute basis for determining the rate of interest or discount.</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4.12</w:t>
      </w:r>
      <w:r>
        <w:rPr>
          <w:sz w:val="20"/>
          <w:szCs w:val="20"/>
          <w:color w:val="auto"/>
        </w:rPr>
        <w:tab/>
      </w:r>
      <w:r>
        <w:rPr>
          <w:rFonts w:ascii="Arial" w:cs="Arial" w:eastAsia="Arial" w:hAnsi="Arial"/>
          <w:sz w:val="11"/>
          <w:szCs w:val="11"/>
          <w:b w:val="1"/>
          <w:bCs w:val="1"/>
          <w:color w:val="auto"/>
        </w:rPr>
        <w:t>Pricing Review Events</w:t>
      </w:r>
    </w:p>
    <w:p>
      <w:pPr>
        <w:spacing w:after="0" w:line="41" w:lineRule="exact"/>
        <w:rPr>
          <w:sz w:val="20"/>
          <w:szCs w:val="20"/>
          <w:color w:val="auto"/>
        </w:rPr>
      </w:pPr>
    </w:p>
    <w:p>
      <w:pPr>
        <w:ind w:left="1080" w:hanging="280"/>
        <w:spacing w:after="0"/>
        <w:tabs>
          <w:tab w:leader="none" w:pos="108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The Bank has the right to review the pricing applicable to a Facility (</w:t>
      </w:r>
      <w:r>
        <w:rPr>
          <w:rFonts w:ascii="Arial" w:cs="Arial" w:eastAsia="Arial" w:hAnsi="Arial"/>
          <w:sz w:val="11"/>
          <w:szCs w:val="11"/>
          <w:b w:val="1"/>
          <w:bCs w:val="1"/>
          <w:color w:val="auto"/>
        </w:rPr>
        <w:t>Review</w:t>
      </w:r>
      <w:r>
        <w:rPr>
          <w:rFonts w:ascii="Arial" w:cs="Arial" w:eastAsia="Arial" w:hAnsi="Arial"/>
          <w:sz w:val="11"/>
          <w:szCs w:val="11"/>
          <w:color w:val="auto"/>
        </w:rPr>
        <w:t>):</w:t>
      </w:r>
    </w:p>
    <w:p>
      <w:pPr>
        <w:spacing w:after="0" w:line="52" w:lineRule="exact"/>
        <w:rPr>
          <w:rFonts w:ascii="Arial" w:cs="Arial" w:eastAsia="Arial" w:hAnsi="Arial"/>
          <w:sz w:val="11"/>
          <w:szCs w:val="11"/>
          <w:color w:val="auto"/>
        </w:rPr>
      </w:pPr>
    </w:p>
    <w:p>
      <w:pPr>
        <w:ind w:left="1400" w:hanging="285"/>
        <w:spacing w:after="0"/>
        <w:tabs>
          <w:tab w:leader="none" w:pos="1400" w:val="left"/>
        </w:tabs>
        <w:numPr>
          <w:ilvl w:val="1"/>
          <w:numId w:val="105"/>
        </w:numPr>
        <w:rPr>
          <w:rFonts w:ascii="Arial" w:cs="Arial" w:eastAsia="Arial" w:hAnsi="Arial"/>
          <w:sz w:val="11"/>
          <w:szCs w:val="11"/>
          <w:color w:val="auto"/>
        </w:rPr>
      </w:pPr>
      <w:r>
        <w:rPr>
          <w:rFonts w:ascii="Arial" w:cs="Arial" w:eastAsia="Arial" w:hAnsi="Arial"/>
          <w:sz w:val="11"/>
          <w:szCs w:val="11"/>
          <w:color w:val="auto"/>
        </w:rPr>
        <w:t>at any time if the Bank reasonably believes that an Event of Default subsists;</w:t>
      </w:r>
    </w:p>
    <w:p>
      <w:pPr>
        <w:spacing w:after="0" w:line="53" w:lineRule="exact"/>
        <w:rPr>
          <w:rFonts w:ascii="Arial" w:cs="Arial" w:eastAsia="Arial" w:hAnsi="Arial"/>
          <w:sz w:val="11"/>
          <w:szCs w:val="11"/>
          <w:color w:val="auto"/>
        </w:rPr>
      </w:pPr>
    </w:p>
    <w:p>
      <w:pPr>
        <w:ind w:left="1400" w:hanging="285"/>
        <w:spacing w:after="0"/>
        <w:tabs>
          <w:tab w:leader="none" w:pos="1400" w:val="left"/>
        </w:tabs>
        <w:numPr>
          <w:ilvl w:val="1"/>
          <w:numId w:val="105"/>
        </w:numPr>
        <w:rPr>
          <w:rFonts w:ascii="Arial" w:cs="Arial" w:eastAsia="Arial" w:hAnsi="Arial"/>
          <w:sz w:val="11"/>
          <w:szCs w:val="11"/>
          <w:color w:val="auto"/>
        </w:rPr>
      </w:pPr>
      <w:r>
        <w:rPr>
          <w:rFonts w:ascii="Arial" w:cs="Arial" w:eastAsia="Arial" w:hAnsi="Arial"/>
          <w:sz w:val="11"/>
          <w:szCs w:val="11"/>
          <w:color w:val="auto"/>
        </w:rPr>
        <w:t>at any time:</w:t>
      </w:r>
    </w:p>
    <w:p>
      <w:pPr>
        <w:spacing w:after="0" w:line="68" w:lineRule="exact"/>
        <w:rPr>
          <w:rFonts w:ascii="Arial" w:cs="Arial" w:eastAsia="Arial" w:hAnsi="Arial"/>
          <w:sz w:val="11"/>
          <w:szCs w:val="11"/>
          <w:color w:val="auto"/>
        </w:rPr>
      </w:pPr>
    </w:p>
    <w:p>
      <w:pPr>
        <w:ind w:left="1660" w:hanging="275"/>
        <w:spacing w:after="0"/>
        <w:tabs>
          <w:tab w:leader="none" w:pos="1660" w:val="left"/>
        </w:tabs>
        <w:numPr>
          <w:ilvl w:val="2"/>
          <w:numId w:val="105"/>
        </w:numPr>
        <w:rPr>
          <w:rFonts w:ascii="Arial" w:cs="Arial" w:eastAsia="Arial" w:hAnsi="Arial"/>
          <w:sz w:val="11"/>
          <w:szCs w:val="11"/>
          <w:color w:val="auto"/>
        </w:rPr>
      </w:pPr>
      <w:r>
        <w:rPr>
          <w:rFonts w:ascii="Arial" w:cs="Arial" w:eastAsia="Arial" w:hAnsi="Arial"/>
          <w:sz w:val="11"/>
          <w:szCs w:val="11"/>
          <w:color w:val="auto"/>
        </w:rPr>
        <w:t>a change occurs in the financial markets which affects financial institutions generally; and/or</w:t>
      </w:r>
    </w:p>
    <w:p>
      <w:pPr>
        <w:spacing w:after="0" w:line="46" w:lineRule="exact"/>
        <w:rPr>
          <w:rFonts w:ascii="Arial" w:cs="Arial" w:eastAsia="Arial" w:hAnsi="Arial"/>
          <w:sz w:val="11"/>
          <w:szCs w:val="11"/>
          <w:color w:val="auto"/>
        </w:rPr>
      </w:pPr>
    </w:p>
    <w:p>
      <w:pPr>
        <w:ind w:left="1660" w:right="140" w:hanging="275"/>
        <w:spacing w:after="0" w:line="256" w:lineRule="auto"/>
        <w:tabs>
          <w:tab w:leader="none" w:pos="1660" w:val="left"/>
        </w:tabs>
        <w:numPr>
          <w:ilvl w:val="2"/>
          <w:numId w:val="105"/>
        </w:numPr>
        <w:rPr>
          <w:rFonts w:ascii="Arial" w:cs="Arial" w:eastAsia="Arial" w:hAnsi="Arial"/>
          <w:sz w:val="11"/>
          <w:szCs w:val="11"/>
          <w:color w:val="auto"/>
        </w:rPr>
      </w:pPr>
      <w:r>
        <w:rPr>
          <w:rFonts w:ascii="Arial" w:cs="Arial" w:eastAsia="Arial" w:hAnsi="Arial"/>
          <w:sz w:val="11"/>
          <w:szCs w:val="11"/>
          <w:color w:val="auto"/>
        </w:rPr>
        <w:t>a general change occurs in the cost of funds in the financial markets in which the Bank raises funds (not being a change resulting from a change in the Bank’s credit rating or any other matter relating specifically to the Bank).</w:t>
      </w:r>
    </w:p>
    <w:p>
      <w:pPr>
        <w:spacing w:after="0" w:line="22" w:lineRule="exact"/>
        <w:rPr>
          <w:rFonts w:ascii="Arial" w:cs="Arial" w:eastAsia="Arial" w:hAnsi="Arial"/>
          <w:sz w:val="11"/>
          <w:szCs w:val="11"/>
          <w:color w:val="auto"/>
        </w:rPr>
      </w:pPr>
    </w:p>
    <w:p>
      <w:pPr>
        <w:ind w:left="1080" w:right="460" w:hanging="280"/>
        <w:spacing w:after="0" w:line="256" w:lineRule="auto"/>
        <w:tabs>
          <w:tab w:leader="none" w:pos="108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The Bank may request the Borrower to provide information in connection with a Review and the Borrower must provide such information as soon as possible following receipt of the request.</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4.13</w:t>
      </w:r>
      <w:r>
        <w:rPr>
          <w:sz w:val="20"/>
          <w:szCs w:val="20"/>
          <w:color w:val="auto"/>
        </w:rPr>
        <w:tab/>
      </w:r>
      <w:r>
        <w:rPr>
          <w:rFonts w:ascii="Arial" w:cs="Arial" w:eastAsia="Arial" w:hAnsi="Arial"/>
          <w:sz w:val="11"/>
          <w:szCs w:val="11"/>
          <w:b w:val="1"/>
          <w:bCs w:val="1"/>
          <w:color w:val="auto"/>
        </w:rPr>
        <w:t>Consequences of a Pricing Review</w:t>
      </w:r>
    </w:p>
    <w:p>
      <w:pPr>
        <w:spacing w:after="0" w:line="47" w:lineRule="exact"/>
        <w:rPr>
          <w:sz w:val="20"/>
          <w:szCs w:val="20"/>
          <w:color w:val="auto"/>
        </w:rPr>
      </w:pPr>
    </w:p>
    <w:p>
      <w:pPr>
        <w:ind w:left="1080" w:hanging="280"/>
        <w:spacing w:after="0"/>
        <w:tabs>
          <w:tab w:leader="none" w:pos="108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Following a Review, the Bank may, by giving written notice to the Borrower and/or by way of advertisement in the local or national press: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28</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96" w:name="page97"/>
    <w:bookmarkEnd w:id="96"/>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0" w:right="260" w:hanging="285"/>
        <w:spacing w:after="0" w:line="256" w:lineRule="auto"/>
        <w:tabs>
          <w:tab w:leader="none" w:pos="1400" w:val="left"/>
        </w:tabs>
        <w:numPr>
          <w:ilvl w:val="1"/>
          <w:numId w:val="107"/>
        </w:numPr>
        <w:rPr>
          <w:rFonts w:ascii="Arial" w:cs="Arial" w:eastAsia="Arial" w:hAnsi="Arial"/>
          <w:sz w:val="11"/>
          <w:szCs w:val="11"/>
          <w:color w:val="auto"/>
        </w:rPr>
      </w:pPr>
      <w:r>
        <w:rPr>
          <w:rFonts w:ascii="Arial" w:cs="Arial" w:eastAsia="Arial" w:hAnsi="Arial"/>
          <w:sz w:val="11"/>
          <w:szCs w:val="11"/>
          <w:color w:val="auto"/>
        </w:rPr>
        <w:t>introduce a new fee, charge or premium or change an existing fee, charge or premium (including its amount, the way in which it is calculated and when it is charged); and</w:t>
      </w:r>
    </w:p>
    <w:p>
      <w:pPr>
        <w:spacing w:after="0" w:line="22" w:lineRule="exact"/>
        <w:rPr>
          <w:rFonts w:ascii="Arial" w:cs="Arial" w:eastAsia="Arial" w:hAnsi="Arial"/>
          <w:sz w:val="11"/>
          <w:szCs w:val="11"/>
          <w:color w:val="auto"/>
        </w:rPr>
      </w:pPr>
    </w:p>
    <w:p>
      <w:pPr>
        <w:ind w:left="1400" w:right="200" w:hanging="285"/>
        <w:spacing w:after="0" w:line="256" w:lineRule="auto"/>
        <w:tabs>
          <w:tab w:leader="none" w:pos="1400" w:val="left"/>
        </w:tabs>
        <w:numPr>
          <w:ilvl w:val="1"/>
          <w:numId w:val="107"/>
        </w:numPr>
        <w:rPr>
          <w:rFonts w:ascii="Arial" w:cs="Arial" w:eastAsia="Arial" w:hAnsi="Arial"/>
          <w:sz w:val="11"/>
          <w:szCs w:val="11"/>
          <w:color w:val="auto"/>
        </w:rPr>
      </w:pPr>
      <w:r>
        <w:rPr>
          <w:rFonts w:ascii="Arial" w:cs="Arial" w:eastAsia="Arial" w:hAnsi="Arial"/>
          <w:sz w:val="11"/>
          <w:szCs w:val="11"/>
          <w:color w:val="auto"/>
        </w:rPr>
        <w:t>change the acceptance margin, line fee, interest rate or yield rate applicable to a Facility including by changing or introducing a margin (including by making the margin positive or negative), or substituting a different indicator rate for the relevant indicator rate (except where the rate is a fixed rate).</w:t>
      </w:r>
    </w:p>
    <w:p>
      <w:pPr>
        <w:spacing w:after="0" w:line="24" w:lineRule="exact"/>
        <w:rPr>
          <w:rFonts w:ascii="Arial" w:cs="Arial" w:eastAsia="Arial" w:hAnsi="Arial"/>
          <w:sz w:val="11"/>
          <w:szCs w:val="11"/>
          <w:color w:val="auto"/>
        </w:rPr>
      </w:pPr>
    </w:p>
    <w:p>
      <w:pPr>
        <w:ind w:left="1080" w:right="360" w:hanging="280"/>
        <w:spacing w:after="0" w:line="268" w:lineRule="auto"/>
        <w:tabs>
          <w:tab w:leader="none" w:pos="108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 xml:space="preserve">Where the Bank gives the Borrower notice under </w:t>
      </w:r>
      <w:r>
        <w:rPr>
          <w:rFonts w:ascii="Arial" w:cs="Arial" w:eastAsia="Arial" w:hAnsi="Arial"/>
          <w:sz w:val="11"/>
          <w:szCs w:val="11"/>
          <w:b w:val="1"/>
          <w:bCs w:val="1"/>
          <w:color w:val="auto"/>
        </w:rPr>
        <w:t>clause 4.10(a)</w:t>
      </w:r>
      <w:r>
        <w:rPr>
          <w:rFonts w:ascii="Arial" w:cs="Arial" w:eastAsia="Arial" w:hAnsi="Arial"/>
          <w:sz w:val="11"/>
          <w:szCs w:val="11"/>
          <w:color w:val="auto"/>
        </w:rPr>
        <w:t xml:space="preserve"> by way of advertisement in the local or national press, the Bank will also endeavour to directly notify the Borrower of the change although the Bank will not be precluded from charging the new or adjusted pricing if it does not directly notify the Borrower.</w:t>
      </w:r>
    </w:p>
    <w:p>
      <w:pPr>
        <w:spacing w:after="0" w:line="10" w:lineRule="exact"/>
        <w:rPr>
          <w:rFonts w:ascii="Arial" w:cs="Arial" w:eastAsia="Arial" w:hAnsi="Arial"/>
          <w:sz w:val="11"/>
          <w:szCs w:val="11"/>
          <w:color w:val="auto"/>
        </w:rPr>
      </w:pPr>
    </w:p>
    <w:p>
      <w:pPr>
        <w:ind w:left="1080" w:right="1500" w:hanging="280"/>
        <w:spacing w:after="0" w:line="268" w:lineRule="auto"/>
        <w:tabs>
          <w:tab w:leader="none" w:pos="108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 xml:space="preserve">An introduction or change of a matter specified in </w:t>
      </w:r>
      <w:r>
        <w:rPr>
          <w:rFonts w:ascii="Arial" w:cs="Arial" w:eastAsia="Arial" w:hAnsi="Arial"/>
          <w:sz w:val="11"/>
          <w:szCs w:val="11"/>
          <w:b w:val="1"/>
          <w:bCs w:val="1"/>
          <w:color w:val="auto"/>
        </w:rPr>
        <w:t>clause 4.10(a)</w:t>
      </w:r>
      <w:r>
        <w:rPr>
          <w:rFonts w:ascii="Arial" w:cs="Arial" w:eastAsia="Arial" w:hAnsi="Arial"/>
          <w:sz w:val="11"/>
          <w:szCs w:val="11"/>
          <w:color w:val="auto"/>
        </w:rPr>
        <w:t xml:space="preserve"> takes effect on the date specified in the relevant notice to the Borrower (which must be at least 30 days after the date on which the notice is given to the Borrower).</w:t>
      </w:r>
    </w:p>
    <w:p>
      <w:pPr>
        <w:spacing w:after="0" w:line="258" w:lineRule="exact"/>
        <w:rPr>
          <w:sz w:val="20"/>
          <w:szCs w:val="20"/>
          <w:color w:val="auto"/>
        </w:rPr>
      </w:pPr>
    </w:p>
    <w:p>
      <w:pPr>
        <w:ind w:left="800" w:hanging="405"/>
        <w:spacing w:after="0"/>
        <w:tabs>
          <w:tab w:leader="none" w:pos="8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Payments</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2"/>
          <w:szCs w:val="12"/>
          <w:b w:val="1"/>
          <w:bCs w:val="1"/>
          <w:color w:val="auto"/>
        </w:rPr>
        <w:t>Not used</w:t>
      </w:r>
    </w:p>
    <w:p>
      <w:pPr>
        <w:spacing w:after="0" w:line="72"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2"/>
          <w:szCs w:val="12"/>
          <w:b w:val="1"/>
          <w:bCs w:val="1"/>
          <w:color w:val="auto"/>
        </w:rPr>
        <w:t>Voluntary prepayments</w:t>
      </w:r>
    </w:p>
    <w:p>
      <w:pPr>
        <w:spacing w:after="0" w:line="55" w:lineRule="exact"/>
        <w:rPr>
          <w:sz w:val="20"/>
          <w:szCs w:val="20"/>
          <w:color w:val="auto"/>
        </w:rPr>
      </w:pPr>
    </w:p>
    <w:p>
      <w:pPr>
        <w:ind w:left="1080" w:hanging="280"/>
        <w:spacing w:after="0"/>
        <w:tabs>
          <w:tab w:leader="none" w:pos="108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In relation to any Advance, the Borrower:</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110"/>
        </w:numPr>
        <w:rPr>
          <w:rFonts w:ascii="Arial" w:cs="Arial" w:eastAsia="Arial" w:hAnsi="Arial"/>
          <w:sz w:val="11"/>
          <w:szCs w:val="11"/>
          <w:color w:val="auto"/>
        </w:rPr>
      </w:pPr>
      <w:r>
        <w:rPr>
          <w:rFonts w:ascii="Arial" w:cs="Arial" w:eastAsia="Arial" w:hAnsi="Arial"/>
          <w:sz w:val="11"/>
          <w:szCs w:val="11"/>
          <w:color w:val="auto"/>
        </w:rPr>
        <w:t>may prepay any Advance or a part of it (being a minimum of</w:t>
      </w:r>
    </w:p>
    <w:p>
      <w:pPr>
        <w:spacing w:after="0" w:line="15" w:lineRule="exact"/>
        <w:rPr>
          <w:rFonts w:ascii="Arial" w:cs="Arial" w:eastAsia="Arial" w:hAnsi="Arial"/>
          <w:sz w:val="11"/>
          <w:szCs w:val="11"/>
          <w:color w:val="auto"/>
        </w:rPr>
      </w:pPr>
    </w:p>
    <w:p>
      <w:pPr>
        <w:ind w:left="1400" w:right="300"/>
        <w:spacing w:after="0" w:line="243" w:lineRule="auto"/>
        <w:rPr>
          <w:rFonts w:ascii="Arial" w:cs="Arial" w:eastAsia="Arial" w:hAnsi="Arial"/>
          <w:sz w:val="11"/>
          <w:szCs w:val="11"/>
          <w:color w:val="auto"/>
        </w:rPr>
      </w:pPr>
      <w:r>
        <w:rPr>
          <w:rFonts w:ascii="Arial" w:cs="Arial" w:eastAsia="Arial" w:hAnsi="Arial"/>
          <w:sz w:val="11"/>
          <w:szCs w:val="11"/>
          <w:color w:val="auto"/>
        </w:rPr>
        <w:t>$100,000 or an integral multiple of that amount) by giving 5 Business Days’ notice to the Bank specifying the amount to be prepaid and the date on which the prepayment will be made;</w:t>
      </w:r>
    </w:p>
    <w:p>
      <w:pPr>
        <w:spacing w:after="0" w:line="23" w:lineRule="exact"/>
        <w:rPr>
          <w:rFonts w:ascii="Arial" w:cs="Arial" w:eastAsia="Arial" w:hAnsi="Arial"/>
          <w:sz w:val="11"/>
          <w:szCs w:val="11"/>
          <w:color w:val="auto"/>
        </w:rPr>
      </w:pPr>
    </w:p>
    <w:p>
      <w:pPr>
        <w:ind w:left="1400" w:hanging="285"/>
        <w:spacing w:after="0"/>
        <w:tabs>
          <w:tab w:leader="none" w:pos="1400" w:val="left"/>
        </w:tabs>
        <w:numPr>
          <w:ilvl w:val="1"/>
          <w:numId w:val="110"/>
        </w:numPr>
        <w:rPr>
          <w:rFonts w:ascii="Arial" w:cs="Arial" w:eastAsia="Arial" w:hAnsi="Arial"/>
          <w:sz w:val="11"/>
          <w:szCs w:val="11"/>
          <w:color w:val="auto"/>
        </w:rPr>
      </w:pPr>
      <w:r>
        <w:rPr>
          <w:rFonts w:ascii="Arial" w:cs="Arial" w:eastAsia="Arial" w:hAnsi="Arial"/>
          <w:sz w:val="11"/>
          <w:szCs w:val="11"/>
          <w:color w:val="auto"/>
        </w:rPr>
        <w:t xml:space="preserve">may, subject to </w:t>
      </w:r>
      <w:r>
        <w:rPr>
          <w:rFonts w:ascii="Arial" w:cs="Arial" w:eastAsia="Arial" w:hAnsi="Arial"/>
          <w:sz w:val="11"/>
          <w:szCs w:val="11"/>
          <w:b w:val="1"/>
          <w:bCs w:val="1"/>
          <w:color w:val="auto"/>
        </w:rPr>
        <w:t>clause 4.3</w:t>
      </w:r>
      <w:r>
        <w:rPr>
          <w:rFonts w:ascii="Arial" w:cs="Arial" w:eastAsia="Arial" w:hAnsi="Arial"/>
          <w:sz w:val="11"/>
          <w:szCs w:val="11"/>
          <w:color w:val="auto"/>
        </w:rPr>
        <w:t xml:space="preserve">, redraw any amount prepaid in accordance with this </w:t>
      </w:r>
      <w:r>
        <w:rPr>
          <w:rFonts w:ascii="Arial" w:cs="Arial" w:eastAsia="Arial" w:hAnsi="Arial"/>
          <w:sz w:val="11"/>
          <w:szCs w:val="11"/>
          <w:b w:val="1"/>
          <w:bCs w:val="1"/>
          <w:color w:val="auto"/>
        </w:rPr>
        <w:t>clause 5.2</w:t>
      </w:r>
      <w:r>
        <w:rPr>
          <w:rFonts w:ascii="Arial" w:cs="Arial" w:eastAsia="Arial" w:hAnsi="Arial"/>
          <w:sz w:val="11"/>
          <w:szCs w:val="11"/>
          <w:color w:val="auto"/>
        </w:rPr>
        <w:t xml:space="preserve"> which forms part of the Revolving Tranche; and</w:t>
      </w:r>
    </w:p>
    <w:p>
      <w:pPr>
        <w:spacing w:after="0" w:line="46" w:lineRule="exact"/>
        <w:rPr>
          <w:rFonts w:ascii="Arial" w:cs="Arial" w:eastAsia="Arial" w:hAnsi="Arial"/>
          <w:sz w:val="11"/>
          <w:szCs w:val="11"/>
          <w:color w:val="auto"/>
        </w:rPr>
      </w:pPr>
    </w:p>
    <w:p>
      <w:pPr>
        <w:ind w:left="1400" w:right="600" w:hanging="285"/>
        <w:spacing w:after="0" w:line="268" w:lineRule="auto"/>
        <w:tabs>
          <w:tab w:leader="none" w:pos="1400" w:val="left"/>
        </w:tabs>
        <w:numPr>
          <w:ilvl w:val="1"/>
          <w:numId w:val="110"/>
        </w:numPr>
        <w:rPr>
          <w:rFonts w:ascii="Arial" w:cs="Arial" w:eastAsia="Arial" w:hAnsi="Arial"/>
          <w:sz w:val="11"/>
          <w:szCs w:val="11"/>
          <w:color w:val="auto"/>
        </w:rPr>
      </w:pPr>
      <w:r>
        <w:rPr>
          <w:rFonts w:ascii="Arial" w:cs="Arial" w:eastAsia="Arial" w:hAnsi="Arial"/>
          <w:sz w:val="11"/>
          <w:szCs w:val="11"/>
          <w:color w:val="auto"/>
        </w:rPr>
        <w:t xml:space="preserve">must make any prepayment under this document together with accrued interest on the amount prepaid, any fees payable under </w:t>
      </w:r>
      <w:r>
        <w:rPr>
          <w:rFonts w:ascii="Arial" w:cs="Arial" w:eastAsia="Arial" w:hAnsi="Arial"/>
          <w:sz w:val="11"/>
          <w:szCs w:val="11"/>
          <w:b w:val="1"/>
          <w:bCs w:val="1"/>
          <w:color w:val="auto"/>
        </w:rPr>
        <w:t>clause 9.1</w:t>
      </w:r>
      <w:r>
        <w:rPr>
          <w:rFonts w:ascii="Arial" w:cs="Arial" w:eastAsia="Arial" w:hAnsi="Arial"/>
          <w:sz w:val="11"/>
          <w:szCs w:val="11"/>
          <w:color w:val="auto"/>
        </w:rPr>
        <w:t xml:space="preserve"> and any Break Costs, but otherwise without premium or penalty.</w:t>
      </w:r>
    </w:p>
    <w:p>
      <w:pPr>
        <w:spacing w:after="0" w:line="16" w:lineRule="exact"/>
        <w:rPr>
          <w:rFonts w:ascii="Arial" w:cs="Arial" w:eastAsia="Arial" w:hAnsi="Arial"/>
          <w:sz w:val="11"/>
          <w:szCs w:val="11"/>
          <w:color w:val="auto"/>
        </w:rPr>
      </w:pPr>
    </w:p>
    <w:p>
      <w:pPr>
        <w:ind w:left="1080" w:hanging="280"/>
        <w:spacing w:after="0"/>
        <w:tabs>
          <w:tab w:leader="none" w:pos="108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The Borrower may reimburse or repay the Face Value in respect of any Current Bank Guarantee by:</w:t>
      </w:r>
    </w:p>
    <w:p>
      <w:pPr>
        <w:spacing w:after="0" w:line="40" w:lineRule="exact"/>
        <w:rPr>
          <w:rFonts w:ascii="Arial" w:cs="Arial" w:eastAsia="Arial" w:hAnsi="Arial"/>
          <w:sz w:val="11"/>
          <w:szCs w:val="11"/>
          <w:color w:val="auto"/>
        </w:rPr>
      </w:pPr>
    </w:p>
    <w:p>
      <w:pPr>
        <w:ind w:left="1400" w:right="260" w:hanging="285"/>
        <w:spacing w:after="0" w:line="268" w:lineRule="auto"/>
        <w:tabs>
          <w:tab w:leader="none" w:pos="1400" w:val="left"/>
        </w:tabs>
        <w:numPr>
          <w:ilvl w:val="1"/>
          <w:numId w:val="110"/>
        </w:numPr>
        <w:rPr>
          <w:rFonts w:ascii="Arial" w:cs="Arial" w:eastAsia="Arial" w:hAnsi="Arial"/>
          <w:sz w:val="11"/>
          <w:szCs w:val="11"/>
          <w:color w:val="auto"/>
        </w:rPr>
      </w:pPr>
      <w:r>
        <w:rPr>
          <w:rFonts w:ascii="Arial" w:cs="Arial" w:eastAsia="Arial" w:hAnsi="Arial"/>
          <w:sz w:val="11"/>
          <w:szCs w:val="11"/>
          <w:color w:val="auto"/>
        </w:rPr>
        <w:t xml:space="preserve">providing to the Bank, cash collateral (on terms satisfactory to the Bank and subject to </w:t>
      </w:r>
      <w:r>
        <w:rPr>
          <w:rFonts w:ascii="Arial" w:cs="Arial" w:eastAsia="Arial" w:hAnsi="Arial"/>
          <w:sz w:val="11"/>
          <w:szCs w:val="11"/>
          <w:b w:val="1"/>
          <w:bCs w:val="1"/>
          <w:color w:val="auto"/>
        </w:rPr>
        <w:t>clause 10.3</w:t>
      </w:r>
      <w:r>
        <w:rPr>
          <w:rFonts w:ascii="Arial" w:cs="Arial" w:eastAsia="Arial" w:hAnsi="Arial"/>
          <w:sz w:val="11"/>
          <w:szCs w:val="11"/>
          <w:color w:val="auto"/>
        </w:rPr>
        <w:t>) in an amount not less than the Face Value of the Bank Guarantee; or</w:t>
      </w:r>
    </w:p>
    <w:p>
      <w:pPr>
        <w:spacing w:after="0" w:line="16" w:lineRule="exact"/>
        <w:rPr>
          <w:rFonts w:ascii="Arial" w:cs="Arial" w:eastAsia="Arial" w:hAnsi="Arial"/>
          <w:sz w:val="11"/>
          <w:szCs w:val="11"/>
          <w:color w:val="auto"/>
        </w:rPr>
      </w:pPr>
    </w:p>
    <w:p>
      <w:pPr>
        <w:ind w:left="1400" w:right="760" w:hanging="285"/>
        <w:spacing w:after="0" w:line="256" w:lineRule="auto"/>
        <w:tabs>
          <w:tab w:leader="none" w:pos="1400" w:val="left"/>
        </w:tabs>
        <w:numPr>
          <w:ilvl w:val="1"/>
          <w:numId w:val="110"/>
        </w:numPr>
        <w:rPr>
          <w:rFonts w:ascii="Arial" w:cs="Arial" w:eastAsia="Arial" w:hAnsi="Arial"/>
          <w:sz w:val="11"/>
          <w:szCs w:val="11"/>
          <w:color w:val="auto"/>
        </w:rPr>
      </w:pPr>
      <w:r>
        <w:rPr>
          <w:rFonts w:ascii="Arial" w:cs="Arial" w:eastAsia="Arial" w:hAnsi="Arial"/>
          <w:sz w:val="11"/>
          <w:szCs w:val="11"/>
          <w:color w:val="auto"/>
        </w:rPr>
        <w:t>cancelling that Bank Guarantee by returning the original to the Bank together with written confirmation from the Beneficiary that the Bank has no further liability under that Bank Guarantee.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29</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97" w:name="page98"/>
    <w:bookmarkEnd w:id="97"/>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9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1"/>
          <w:szCs w:val="11"/>
          <w:b w:val="1"/>
          <w:bCs w:val="1"/>
          <w:color w:val="auto"/>
        </w:rPr>
        <w:t>Indemnity in respect of Bank Guarantees</w:t>
      </w:r>
    </w:p>
    <w:p>
      <w:pPr>
        <w:spacing w:after="0" w:line="41" w:lineRule="exact"/>
        <w:rPr>
          <w:sz w:val="20"/>
          <w:szCs w:val="20"/>
          <w:color w:val="auto"/>
        </w:rPr>
      </w:pPr>
    </w:p>
    <w:p>
      <w:pPr>
        <w:ind w:left="1080" w:right="180" w:hanging="280"/>
        <w:spacing w:after="0" w:line="247" w:lineRule="auto"/>
        <w:tabs>
          <w:tab w:leader="none" w:pos="108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 xml:space="preserve">Without limiting </w:t>
      </w:r>
      <w:r>
        <w:rPr>
          <w:rFonts w:ascii="Arial" w:cs="Arial" w:eastAsia="Arial" w:hAnsi="Arial"/>
          <w:sz w:val="11"/>
          <w:szCs w:val="11"/>
          <w:b w:val="1"/>
          <w:bCs w:val="1"/>
          <w:color w:val="auto"/>
        </w:rPr>
        <w:t>clause 12.1</w:t>
      </w:r>
      <w:r>
        <w:rPr>
          <w:rFonts w:ascii="Arial" w:cs="Arial" w:eastAsia="Arial" w:hAnsi="Arial"/>
          <w:sz w:val="11"/>
          <w:szCs w:val="11"/>
          <w:color w:val="auto"/>
        </w:rPr>
        <w:t>, the Borrower indemnifies the Bank against any liability, loss, cost or expense sustained or incurred in relation to any Bank Guarantee or as a direct or indirect consequence of any claim made or purported to be made under any Bank Guarantee, or anything done by any person who is or claims to be entitled to the benefit of a Bank Guarantee.</w:t>
      </w:r>
    </w:p>
    <w:p>
      <w:pPr>
        <w:spacing w:after="0" w:line="21" w:lineRule="exact"/>
        <w:rPr>
          <w:rFonts w:ascii="Arial" w:cs="Arial" w:eastAsia="Arial" w:hAnsi="Arial"/>
          <w:sz w:val="11"/>
          <w:szCs w:val="11"/>
          <w:color w:val="auto"/>
        </w:rPr>
      </w:pPr>
    </w:p>
    <w:p>
      <w:pPr>
        <w:ind w:left="1080" w:right="600" w:hanging="280"/>
        <w:spacing w:after="0" w:line="257" w:lineRule="auto"/>
        <w:tabs>
          <w:tab w:leader="none" w:pos="108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 xml:space="preserve">Without limiting </w:t>
      </w:r>
      <w:r>
        <w:rPr>
          <w:rFonts w:ascii="Arial" w:cs="Arial" w:eastAsia="Arial" w:hAnsi="Arial"/>
          <w:sz w:val="11"/>
          <w:szCs w:val="11"/>
          <w:b w:val="1"/>
          <w:bCs w:val="1"/>
          <w:color w:val="auto"/>
        </w:rPr>
        <w:t>clause 5.3(a)</w:t>
      </w:r>
      <w:r>
        <w:rPr>
          <w:rFonts w:ascii="Arial" w:cs="Arial" w:eastAsia="Arial" w:hAnsi="Arial"/>
          <w:sz w:val="11"/>
          <w:szCs w:val="11"/>
          <w:color w:val="auto"/>
        </w:rPr>
        <w:t xml:space="preserve">, the Borrower must pay to the Bank all amounts claimed by or paid to any Beneficiary in relation to any Bank Guarantee (whether or not the Beneficiary was entitled to make that claim or the Bank was required to make that payment), including any payment made by the Bank under </w:t>
      </w:r>
      <w:r>
        <w:rPr>
          <w:rFonts w:ascii="Arial" w:cs="Arial" w:eastAsia="Arial" w:hAnsi="Arial"/>
          <w:sz w:val="11"/>
          <w:szCs w:val="11"/>
          <w:b w:val="1"/>
          <w:bCs w:val="1"/>
          <w:color w:val="auto"/>
        </w:rPr>
        <w:t>clause 10.2(a)(iv)(B)</w:t>
      </w:r>
      <w:r>
        <w:rPr>
          <w:rFonts w:ascii="Arial" w:cs="Arial" w:eastAsia="Arial" w:hAnsi="Arial"/>
          <w:sz w:val="11"/>
          <w:szCs w:val="11"/>
          <w:color w:val="auto"/>
        </w:rPr>
        <w:t>.</w:t>
      </w:r>
    </w:p>
    <w:p>
      <w:pPr>
        <w:spacing w:after="0" w:line="6" w:lineRule="exact"/>
        <w:rPr>
          <w:rFonts w:ascii="Arial" w:cs="Arial" w:eastAsia="Arial" w:hAnsi="Arial"/>
          <w:sz w:val="11"/>
          <w:szCs w:val="11"/>
          <w:color w:val="auto"/>
        </w:rPr>
      </w:pPr>
    </w:p>
    <w:p>
      <w:pPr>
        <w:ind w:left="1080" w:right="460" w:hanging="280"/>
        <w:spacing w:after="0" w:line="268" w:lineRule="auto"/>
        <w:tabs>
          <w:tab w:leader="none" w:pos="108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 xml:space="preserve">The Borrower’s obligations under </w:t>
      </w:r>
      <w:r>
        <w:rPr>
          <w:rFonts w:ascii="Arial" w:cs="Arial" w:eastAsia="Arial" w:hAnsi="Arial"/>
          <w:sz w:val="11"/>
          <w:szCs w:val="11"/>
          <w:b w:val="1"/>
          <w:bCs w:val="1"/>
          <w:color w:val="auto"/>
        </w:rPr>
        <w:t>clause 5.4</w:t>
      </w:r>
      <w:r>
        <w:rPr>
          <w:rFonts w:ascii="Arial" w:cs="Arial" w:eastAsia="Arial" w:hAnsi="Arial"/>
          <w:sz w:val="11"/>
          <w:szCs w:val="11"/>
          <w:color w:val="auto"/>
        </w:rPr>
        <w:t xml:space="preserve"> are absolute and unconditional. They are not affected by any reduction, termination or other impairment by set-off, deduction, abatement, counterclaim, agreement, defence, suspension, deferment or otherwise.</w:t>
      </w:r>
    </w:p>
    <w:p>
      <w:pPr>
        <w:spacing w:after="0" w:line="16" w:lineRule="exact"/>
        <w:rPr>
          <w:rFonts w:ascii="Arial" w:cs="Arial" w:eastAsia="Arial" w:hAnsi="Arial"/>
          <w:sz w:val="11"/>
          <w:szCs w:val="11"/>
          <w:color w:val="auto"/>
        </w:rPr>
      </w:pPr>
    </w:p>
    <w:p>
      <w:pPr>
        <w:ind w:left="1080" w:right="760" w:hanging="280"/>
        <w:spacing w:after="0" w:line="256" w:lineRule="auto"/>
        <w:tabs>
          <w:tab w:leader="none" w:pos="108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The Borrower is not released, relieved or discharged from any obligation under this document, nor will such obligation be prejudiced or affected for any reason, including:</w:t>
      </w:r>
    </w:p>
    <w:p>
      <w:pPr>
        <w:spacing w:after="0" w:line="22" w:lineRule="exact"/>
        <w:rPr>
          <w:rFonts w:ascii="Arial" w:cs="Arial" w:eastAsia="Arial" w:hAnsi="Arial"/>
          <w:sz w:val="11"/>
          <w:szCs w:val="11"/>
          <w:color w:val="auto"/>
        </w:rPr>
      </w:pPr>
    </w:p>
    <w:p>
      <w:pPr>
        <w:ind w:left="1400" w:right="840" w:hanging="285"/>
        <w:spacing w:after="0" w:line="256" w:lineRule="auto"/>
        <w:tabs>
          <w:tab w:leader="none" w:pos="1400" w:val="left"/>
        </w:tabs>
        <w:numPr>
          <w:ilvl w:val="1"/>
          <w:numId w:val="111"/>
        </w:numPr>
        <w:rPr>
          <w:rFonts w:ascii="Arial" w:cs="Arial" w:eastAsia="Arial" w:hAnsi="Arial"/>
          <w:sz w:val="11"/>
          <w:szCs w:val="11"/>
          <w:color w:val="auto"/>
        </w:rPr>
      </w:pPr>
      <w:r>
        <w:rPr>
          <w:rFonts w:ascii="Arial" w:cs="Arial" w:eastAsia="Arial" w:hAnsi="Arial"/>
          <w:sz w:val="11"/>
          <w:szCs w:val="11"/>
          <w:color w:val="auto"/>
        </w:rPr>
        <w:t>any falsity, inaccuracy, insufficiency or forgery of or in any demand, certificate or declaration or other document which on its face purports to be signed or authorised under a Bank Guarantee;</w:t>
      </w:r>
    </w:p>
    <w:p>
      <w:pPr>
        <w:spacing w:after="0" w:line="22" w:lineRule="exact"/>
        <w:rPr>
          <w:rFonts w:ascii="Arial" w:cs="Arial" w:eastAsia="Arial" w:hAnsi="Arial"/>
          <w:sz w:val="11"/>
          <w:szCs w:val="11"/>
          <w:color w:val="auto"/>
        </w:rPr>
      </w:pPr>
    </w:p>
    <w:p>
      <w:pPr>
        <w:ind w:left="1400" w:right="160" w:hanging="285"/>
        <w:spacing w:after="0" w:line="256" w:lineRule="auto"/>
        <w:tabs>
          <w:tab w:leader="none" w:pos="1400" w:val="left"/>
        </w:tabs>
        <w:numPr>
          <w:ilvl w:val="1"/>
          <w:numId w:val="111"/>
        </w:numPr>
        <w:rPr>
          <w:rFonts w:ascii="Arial" w:cs="Arial" w:eastAsia="Arial" w:hAnsi="Arial"/>
          <w:sz w:val="11"/>
          <w:szCs w:val="11"/>
          <w:color w:val="auto"/>
        </w:rPr>
      </w:pPr>
      <w:r>
        <w:rPr>
          <w:rFonts w:ascii="Arial" w:cs="Arial" w:eastAsia="Arial" w:hAnsi="Arial"/>
          <w:sz w:val="11"/>
          <w:szCs w:val="11"/>
          <w:color w:val="auto"/>
        </w:rPr>
        <w:t>any failure by the Bank to enquire whether a cable, telex or other notification was inaccurately transmitted, received o r given by an unauthorised person (other than where such failure occurs due to the wilful default or fraud of the Bank);</w:t>
      </w:r>
    </w:p>
    <w:p>
      <w:pPr>
        <w:spacing w:after="0" w:line="22" w:lineRule="exact"/>
        <w:rPr>
          <w:rFonts w:ascii="Arial" w:cs="Arial" w:eastAsia="Arial" w:hAnsi="Arial"/>
          <w:sz w:val="11"/>
          <w:szCs w:val="11"/>
          <w:color w:val="auto"/>
        </w:rPr>
      </w:pPr>
    </w:p>
    <w:p>
      <w:pPr>
        <w:ind w:left="1400" w:hanging="285"/>
        <w:spacing w:after="0"/>
        <w:tabs>
          <w:tab w:leader="none" w:pos="1400" w:val="left"/>
        </w:tabs>
        <w:numPr>
          <w:ilvl w:val="1"/>
          <w:numId w:val="111"/>
        </w:numPr>
        <w:rPr>
          <w:rFonts w:ascii="Arial" w:cs="Arial" w:eastAsia="Arial" w:hAnsi="Arial"/>
          <w:sz w:val="11"/>
          <w:szCs w:val="11"/>
          <w:color w:val="auto"/>
        </w:rPr>
      </w:pPr>
      <w:r>
        <w:rPr>
          <w:rFonts w:ascii="Arial" w:cs="Arial" w:eastAsia="Arial" w:hAnsi="Arial"/>
          <w:sz w:val="11"/>
          <w:szCs w:val="11"/>
          <w:color w:val="auto"/>
        </w:rPr>
        <w:t>the impossibility or illegality of performance of, or any invalidity of or affecting, any Transaction Document or Bank Guarantee or any other document;</w:t>
      </w:r>
    </w:p>
    <w:p>
      <w:pPr>
        <w:spacing w:after="0" w:line="46" w:lineRule="exact"/>
        <w:rPr>
          <w:rFonts w:ascii="Arial" w:cs="Arial" w:eastAsia="Arial" w:hAnsi="Arial"/>
          <w:sz w:val="11"/>
          <w:szCs w:val="11"/>
          <w:color w:val="auto"/>
        </w:rPr>
      </w:pPr>
    </w:p>
    <w:p>
      <w:pPr>
        <w:ind w:left="1400" w:right="860" w:hanging="285"/>
        <w:spacing w:after="0" w:line="256" w:lineRule="auto"/>
        <w:tabs>
          <w:tab w:leader="none" w:pos="1400" w:val="left"/>
        </w:tabs>
        <w:numPr>
          <w:ilvl w:val="1"/>
          <w:numId w:val="111"/>
        </w:numPr>
        <w:rPr>
          <w:rFonts w:ascii="Arial" w:cs="Arial" w:eastAsia="Arial" w:hAnsi="Arial"/>
          <w:sz w:val="11"/>
          <w:szCs w:val="11"/>
          <w:color w:val="auto"/>
        </w:rPr>
      </w:pPr>
      <w:r>
        <w:rPr>
          <w:rFonts w:ascii="Arial" w:cs="Arial" w:eastAsia="Arial" w:hAnsi="Arial"/>
          <w:sz w:val="11"/>
          <w:szCs w:val="11"/>
          <w:color w:val="auto"/>
        </w:rPr>
        <w:t>any act of any Government Body or arbitrator including any law, judgment, decree or order at any time in effect in any jurisdiction affecting any Transaction Document or Bank Guarantee or any document delivered under a Transaction Document;</w:t>
      </w:r>
    </w:p>
    <w:p>
      <w:pPr>
        <w:spacing w:after="0" w:line="22" w:lineRule="exact"/>
        <w:rPr>
          <w:rFonts w:ascii="Arial" w:cs="Arial" w:eastAsia="Arial" w:hAnsi="Arial"/>
          <w:sz w:val="11"/>
          <w:szCs w:val="11"/>
          <w:color w:val="auto"/>
        </w:rPr>
      </w:pPr>
    </w:p>
    <w:p>
      <w:pPr>
        <w:ind w:left="1400" w:right="700" w:hanging="285"/>
        <w:spacing w:after="0" w:line="256" w:lineRule="auto"/>
        <w:tabs>
          <w:tab w:leader="none" w:pos="1400" w:val="left"/>
        </w:tabs>
        <w:numPr>
          <w:ilvl w:val="1"/>
          <w:numId w:val="111"/>
        </w:numPr>
        <w:rPr>
          <w:rFonts w:ascii="Arial" w:cs="Arial" w:eastAsia="Arial" w:hAnsi="Arial"/>
          <w:sz w:val="11"/>
          <w:szCs w:val="11"/>
          <w:color w:val="auto"/>
        </w:rPr>
      </w:pPr>
      <w:r>
        <w:rPr>
          <w:rFonts w:ascii="Arial" w:cs="Arial" w:eastAsia="Arial" w:hAnsi="Arial"/>
          <w:sz w:val="11"/>
          <w:szCs w:val="11"/>
          <w:color w:val="auto"/>
        </w:rPr>
        <w:t>any failure to obtain any consent, license or other authorisation necessary or desirable in connection with any Transaction Document or any Bank Guarantee; or</w:t>
      </w:r>
    </w:p>
    <w:p>
      <w:pPr>
        <w:spacing w:after="0" w:line="22" w:lineRule="exact"/>
        <w:rPr>
          <w:rFonts w:ascii="Arial" w:cs="Arial" w:eastAsia="Arial" w:hAnsi="Arial"/>
          <w:sz w:val="11"/>
          <w:szCs w:val="11"/>
          <w:color w:val="auto"/>
        </w:rPr>
      </w:pPr>
    </w:p>
    <w:p>
      <w:pPr>
        <w:ind w:left="1400" w:right="140" w:hanging="285"/>
        <w:spacing w:after="0" w:line="256" w:lineRule="auto"/>
        <w:tabs>
          <w:tab w:leader="none" w:pos="1400" w:val="left"/>
        </w:tabs>
        <w:numPr>
          <w:ilvl w:val="1"/>
          <w:numId w:val="111"/>
        </w:numPr>
        <w:rPr>
          <w:rFonts w:ascii="Arial" w:cs="Arial" w:eastAsia="Arial" w:hAnsi="Arial"/>
          <w:sz w:val="11"/>
          <w:szCs w:val="11"/>
          <w:color w:val="auto"/>
        </w:rPr>
      </w:pPr>
      <w:r>
        <w:rPr>
          <w:rFonts w:ascii="Arial" w:cs="Arial" w:eastAsia="Arial" w:hAnsi="Arial"/>
          <w:sz w:val="11"/>
          <w:szCs w:val="11"/>
          <w:color w:val="auto"/>
        </w:rPr>
        <w:t>any other cause or circumstance, foreseen or unforeseen, whether or not similar to any of the above, affecting any Transaction Document or Bank Guarantee or any transaction under a Transaction Document or Bank Guarantee,</w:t>
      </w:r>
    </w:p>
    <w:p>
      <w:pPr>
        <w:spacing w:after="0" w:line="37" w:lineRule="exact"/>
        <w:rPr>
          <w:rFonts w:ascii="Arial" w:cs="Arial" w:eastAsia="Arial" w:hAnsi="Arial"/>
          <w:sz w:val="11"/>
          <w:szCs w:val="11"/>
          <w:color w:val="auto"/>
        </w:rPr>
      </w:pPr>
    </w:p>
    <w:p>
      <w:pPr>
        <w:ind w:left="1400" w:hanging="285"/>
        <w:spacing w:after="0"/>
        <w:tabs>
          <w:tab w:leader="none" w:pos="1400" w:val="left"/>
        </w:tabs>
        <w:numPr>
          <w:ilvl w:val="1"/>
          <w:numId w:val="111"/>
        </w:numPr>
        <w:rPr>
          <w:rFonts w:ascii="Arial" w:cs="Arial" w:eastAsia="Arial" w:hAnsi="Arial"/>
          <w:sz w:val="11"/>
          <w:szCs w:val="11"/>
          <w:color w:val="auto"/>
        </w:rPr>
      </w:pPr>
      <w:r>
        <w:rPr>
          <w:rFonts w:ascii="Arial" w:cs="Arial" w:eastAsia="Arial" w:hAnsi="Arial"/>
          <w:sz w:val="11"/>
          <w:szCs w:val="11"/>
          <w:color w:val="auto"/>
        </w:rPr>
        <w:t>and the Bank need not inquire into any of these matters.</w:t>
      </w:r>
    </w:p>
    <w:p>
      <w:pPr>
        <w:spacing w:after="0" w:line="68" w:lineRule="exact"/>
        <w:rPr>
          <w:rFonts w:ascii="Arial" w:cs="Arial" w:eastAsia="Arial" w:hAnsi="Arial"/>
          <w:sz w:val="11"/>
          <w:szCs w:val="11"/>
          <w:color w:val="auto"/>
        </w:rPr>
      </w:pPr>
    </w:p>
    <w:p>
      <w:pPr>
        <w:ind w:left="1080" w:hanging="280"/>
        <w:spacing w:after="0"/>
        <w:tabs>
          <w:tab w:leader="none" w:pos="108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The Bank is irrevocably authorised and directed by the Borrower to pay immediately against a demand appearing or purporting to be made by or</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30</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98" w:name="page99"/>
    <w:bookmarkEnd w:id="98"/>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right="200"/>
        <w:spacing w:after="0" w:line="256" w:lineRule="auto"/>
        <w:rPr>
          <w:sz w:val="20"/>
          <w:szCs w:val="20"/>
          <w:color w:val="auto"/>
        </w:rPr>
      </w:pPr>
      <w:r>
        <w:rPr>
          <w:rFonts w:ascii="Arial" w:cs="Arial" w:eastAsia="Arial" w:hAnsi="Arial"/>
          <w:sz w:val="11"/>
          <w:szCs w:val="11"/>
          <w:color w:val="auto"/>
        </w:rPr>
        <w:t>on behalf of a Beneficiary, any sums up to the Face Value of a Bank Guarantee which may be demanded from the Bank from time to time without any reference to or any necessity for confirmation or verification on the part of the Borrower, and notwithstanding any instructions from the Borrower to the contrary.</w:t>
      </w:r>
    </w:p>
    <w:p>
      <w:pPr>
        <w:spacing w:after="0" w:line="23" w:lineRule="exact"/>
        <w:rPr>
          <w:sz w:val="20"/>
          <w:szCs w:val="20"/>
          <w:color w:val="auto"/>
        </w:rPr>
      </w:pPr>
    </w:p>
    <w:p>
      <w:pPr>
        <w:ind w:left="1080" w:right="280" w:hanging="280"/>
        <w:spacing w:after="0" w:line="242" w:lineRule="auto"/>
        <w:tabs>
          <w:tab w:leader="none" w:pos="108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The obligations of the Borrower will not be affected or in any way limited by any falsity, inaccuracy, insufficiency or forgery of or in any notice or demand pursuant to any liability or the failure of the Bank to enquire (other than where such failure arises due to the wilful default or fraud of the Bank) whether any notice or demand has been inaccurately transmitted or received from any cause whatsoever or has been given or sent by an unauthorised person.</w:t>
      </w:r>
    </w:p>
    <w:p>
      <w:pPr>
        <w:spacing w:after="0" w:line="62"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5.4</w:t>
      </w:r>
      <w:r>
        <w:rPr>
          <w:sz w:val="20"/>
          <w:szCs w:val="20"/>
          <w:color w:val="auto"/>
        </w:rPr>
        <w:tab/>
      </w:r>
      <w:r>
        <w:rPr>
          <w:rFonts w:ascii="Arial" w:cs="Arial" w:eastAsia="Arial" w:hAnsi="Arial"/>
          <w:sz w:val="11"/>
          <w:szCs w:val="11"/>
          <w:b w:val="1"/>
          <w:bCs w:val="1"/>
          <w:color w:val="auto"/>
        </w:rPr>
        <w:t>Mandatory prepayments</w:t>
      </w:r>
    </w:p>
    <w:p>
      <w:pPr>
        <w:spacing w:after="0" w:line="47" w:lineRule="exact"/>
        <w:rPr>
          <w:sz w:val="20"/>
          <w:szCs w:val="20"/>
          <w:color w:val="auto"/>
        </w:rPr>
      </w:pPr>
    </w:p>
    <w:p>
      <w:pPr>
        <w:ind w:left="1080" w:right="180" w:hanging="280"/>
        <w:spacing w:after="0" w:line="238" w:lineRule="auto"/>
        <w:tabs>
          <w:tab w:leader="none" w:pos="108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Unless the Bank otherwise agrees, if any of the assets, business or undertaking of any Transaction Party is the subject of any Disposal (other than a Permitted Disposal) the Borrower must apply or ensure is applied an amount equal to the cash or equivalent proceeds received by the Transaction Party from the Disposal net of reasonable transaction costs and Taxes in prepayment of Outstanding Accommodation or at the Borrower’s election, in permanent reduction of the unused portion of one or more of the Facility Limits.</w:t>
      </w:r>
    </w:p>
    <w:p>
      <w:pPr>
        <w:spacing w:after="0" w:line="38" w:lineRule="exact"/>
        <w:rPr>
          <w:rFonts w:ascii="Arial" w:cs="Arial" w:eastAsia="Arial" w:hAnsi="Arial"/>
          <w:sz w:val="11"/>
          <w:szCs w:val="11"/>
          <w:color w:val="auto"/>
        </w:rPr>
      </w:pPr>
    </w:p>
    <w:p>
      <w:pPr>
        <w:ind w:left="1080" w:hanging="280"/>
        <w:spacing w:after="0"/>
        <w:tabs>
          <w:tab w:leader="none" w:pos="108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The Borrower must, in relation to the Permitted Disposal under paragraph</w:t>
      </w:r>
    </w:p>
    <w:p>
      <w:pPr>
        <w:spacing w:after="0" w:line="15" w:lineRule="exact"/>
        <w:rPr>
          <w:sz w:val="20"/>
          <w:szCs w:val="20"/>
          <w:color w:val="auto"/>
        </w:rPr>
      </w:pPr>
    </w:p>
    <w:p>
      <w:pPr>
        <w:ind w:left="1080" w:right="760" w:firstLine="5"/>
        <w:spacing w:after="0" w:line="243" w:lineRule="auto"/>
        <w:tabs>
          <w:tab w:leader="none" w:pos="1515" w:val="left"/>
        </w:tabs>
        <w:numPr>
          <w:ilvl w:val="0"/>
          <w:numId w:val="114"/>
        </w:numPr>
        <w:rPr>
          <w:rFonts w:ascii="Arial" w:cs="Arial" w:eastAsia="Arial" w:hAnsi="Arial"/>
          <w:sz w:val="11"/>
          <w:szCs w:val="11"/>
          <w:color w:val="auto"/>
        </w:rPr>
      </w:pPr>
      <w:r>
        <w:rPr>
          <w:rFonts w:ascii="Arial" w:cs="Arial" w:eastAsia="Arial" w:hAnsi="Arial"/>
          <w:sz w:val="11"/>
          <w:szCs w:val="11"/>
          <w:color w:val="auto"/>
        </w:rPr>
        <w:t>of that definition, apply an amount equal to $20,000,000 of the Net Sale Proceeds in permanent reduction of the Outstanding Accommodation under the Corporate Markets Loan Facility.</w:t>
      </w:r>
    </w:p>
    <w:p>
      <w:pPr>
        <w:spacing w:after="0" w:line="62"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5.5</w:t>
      </w:r>
      <w:r>
        <w:rPr>
          <w:sz w:val="20"/>
          <w:szCs w:val="20"/>
          <w:color w:val="auto"/>
        </w:rPr>
        <w:tab/>
      </w:r>
      <w:r>
        <w:rPr>
          <w:rFonts w:ascii="Arial" w:cs="Arial" w:eastAsia="Arial" w:hAnsi="Arial"/>
          <w:sz w:val="12"/>
          <w:szCs w:val="12"/>
          <w:b w:val="1"/>
          <w:bCs w:val="1"/>
          <w:color w:val="auto"/>
        </w:rPr>
        <w:t>Repayment</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1"/>
          <w:szCs w:val="11"/>
          <w:color w:val="auto"/>
        </w:rPr>
        <w:t xml:space="preserve">Subject to </w:t>
      </w:r>
      <w:r>
        <w:rPr>
          <w:rFonts w:ascii="Arial" w:cs="Arial" w:eastAsia="Arial" w:hAnsi="Arial"/>
          <w:sz w:val="11"/>
          <w:szCs w:val="11"/>
          <w:b w:val="1"/>
          <w:bCs w:val="1"/>
          <w:color w:val="auto"/>
        </w:rPr>
        <w:t>clause 10.2</w:t>
      </w:r>
      <w:r>
        <w:rPr>
          <w:rFonts w:ascii="Arial" w:cs="Arial" w:eastAsia="Arial" w:hAnsi="Arial"/>
          <w:sz w:val="11"/>
          <w:szCs w:val="11"/>
          <w:color w:val="auto"/>
        </w:rPr>
        <w:t xml:space="preserve"> and </w:t>
      </w:r>
      <w:r>
        <w:rPr>
          <w:rFonts w:ascii="Arial" w:cs="Arial" w:eastAsia="Arial" w:hAnsi="Arial"/>
          <w:sz w:val="11"/>
          <w:szCs w:val="11"/>
          <w:b w:val="1"/>
          <w:bCs w:val="1"/>
          <w:color w:val="auto"/>
        </w:rPr>
        <w:t>clause 10.3</w:t>
      </w:r>
      <w:r>
        <w:rPr>
          <w:rFonts w:ascii="Arial" w:cs="Arial" w:eastAsia="Arial" w:hAnsi="Arial"/>
          <w:sz w:val="11"/>
          <w:szCs w:val="11"/>
          <w:color w:val="auto"/>
        </w:rPr>
        <w:t>, each Borrower must:</w:t>
      </w:r>
    </w:p>
    <w:p>
      <w:pPr>
        <w:spacing w:after="0" w:line="58" w:lineRule="exact"/>
        <w:rPr>
          <w:sz w:val="20"/>
          <w:szCs w:val="20"/>
          <w:color w:val="auto"/>
        </w:rPr>
      </w:pPr>
    </w:p>
    <w:p>
      <w:pPr>
        <w:ind w:left="1080" w:hanging="280"/>
        <w:spacing w:after="0"/>
        <w:tabs>
          <w:tab w:leader="none" w:pos="1080" w:val="left"/>
        </w:tabs>
        <w:numPr>
          <w:ilvl w:val="0"/>
          <w:numId w:val="115"/>
        </w:numPr>
        <w:rPr>
          <w:rFonts w:ascii="Arial" w:cs="Arial" w:eastAsia="Arial" w:hAnsi="Arial"/>
          <w:sz w:val="11"/>
          <w:szCs w:val="11"/>
          <w:color w:val="auto"/>
        </w:rPr>
      </w:pPr>
      <w:r>
        <w:rPr>
          <w:rFonts w:ascii="Arial" w:cs="Arial" w:eastAsia="Arial" w:hAnsi="Arial"/>
          <w:sz w:val="11"/>
          <w:szCs w:val="11"/>
          <w:color w:val="auto"/>
        </w:rPr>
        <w:t>pay instalments, in permanent reduction of the Outstanding Accommodation and the Facility Limit for the Corporate Markets Loan Facility, of:</w:t>
      </w:r>
    </w:p>
    <w:p>
      <w:pPr>
        <w:spacing w:after="0" w:line="61" w:lineRule="exact"/>
        <w:rPr>
          <w:rFonts w:ascii="Arial" w:cs="Arial" w:eastAsia="Arial" w:hAnsi="Arial"/>
          <w:sz w:val="11"/>
          <w:szCs w:val="11"/>
          <w:color w:val="auto"/>
        </w:rPr>
      </w:pPr>
    </w:p>
    <w:p>
      <w:pPr>
        <w:ind w:left="1400" w:hanging="277"/>
        <w:spacing w:after="0"/>
        <w:tabs>
          <w:tab w:leader="none" w:pos="1400" w:val="left"/>
        </w:tabs>
        <w:numPr>
          <w:ilvl w:val="1"/>
          <w:numId w:val="115"/>
        </w:numPr>
        <w:rPr>
          <w:rFonts w:ascii="Arial" w:cs="Arial" w:eastAsia="Arial" w:hAnsi="Arial"/>
          <w:sz w:val="11"/>
          <w:szCs w:val="11"/>
          <w:color w:val="auto"/>
        </w:rPr>
      </w:pPr>
      <w:r>
        <w:rPr>
          <w:rFonts w:ascii="Arial" w:cs="Arial" w:eastAsia="Arial" w:hAnsi="Arial"/>
          <w:sz w:val="11"/>
          <w:szCs w:val="11"/>
          <w:color w:val="auto"/>
        </w:rPr>
        <w:t>$500,000 on 31 October 2021;</w:t>
      </w:r>
    </w:p>
    <w:p>
      <w:pPr>
        <w:spacing w:after="0" w:line="76" w:lineRule="exact"/>
        <w:rPr>
          <w:rFonts w:ascii="Arial" w:cs="Arial" w:eastAsia="Arial" w:hAnsi="Arial"/>
          <w:sz w:val="11"/>
          <w:szCs w:val="11"/>
          <w:color w:val="auto"/>
        </w:rPr>
      </w:pPr>
    </w:p>
    <w:p>
      <w:pPr>
        <w:ind w:left="1420" w:hanging="297"/>
        <w:spacing w:after="0"/>
        <w:tabs>
          <w:tab w:leader="none" w:pos="1420" w:val="left"/>
        </w:tabs>
        <w:numPr>
          <w:ilvl w:val="1"/>
          <w:numId w:val="115"/>
        </w:numPr>
        <w:rPr>
          <w:rFonts w:ascii="Arial" w:cs="Arial" w:eastAsia="Arial" w:hAnsi="Arial"/>
          <w:sz w:val="11"/>
          <w:szCs w:val="11"/>
          <w:color w:val="auto"/>
        </w:rPr>
      </w:pPr>
      <w:r>
        <w:rPr>
          <w:rFonts w:ascii="Arial" w:cs="Arial" w:eastAsia="Arial" w:hAnsi="Arial"/>
          <w:sz w:val="11"/>
          <w:szCs w:val="11"/>
          <w:color w:val="auto"/>
        </w:rPr>
        <w:t>$500,000 on 30 April 2022;</w:t>
      </w:r>
    </w:p>
    <w:p>
      <w:pPr>
        <w:spacing w:after="0" w:line="76" w:lineRule="exact"/>
        <w:rPr>
          <w:rFonts w:ascii="Arial" w:cs="Arial" w:eastAsia="Arial" w:hAnsi="Arial"/>
          <w:sz w:val="11"/>
          <w:szCs w:val="11"/>
          <w:color w:val="auto"/>
        </w:rPr>
      </w:pPr>
    </w:p>
    <w:p>
      <w:pPr>
        <w:ind w:left="1420" w:hanging="297"/>
        <w:spacing w:after="0"/>
        <w:tabs>
          <w:tab w:leader="none" w:pos="1420" w:val="left"/>
        </w:tabs>
        <w:numPr>
          <w:ilvl w:val="1"/>
          <w:numId w:val="115"/>
        </w:numPr>
        <w:rPr>
          <w:rFonts w:ascii="Arial" w:cs="Arial" w:eastAsia="Arial" w:hAnsi="Arial"/>
          <w:sz w:val="11"/>
          <w:szCs w:val="11"/>
          <w:color w:val="auto"/>
        </w:rPr>
      </w:pPr>
      <w:r>
        <w:rPr>
          <w:rFonts w:ascii="Arial" w:cs="Arial" w:eastAsia="Arial" w:hAnsi="Arial"/>
          <w:sz w:val="11"/>
          <w:szCs w:val="11"/>
          <w:color w:val="auto"/>
        </w:rPr>
        <w:t>$500,000 on 31 October 2022;</w:t>
      </w:r>
    </w:p>
    <w:p>
      <w:pPr>
        <w:spacing w:after="0" w:line="99" w:lineRule="exact"/>
        <w:rPr>
          <w:sz w:val="20"/>
          <w:szCs w:val="20"/>
          <w:color w:val="auto"/>
        </w:rPr>
      </w:pPr>
    </w:p>
    <w:p>
      <w:pPr>
        <w:ind w:left="1120"/>
        <w:spacing w:after="0"/>
        <w:tabs>
          <w:tab w:leader="none" w:pos="1400" w:val="left"/>
          <w:tab w:leader="none" w:pos="3520" w:val="left"/>
        </w:tabs>
        <w:rPr>
          <w:sz w:val="20"/>
          <w:szCs w:val="20"/>
          <w:color w:val="auto"/>
        </w:rPr>
      </w:pPr>
      <w:r>
        <w:rPr>
          <w:rFonts w:ascii="Arial" w:cs="Arial" w:eastAsia="Arial" w:hAnsi="Arial"/>
          <w:sz w:val="11"/>
          <w:szCs w:val="11"/>
          <w:color w:val="auto"/>
        </w:rPr>
        <w:t>(iv)</w:t>
        <w:tab/>
        <w:t>$500,000 on 30 April 2023; and (v)</w:t>
      </w:r>
      <w:r>
        <w:rPr>
          <w:sz w:val="20"/>
          <w:szCs w:val="20"/>
          <w:color w:val="auto"/>
        </w:rPr>
        <w:tab/>
      </w:r>
      <w:r>
        <w:rPr>
          <w:rFonts w:ascii="Arial" w:cs="Arial" w:eastAsia="Arial" w:hAnsi="Arial"/>
          <w:sz w:val="11"/>
          <w:szCs w:val="11"/>
          <w:color w:val="auto"/>
        </w:rPr>
        <w:t>$500,000 on 31 October 2023;</w:t>
      </w:r>
    </w:p>
    <w:p>
      <w:pPr>
        <w:spacing w:after="0" w:line="24" w:lineRule="exact"/>
        <w:rPr>
          <w:sz w:val="20"/>
          <w:szCs w:val="20"/>
          <w:color w:val="auto"/>
        </w:rPr>
      </w:pPr>
    </w:p>
    <w:p>
      <w:pPr>
        <w:ind w:left="1080" w:hanging="280"/>
        <w:spacing w:after="0"/>
        <w:tabs>
          <w:tab w:leader="none" w:pos="1080" w:val="left"/>
        </w:tabs>
        <w:numPr>
          <w:ilvl w:val="0"/>
          <w:numId w:val="116"/>
        </w:numPr>
        <w:rPr>
          <w:rFonts w:ascii="Arial" w:cs="Arial" w:eastAsia="Arial" w:hAnsi="Arial"/>
          <w:sz w:val="11"/>
          <w:szCs w:val="11"/>
          <w:color w:val="auto"/>
        </w:rPr>
      </w:pPr>
      <w:r>
        <w:rPr>
          <w:rFonts w:ascii="Arial" w:cs="Arial" w:eastAsia="Arial" w:hAnsi="Arial"/>
          <w:sz w:val="11"/>
          <w:szCs w:val="11"/>
          <w:color w:val="auto"/>
        </w:rPr>
        <w:t>repay the Outstanding Accommodation in respect of each Facility on the Termination Date in respect of that Facility; and</w:t>
      </w:r>
    </w:p>
    <w:p>
      <w:pPr>
        <w:spacing w:after="0" w:line="40" w:lineRule="exact"/>
        <w:rPr>
          <w:rFonts w:ascii="Arial" w:cs="Arial" w:eastAsia="Arial" w:hAnsi="Arial"/>
          <w:sz w:val="11"/>
          <w:szCs w:val="11"/>
          <w:color w:val="auto"/>
        </w:rPr>
      </w:pPr>
    </w:p>
    <w:p>
      <w:pPr>
        <w:ind w:left="1080" w:right="960" w:hanging="280"/>
        <w:spacing w:after="0" w:line="268" w:lineRule="auto"/>
        <w:tabs>
          <w:tab w:leader="none" w:pos="1080" w:val="left"/>
        </w:tabs>
        <w:numPr>
          <w:ilvl w:val="0"/>
          <w:numId w:val="116"/>
        </w:numPr>
        <w:rPr>
          <w:rFonts w:ascii="Arial" w:cs="Arial" w:eastAsia="Arial" w:hAnsi="Arial"/>
          <w:sz w:val="11"/>
          <w:szCs w:val="11"/>
          <w:color w:val="auto"/>
        </w:rPr>
      </w:pPr>
      <w:r>
        <w:rPr>
          <w:rFonts w:ascii="Arial" w:cs="Arial" w:eastAsia="Arial" w:hAnsi="Arial"/>
          <w:sz w:val="11"/>
          <w:szCs w:val="11"/>
          <w:color w:val="auto"/>
        </w:rPr>
        <w:t xml:space="preserve">subject to </w:t>
      </w:r>
      <w:r>
        <w:rPr>
          <w:rFonts w:ascii="Arial" w:cs="Arial" w:eastAsia="Arial" w:hAnsi="Arial"/>
          <w:sz w:val="11"/>
          <w:szCs w:val="11"/>
          <w:b w:val="1"/>
          <w:bCs w:val="1"/>
          <w:color w:val="auto"/>
        </w:rPr>
        <w:t>clause 6</w:t>
      </w:r>
      <w:r>
        <w:rPr>
          <w:rFonts w:ascii="Arial" w:cs="Arial" w:eastAsia="Arial" w:hAnsi="Arial"/>
          <w:sz w:val="11"/>
          <w:szCs w:val="11"/>
          <w:color w:val="auto"/>
        </w:rPr>
        <w:t>, and any other provision in a Transaction Document that provides otherwise, pay any other amounts payable in connection with the Transaction Documents, to the Bank on demand.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31</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99" w:name="page100"/>
    <w:bookmarkEnd w:id="99"/>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9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5.6</w:t>
      </w:r>
      <w:r>
        <w:rPr>
          <w:sz w:val="20"/>
          <w:szCs w:val="20"/>
          <w:color w:val="auto"/>
        </w:rPr>
        <w:tab/>
      </w:r>
      <w:r>
        <w:rPr>
          <w:rFonts w:ascii="Arial" w:cs="Arial" w:eastAsia="Arial" w:hAnsi="Arial"/>
          <w:sz w:val="12"/>
          <w:szCs w:val="12"/>
          <w:b w:val="1"/>
          <w:bCs w:val="1"/>
          <w:color w:val="auto"/>
        </w:rPr>
        <w:t>Tranches</w:t>
      </w:r>
    </w:p>
    <w:p>
      <w:pPr>
        <w:spacing w:after="0" w:line="47" w:lineRule="exact"/>
        <w:rPr>
          <w:sz w:val="20"/>
          <w:szCs w:val="20"/>
          <w:color w:val="auto"/>
        </w:rPr>
      </w:pPr>
    </w:p>
    <w:p>
      <w:pPr>
        <w:ind w:left="840" w:right="400"/>
        <w:spacing w:after="0" w:line="256" w:lineRule="auto"/>
        <w:rPr>
          <w:sz w:val="20"/>
          <w:szCs w:val="20"/>
          <w:color w:val="auto"/>
        </w:rPr>
      </w:pPr>
      <w:r>
        <w:rPr>
          <w:rFonts w:ascii="Arial" w:cs="Arial" w:eastAsia="Arial" w:hAnsi="Arial"/>
          <w:sz w:val="11"/>
          <w:szCs w:val="11"/>
          <w:color w:val="auto"/>
        </w:rPr>
        <w:t>Amounts repaid or prepaid which form part of the Term Tranche may not be redrawn, and the Facility Limit in respect of the Corporate Markets Loan Facility will be reduced by the aggregate amount of such repayments or prepayments.</w:t>
      </w:r>
    </w:p>
    <w:p>
      <w:pPr>
        <w:spacing w:after="0" w:line="265" w:lineRule="exact"/>
        <w:rPr>
          <w:sz w:val="20"/>
          <w:szCs w:val="20"/>
          <w:color w:val="auto"/>
        </w:rPr>
      </w:pPr>
    </w:p>
    <w:p>
      <w:pPr>
        <w:ind w:left="800" w:hanging="405"/>
        <w:spacing w:after="0"/>
        <w:tabs>
          <w:tab w:leader="none" w:pos="8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Interest and fees</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1"/>
          <w:szCs w:val="11"/>
          <w:b w:val="1"/>
          <w:bCs w:val="1"/>
          <w:color w:val="auto"/>
        </w:rPr>
        <w:t>Pricing Periods</w:t>
      </w:r>
    </w:p>
    <w:p>
      <w:pPr>
        <w:spacing w:after="0" w:line="41" w:lineRule="exact"/>
        <w:rPr>
          <w:sz w:val="20"/>
          <w:szCs w:val="20"/>
          <w:color w:val="auto"/>
        </w:rPr>
      </w:pPr>
    </w:p>
    <w:p>
      <w:pPr>
        <w:ind w:left="1080" w:hanging="280"/>
        <w:spacing w:after="0"/>
        <w:tabs>
          <w:tab w:leader="none" w:pos="1080" w:val="left"/>
        </w:tabs>
        <w:numPr>
          <w:ilvl w:val="0"/>
          <w:numId w:val="118"/>
        </w:numPr>
        <w:rPr>
          <w:rFonts w:ascii="Arial" w:cs="Arial" w:eastAsia="Arial" w:hAnsi="Arial"/>
          <w:sz w:val="11"/>
          <w:szCs w:val="11"/>
          <w:color w:val="auto"/>
        </w:rPr>
      </w:pPr>
      <w:r>
        <w:rPr>
          <w:rFonts w:ascii="Arial" w:cs="Arial" w:eastAsia="Arial" w:hAnsi="Arial"/>
          <w:sz w:val="11"/>
          <w:szCs w:val="11"/>
          <w:color w:val="auto"/>
        </w:rPr>
        <w:t xml:space="preserve">Subject to </w:t>
      </w:r>
      <w:r>
        <w:rPr>
          <w:rFonts w:ascii="Arial" w:cs="Arial" w:eastAsia="Arial" w:hAnsi="Arial"/>
          <w:sz w:val="11"/>
          <w:szCs w:val="11"/>
          <w:b w:val="1"/>
          <w:bCs w:val="1"/>
          <w:color w:val="auto"/>
        </w:rPr>
        <w:t>clause 6.1(c)</w:t>
      </w:r>
      <w:r>
        <w:rPr>
          <w:rFonts w:ascii="Arial" w:cs="Arial" w:eastAsia="Arial" w:hAnsi="Arial"/>
          <w:sz w:val="11"/>
          <w:szCs w:val="11"/>
          <w:color w:val="auto"/>
        </w:rPr>
        <w:t>, the Pricing Period for each Advance must be a period of 30, 60 or 90 days or six Months or another period agreed by the Bank.</w:t>
      </w:r>
    </w:p>
    <w:p>
      <w:pPr>
        <w:spacing w:after="0" w:line="46" w:lineRule="exact"/>
        <w:rPr>
          <w:rFonts w:ascii="Arial" w:cs="Arial" w:eastAsia="Arial" w:hAnsi="Arial"/>
          <w:sz w:val="11"/>
          <w:szCs w:val="11"/>
          <w:color w:val="auto"/>
        </w:rPr>
      </w:pPr>
    </w:p>
    <w:p>
      <w:pPr>
        <w:ind w:left="1080" w:right="1340" w:hanging="280"/>
        <w:spacing w:after="0" w:line="268" w:lineRule="auto"/>
        <w:tabs>
          <w:tab w:leader="none" w:pos="1080" w:val="left"/>
        </w:tabs>
        <w:numPr>
          <w:ilvl w:val="0"/>
          <w:numId w:val="118"/>
        </w:numPr>
        <w:rPr>
          <w:rFonts w:ascii="Arial" w:cs="Arial" w:eastAsia="Arial" w:hAnsi="Arial"/>
          <w:sz w:val="11"/>
          <w:szCs w:val="11"/>
          <w:color w:val="auto"/>
        </w:rPr>
      </w:pPr>
      <w:r>
        <w:rPr>
          <w:rFonts w:ascii="Arial" w:cs="Arial" w:eastAsia="Arial" w:hAnsi="Arial"/>
          <w:sz w:val="11"/>
          <w:szCs w:val="11"/>
          <w:color w:val="auto"/>
        </w:rPr>
        <w:t xml:space="preserve">Subject to </w:t>
      </w:r>
      <w:r>
        <w:rPr>
          <w:rFonts w:ascii="Arial" w:cs="Arial" w:eastAsia="Arial" w:hAnsi="Arial"/>
          <w:sz w:val="11"/>
          <w:szCs w:val="11"/>
          <w:b w:val="1"/>
          <w:bCs w:val="1"/>
          <w:color w:val="auto"/>
        </w:rPr>
        <w:t>clause 6.1(c)</w:t>
      </w:r>
      <w:r>
        <w:rPr>
          <w:rFonts w:ascii="Arial" w:cs="Arial" w:eastAsia="Arial" w:hAnsi="Arial"/>
          <w:sz w:val="11"/>
          <w:szCs w:val="11"/>
          <w:color w:val="auto"/>
        </w:rPr>
        <w:t>, the first Pricing Period for an Advance commences on its Funding Date and will have the duration specified in the relevant Funding Notice. Each subsequent Pricing Period for the Advance:</w:t>
      </w:r>
    </w:p>
    <w:p>
      <w:pPr>
        <w:spacing w:after="0" w:line="16" w:lineRule="exact"/>
        <w:rPr>
          <w:rFonts w:ascii="Arial" w:cs="Arial" w:eastAsia="Arial" w:hAnsi="Arial"/>
          <w:sz w:val="11"/>
          <w:szCs w:val="11"/>
          <w:color w:val="auto"/>
        </w:rPr>
      </w:pPr>
    </w:p>
    <w:p>
      <w:pPr>
        <w:ind w:left="1400" w:hanging="285"/>
        <w:spacing w:after="0"/>
        <w:tabs>
          <w:tab w:leader="none" w:pos="1400" w:val="left"/>
        </w:tabs>
        <w:numPr>
          <w:ilvl w:val="1"/>
          <w:numId w:val="118"/>
        </w:numPr>
        <w:rPr>
          <w:rFonts w:ascii="Arial" w:cs="Arial" w:eastAsia="Arial" w:hAnsi="Arial"/>
          <w:sz w:val="11"/>
          <w:szCs w:val="11"/>
          <w:color w:val="auto"/>
        </w:rPr>
      </w:pPr>
      <w:r>
        <w:rPr>
          <w:rFonts w:ascii="Arial" w:cs="Arial" w:eastAsia="Arial" w:hAnsi="Arial"/>
          <w:sz w:val="11"/>
          <w:szCs w:val="11"/>
          <w:color w:val="auto"/>
        </w:rPr>
        <w:t>commences on the day after the preceding Pricing Period for the Advance expires; and</w:t>
      </w:r>
    </w:p>
    <w:p>
      <w:pPr>
        <w:spacing w:after="0" w:line="46" w:lineRule="exact"/>
        <w:rPr>
          <w:rFonts w:ascii="Arial" w:cs="Arial" w:eastAsia="Arial" w:hAnsi="Arial"/>
          <w:sz w:val="11"/>
          <w:szCs w:val="11"/>
          <w:color w:val="auto"/>
        </w:rPr>
      </w:pPr>
    </w:p>
    <w:p>
      <w:pPr>
        <w:ind w:left="1400" w:right="160" w:hanging="285"/>
        <w:spacing w:after="0" w:line="256" w:lineRule="auto"/>
        <w:tabs>
          <w:tab w:leader="none" w:pos="1400" w:val="left"/>
        </w:tabs>
        <w:numPr>
          <w:ilvl w:val="1"/>
          <w:numId w:val="118"/>
        </w:numPr>
        <w:rPr>
          <w:rFonts w:ascii="Arial" w:cs="Arial" w:eastAsia="Arial" w:hAnsi="Arial"/>
          <w:sz w:val="11"/>
          <w:szCs w:val="11"/>
          <w:color w:val="auto"/>
        </w:rPr>
      </w:pPr>
      <w:r>
        <w:rPr>
          <w:rFonts w:ascii="Arial" w:cs="Arial" w:eastAsia="Arial" w:hAnsi="Arial"/>
          <w:sz w:val="11"/>
          <w:szCs w:val="11"/>
          <w:color w:val="auto"/>
        </w:rPr>
        <w:t>is a period notified by the Borrower to the Bank at least two Business Days before the last day of the current Pricing Period, but if the Borrower does not give notice, is of the same duration as the Pricing Period which immediately precedes it.</w:t>
      </w:r>
    </w:p>
    <w:p>
      <w:pPr>
        <w:spacing w:after="0" w:line="30" w:lineRule="exact"/>
        <w:rPr>
          <w:rFonts w:ascii="Arial" w:cs="Arial" w:eastAsia="Arial" w:hAnsi="Arial"/>
          <w:sz w:val="11"/>
          <w:szCs w:val="11"/>
          <w:color w:val="auto"/>
        </w:rPr>
      </w:pPr>
    </w:p>
    <w:p>
      <w:pPr>
        <w:ind w:left="1080" w:hanging="280"/>
        <w:spacing w:after="0"/>
        <w:tabs>
          <w:tab w:leader="none" w:pos="1080" w:val="left"/>
        </w:tabs>
        <w:numPr>
          <w:ilvl w:val="0"/>
          <w:numId w:val="118"/>
        </w:numPr>
        <w:rPr>
          <w:rFonts w:ascii="Arial" w:cs="Arial" w:eastAsia="Arial" w:hAnsi="Arial"/>
          <w:sz w:val="11"/>
          <w:szCs w:val="11"/>
          <w:color w:val="auto"/>
        </w:rPr>
      </w:pPr>
      <w:r>
        <w:rPr>
          <w:rFonts w:ascii="Arial" w:cs="Arial" w:eastAsia="Arial" w:hAnsi="Arial"/>
          <w:sz w:val="11"/>
          <w:szCs w:val="11"/>
          <w:color w:val="auto"/>
        </w:rPr>
        <w:t>A Pricing Period:</w:t>
      </w:r>
    </w:p>
    <w:p>
      <w:pPr>
        <w:spacing w:after="0" w:line="68" w:lineRule="exact"/>
        <w:rPr>
          <w:rFonts w:ascii="Arial" w:cs="Arial" w:eastAsia="Arial" w:hAnsi="Arial"/>
          <w:sz w:val="11"/>
          <w:szCs w:val="11"/>
          <w:color w:val="auto"/>
        </w:rPr>
      </w:pPr>
    </w:p>
    <w:p>
      <w:pPr>
        <w:ind w:left="1400" w:right="240" w:hanging="285"/>
        <w:spacing w:after="0" w:line="238" w:lineRule="auto"/>
        <w:tabs>
          <w:tab w:leader="none" w:pos="1400" w:val="left"/>
        </w:tabs>
        <w:numPr>
          <w:ilvl w:val="1"/>
          <w:numId w:val="118"/>
        </w:numPr>
        <w:rPr>
          <w:rFonts w:ascii="Arial" w:cs="Arial" w:eastAsia="Arial" w:hAnsi="Arial"/>
          <w:sz w:val="11"/>
          <w:szCs w:val="11"/>
          <w:color w:val="auto"/>
        </w:rPr>
      </w:pPr>
      <w:r>
        <w:rPr>
          <w:rFonts w:ascii="Arial" w:cs="Arial" w:eastAsia="Arial" w:hAnsi="Arial"/>
          <w:sz w:val="11"/>
          <w:szCs w:val="11"/>
          <w:color w:val="auto"/>
        </w:rPr>
        <w:t xml:space="preserve">which would otherwise end on a day which is not a Business Day ends on the next Business Day and a Pricing Period which would otherwise end after the Termination Date ends on the Termination Date. For the avoidance of doubt, if a Pricing Period ends on a day that is not followed by a Business Day, the Bank may extend that Pricing Period accordingly (except where this would be contrary to </w:t>
      </w:r>
      <w:r>
        <w:rPr>
          <w:rFonts w:ascii="Arial" w:cs="Arial" w:eastAsia="Arial" w:hAnsi="Arial"/>
          <w:sz w:val="11"/>
          <w:szCs w:val="11"/>
          <w:b w:val="1"/>
          <w:bCs w:val="1"/>
          <w:color w:val="auto"/>
        </w:rPr>
        <w:t>clause 6.1(c)(ii)</w:t>
      </w:r>
      <w:r>
        <w:rPr>
          <w:rFonts w:ascii="Arial" w:cs="Arial" w:eastAsia="Arial" w:hAnsi="Arial"/>
          <w:sz w:val="11"/>
          <w:szCs w:val="11"/>
          <w:color w:val="auto"/>
        </w:rPr>
        <w:t>, in which case the Bank may shorten the Pricing Period); and</w:t>
      </w:r>
    </w:p>
    <w:p>
      <w:pPr>
        <w:spacing w:after="0" w:line="45" w:lineRule="exact"/>
        <w:rPr>
          <w:rFonts w:ascii="Arial" w:cs="Arial" w:eastAsia="Arial" w:hAnsi="Arial"/>
          <w:sz w:val="11"/>
          <w:szCs w:val="11"/>
          <w:color w:val="auto"/>
        </w:rPr>
      </w:pPr>
    </w:p>
    <w:p>
      <w:pPr>
        <w:ind w:left="1400" w:hanging="285"/>
        <w:spacing w:after="0"/>
        <w:tabs>
          <w:tab w:leader="none" w:pos="1400" w:val="left"/>
        </w:tabs>
        <w:numPr>
          <w:ilvl w:val="1"/>
          <w:numId w:val="118"/>
        </w:numPr>
        <w:rPr>
          <w:rFonts w:ascii="Arial" w:cs="Arial" w:eastAsia="Arial" w:hAnsi="Arial"/>
          <w:sz w:val="11"/>
          <w:szCs w:val="11"/>
          <w:color w:val="auto"/>
        </w:rPr>
      </w:pPr>
      <w:r>
        <w:rPr>
          <w:rFonts w:ascii="Arial" w:cs="Arial" w:eastAsia="Arial" w:hAnsi="Arial"/>
          <w:sz w:val="11"/>
          <w:szCs w:val="11"/>
          <w:color w:val="auto"/>
        </w:rPr>
        <w:t>May be adjusted by the Bank where necessary so that:</w:t>
      </w:r>
    </w:p>
    <w:p>
      <w:pPr>
        <w:spacing w:after="0" w:line="76" w:lineRule="exact"/>
        <w:rPr>
          <w:rFonts w:ascii="Arial" w:cs="Arial" w:eastAsia="Arial" w:hAnsi="Arial"/>
          <w:sz w:val="11"/>
          <w:szCs w:val="11"/>
          <w:color w:val="auto"/>
        </w:rPr>
      </w:pPr>
    </w:p>
    <w:p>
      <w:pPr>
        <w:ind w:left="1660" w:hanging="275"/>
        <w:spacing w:after="0"/>
        <w:tabs>
          <w:tab w:leader="none" w:pos="1660" w:val="left"/>
        </w:tabs>
        <w:numPr>
          <w:ilvl w:val="2"/>
          <w:numId w:val="118"/>
        </w:numPr>
        <w:rPr>
          <w:rFonts w:ascii="Arial" w:cs="Arial" w:eastAsia="Arial" w:hAnsi="Arial"/>
          <w:sz w:val="11"/>
          <w:szCs w:val="11"/>
          <w:color w:val="auto"/>
        </w:rPr>
      </w:pPr>
      <w:r>
        <w:rPr>
          <w:rFonts w:ascii="Arial" w:cs="Arial" w:eastAsia="Arial" w:hAnsi="Arial"/>
          <w:sz w:val="11"/>
          <w:szCs w:val="11"/>
          <w:color w:val="auto"/>
        </w:rPr>
        <w:t>a Pricing Period starts on a Business Day;</w:t>
      </w:r>
    </w:p>
    <w:p>
      <w:pPr>
        <w:spacing w:after="0" w:line="76" w:lineRule="exact"/>
        <w:rPr>
          <w:rFonts w:ascii="Arial" w:cs="Arial" w:eastAsia="Arial" w:hAnsi="Arial"/>
          <w:sz w:val="11"/>
          <w:szCs w:val="11"/>
          <w:color w:val="auto"/>
        </w:rPr>
      </w:pPr>
    </w:p>
    <w:p>
      <w:pPr>
        <w:ind w:left="1660" w:hanging="275"/>
        <w:spacing w:after="0"/>
        <w:tabs>
          <w:tab w:leader="none" w:pos="1660" w:val="left"/>
        </w:tabs>
        <w:numPr>
          <w:ilvl w:val="2"/>
          <w:numId w:val="118"/>
        </w:numPr>
        <w:rPr>
          <w:rFonts w:ascii="Arial" w:cs="Arial" w:eastAsia="Arial" w:hAnsi="Arial"/>
          <w:sz w:val="11"/>
          <w:szCs w:val="11"/>
          <w:color w:val="auto"/>
        </w:rPr>
      </w:pPr>
      <w:r>
        <w:rPr>
          <w:rFonts w:ascii="Arial" w:cs="Arial" w:eastAsia="Arial" w:hAnsi="Arial"/>
          <w:sz w:val="11"/>
          <w:szCs w:val="11"/>
          <w:color w:val="auto"/>
        </w:rPr>
        <w:t>all Advances will have the same Pricing Period;</w:t>
      </w:r>
    </w:p>
    <w:p>
      <w:pPr>
        <w:spacing w:after="0" w:line="68" w:lineRule="exact"/>
        <w:rPr>
          <w:rFonts w:ascii="Arial" w:cs="Arial" w:eastAsia="Arial" w:hAnsi="Arial"/>
          <w:sz w:val="11"/>
          <w:szCs w:val="11"/>
          <w:color w:val="auto"/>
        </w:rPr>
      </w:pPr>
    </w:p>
    <w:p>
      <w:pPr>
        <w:ind w:left="1660" w:hanging="275"/>
        <w:spacing w:after="0"/>
        <w:tabs>
          <w:tab w:leader="none" w:pos="1660" w:val="left"/>
        </w:tabs>
        <w:numPr>
          <w:ilvl w:val="2"/>
          <w:numId w:val="118"/>
        </w:numPr>
        <w:rPr>
          <w:rFonts w:ascii="Arial" w:cs="Arial" w:eastAsia="Arial" w:hAnsi="Arial"/>
          <w:sz w:val="11"/>
          <w:szCs w:val="11"/>
          <w:color w:val="auto"/>
        </w:rPr>
      </w:pPr>
      <w:r>
        <w:rPr>
          <w:rFonts w:ascii="Arial" w:cs="Arial" w:eastAsia="Arial" w:hAnsi="Arial"/>
          <w:sz w:val="11"/>
          <w:szCs w:val="11"/>
          <w:color w:val="auto"/>
        </w:rPr>
        <w:t>a Pricing Period does not end after the Termination Date; and</w:t>
      </w:r>
    </w:p>
    <w:p>
      <w:pPr>
        <w:spacing w:after="0" w:line="46" w:lineRule="exact"/>
        <w:rPr>
          <w:rFonts w:ascii="Arial" w:cs="Arial" w:eastAsia="Arial" w:hAnsi="Arial"/>
          <w:sz w:val="11"/>
          <w:szCs w:val="11"/>
          <w:color w:val="auto"/>
        </w:rPr>
      </w:pPr>
    </w:p>
    <w:p>
      <w:pPr>
        <w:ind w:left="1660" w:right="500" w:hanging="275"/>
        <w:spacing w:after="0" w:line="256" w:lineRule="auto"/>
        <w:tabs>
          <w:tab w:leader="none" w:pos="1660" w:val="left"/>
        </w:tabs>
        <w:numPr>
          <w:ilvl w:val="2"/>
          <w:numId w:val="118"/>
        </w:numPr>
        <w:rPr>
          <w:rFonts w:ascii="Arial" w:cs="Arial" w:eastAsia="Arial" w:hAnsi="Arial"/>
          <w:sz w:val="11"/>
          <w:szCs w:val="11"/>
          <w:color w:val="auto"/>
        </w:rPr>
      </w:pPr>
      <w:r>
        <w:rPr>
          <w:rFonts w:ascii="Arial" w:cs="Arial" w:eastAsia="Arial" w:hAnsi="Arial"/>
          <w:sz w:val="11"/>
          <w:szCs w:val="11"/>
          <w:color w:val="auto"/>
        </w:rPr>
        <w:t>if a new Advance is made during a Pricing Period for an existing Advance, the first Pricing Period for that new Advance ends on the same day as the Pricing Period for the existing Advance.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32</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00" w:name="page101"/>
    <w:bookmarkEnd w:id="100"/>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9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6.2</w:t>
      </w:r>
      <w:r>
        <w:rPr>
          <w:sz w:val="20"/>
          <w:szCs w:val="20"/>
          <w:color w:val="auto"/>
        </w:rPr>
        <w:tab/>
      </w:r>
      <w:r>
        <w:rPr>
          <w:rFonts w:ascii="Arial" w:cs="Arial" w:eastAsia="Arial" w:hAnsi="Arial"/>
          <w:sz w:val="11"/>
          <w:szCs w:val="11"/>
          <w:b w:val="1"/>
          <w:bCs w:val="1"/>
          <w:color w:val="auto"/>
        </w:rPr>
        <w:t>Payment and rate</w:t>
      </w:r>
    </w:p>
    <w:p>
      <w:pPr>
        <w:spacing w:after="0" w:line="55" w:lineRule="exact"/>
        <w:rPr>
          <w:sz w:val="20"/>
          <w:szCs w:val="20"/>
          <w:color w:val="auto"/>
        </w:rPr>
      </w:pPr>
    </w:p>
    <w:p>
      <w:pPr>
        <w:ind w:left="1080" w:hanging="280"/>
        <w:spacing w:after="0"/>
        <w:tabs>
          <w:tab w:leader="none" w:pos="1080" w:val="left"/>
        </w:tabs>
        <w:numPr>
          <w:ilvl w:val="0"/>
          <w:numId w:val="119"/>
        </w:numPr>
        <w:rPr>
          <w:rFonts w:ascii="Arial" w:cs="Arial" w:eastAsia="Arial" w:hAnsi="Arial"/>
          <w:sz w:val="11"/>
          <w:szCs w:val="11"/>
          <w:color w:val="auto"/>
        </w:rPr>
      </w:pPr>
      <w:r>
        <w:rPr>
          <w:rFonts w:ascii="Arial" w:cs="Arial" w:eastAsia="Arial" w:hAnsi="Arial"/>
          <w:sz w:val="11"/>
          <w:szCs w:val="11"/>
          <w:color w:val="auto"/>
        </w:rPr>
        <w:t>In respect of the Corporate Markets Loan Facility:</w:t>
      </w:r>
    </w:p>
    <w:p>
      <w:pPr>
        <w:spacing w:after="0" w:line="68" w:lineRule="exact"/>
        <w:rPr>
          <w:rFonts w:ascii="Arial" w:cs="Arial" w:eastAsia="Arial" w:hAnsi="Arial"/>
          <w:sz w:val="11"/>
          <w:szCs w:val="11"/>
          <w:color w:val="auto"/>
        </w:rPr>
      </w:pPr>
    </w:p>
    <w:p>
      <w:pPr>
        <w:ind w:left="1400" w:right="860" w:hanging="285"/>
        <w:spacing w:after="0" w:line="256" w:lineRule="auto"/>
        <w:tabs>
          <w:tab w:leader="none" w:pos="1400" w:val="left"/>
        </w:tabs>
        <w:numPr>
          <w:ilvl w:val="1"/>
          <w:numId w:val="119"/>
        </w:numPr>
        <w:rPr>
          <w:rFonts w:ascii="Arial" w:cs="Arial" w:eastAsia="Arial" w:hAnsi="Arial"/>
          <w:sz w:val="11"/>
          <w:szCs w:val="11"/>
          <w:color w:val="auto"/>
        </w:rPr>
      </w:pPr>
      <w:r>
        <w:rPr>
          <w:rFonts w:ascii="Arial" w:cs="Arial" w:eastAsia="Arial" w:hAnsi="Arial"/>
          <w:sz w:val="11"/>
          <w:szCs w:val="11"/>
          <w:color w:val="auto"/>
        </w:rPr>
        <w:t>interest for each day is calculated by applying the Daily Interest Rate to the Advance at the end of that day (excluding any amount to which the Overdue Rate applies); and</w:t>
      </w:r>
    </w:p>
    <w:p>
      <w:pPr>
        <w:spacing w:after="0" w:line="30" w:lineRule="exact"/>
        <w:rPr>
          <w:rFonts w:ascii="Arial" w:cs="Arial" w:eastAsia="Arial" w:hAnsi="Arial"/>
          <w:sz w:val="11"/>
          <w:szCs w:val="11"/>
          <w:color w:val="auto"/>
        </w:rPr>
      </w:pPr>
    </w:p>
    <w:p>
      <w:pPr>
        <w:ind w:left="1400" w:hanging="285"/>
        <w:spacing w:after="0"/>
        <w:tabs>
          <w:tab w:leader="none" w:pos="1400" w:val="left"/>
        </w:tabs>
        <w:numPr>
          <w:ilvl w:val="1"/>
          <w:numId w:val="119"/>
        </w:numPr>
        <w:rPr>
          <w:rFonts w:ascii="Arial" w:cs="Arial" w:eastAsia="Arial" w:hAnsi="Arial"/>
          <w:sz w:val="11"/>
          <w:szCs w:val="11"/>
          <w:color w:val="auto"/>
        </w:rPr>
      </w:pPr>
      <w:r>
        <w:rPr>
          <w:rFonts w:ascii="Arial" w:cs="Arial" w:eastAsia="Arial" w:hAnsi="Arial"/>
          <w:sz w:val="11"/>
          <w:szCs w:val="11"/>
          <w:color w:val="auto"/>
        </w:rPr>
        <w:t>the Borrower must pay accrued interest in respect of:</w:t>
      </w:r>
    </w:p>
    <w:p>
      <w:pPr>
        <w:spacing w:after="0" w:line="68" w:lineRule="exact"/>
        <w:rPr>
          <w:rFonts w:ascii="Arial" w:cs="Arial" w:eastAsia="Arial" w:hAnsi="Arial"/>
          <w:sz w:val="11"/>
          <w:szCs w:val="11"/>
          <w:color w:val="auto"/>
        </w:rPr>
      </w:pPr>
    </w:p>
    <w:p>
      <w:pPr>
        <w:ind w:left="1660" w:hanging="275"/>
        <w:spacing w:after="0"/>
        <w:tabs>
          <w:tab w:leader="none" w:pos="1660" w:val="left"/>
        </w:tabs>
        <w:numPr>
          <w:ilvl w:val="2"/>
          <w:numId w:val="119"/>
        </w:numPr>
        <w:rPr>
          <w:rFonts w:ascii="Arial" w:cs="Arial" w:eastAsia="Arial" w:hAnsi="Arial"/>
          <w:sz w:val="11"/>
          <w:szCs w:val="11"/>
          <w:color w:val="auto"/>
        </w:rPr>
      </w:pPr>
      <w:r>
        <w:rPr>
          <w:rFonts w:ascii="Arial" w:cs="Arial" w:eastAsia="Arial" w:hAnsi="Arial"/>
          <w:sz w:val="11"/>
          <w:szCs w:val="11"/>
          <w:color w:val="auto"/>
        </w:rPr>
        <w:t>each Pricing Period, on the First Business Day after the expiry of that Pricing Period; and</w:t>
      </w:r>
    </w:p>
    <w:p>
      <w:pPr>
        <w:spacing w:after="0" w:line="46" w:lineRule="exact"/>
        <w:rPr>
          <w:rFonts w:ascii="Arial" w:cs="Arial" w:eastAsia="Arial" w:hAnsi="Arial"/>
          <w:sz w:val="11"/>
          <w:szCs w:val="11"/>
          <w:color w:val="auto"/>
        </w:rPr>
      </w:pPr>
    </w:p>
    <w:p>
      <w:pPr>
        <w:ind w:left="1660" w:hanging="275"/>
        <w:spacing w:after="0"/>
        <w:tabs>
          <w:tab w:leader="none" w:pos="1660" w:val="left"/>
        </w:tabs>
        <w:numPr>
          <w:ilvl w:val="2"/>
          <w:numId w:val="119"/>
        </w:numPr>
        <w:rPr>
          <w:rFonts w:ascii="Arial" w:cs="Arial" w:eastAsia="Arial" w:hAnsi="Arial"/>
          <w:sz w:val="11"/>
          <w:szCs w:val="11"/>
          <w:color w:val="auto"/>
        </w:rPr>
      </w:pPr>
      <w:r>
        <w:rPr>
          <w:rFonts w:ascii="Arial" w:cs="Arial" w:eastAsia="Arial" w:hAnsi="Arial"/>
          <w:sz w:val="11"/>
          <w:szCs w:val="11"/>
          <w:color w:val="auto"/>
        </w:rPr>
        <w:t>the last Pricing Period, for the period up to and including the Termination Date, on the Termination Date.</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119"/>
        </w:numPr>
        <w:rPr>
          <w:rFonts w:ascii="Arial" w:cs="Arial" w:eastAsia="Arial" w:hAnsi="Arial"/>
          <w:sz w:val="11"/>
          <w:szCs w:val="11"/>
          <w:color w:val="auto"/>
        </w:rPr>
      </w:pPr>
      <w:r>
        <w:rPr>
          <w:rFonts w:ascii="Arial" w:cs="Arial" w:eastAsia="Arial" w:hAnsi="Arial"/>
          <w:sz w:val="11"/>
          <w:szCs w:val="11"/>
          <w:color w:val="auto"/>
        </w:rPr>
        <w:t>The Borrower must pay interest on Overdue Money, and such interest must be paid on demand by the Bank.</w:t>
      </w:r>
    </w:p>
    <w:p>
      <w:pPr>
        <w:spacing w:after="0" w:line="61" w:lineRule="exact"/>
        <w:rPr>
          <w:rFonts w:ascii="Arial" w:cs="Arial" w:eastAsia="Arial" w:hAnsi="Arial"/>
          <w:sz w:val="11"/>
          <w:szCs w:val="11"/>
          <w:color w:val="auto"/>
        </w:rPr>
      </w:pPr>
    </w:p>
    <w:p>
      <w:pPr>
        <w:ind w:left="1080" w:hanging="280"/>
        <w:spacing w:after="0"/>
        <w:tabs>
          <w:tab w:leader="none" w:pos="1080" w:val="left"/>
        </w:tabs>
        <w:numPr>
          <w:ilvl w:val="0"/>
          <w:numId w:val="119"/>
        </w:numPr>
        <w:rPr>
          <w:rFonts w:ascii="Arial" w:cs="Arial" w:eastAsia="Arial" w:hAnsi="Arial"/>
          <w:sz w:val="11"/>
          <w:szCs w:val="11"/>
          <w:color w:val="auto"/>
        </w:rPr>
      </w:pPr>
      <w:r>
        <w:rPr>
          <w:rFonts w:ascii="Arial" w:cs="Arial" w:eastAsia="Arial" w:hAnsi="Arial"/>
          <w:sz w:val="11"/>
          <w:szCs w:val="11"/>
          <w:color w:val="auto"/>
        </w:rPr>
        <w:t>The interest rate on Overdue Money will be the Overdue Rate.</w:t>
      </w:r>
    </w:p>
    <w:p>
      <w:pPr>
        <w:spacing w:after="0" w:line="101"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2"/>
          <w:szCs w:val="12"/>
          <w:b w:val="1"/>
          <w:bCs w:val="1"/>
          <w:color w:val="auto"/>
        </w:rPr>
        <w:t>Computation of interest</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1"/>
          <w:szCs w:val="11"/>
          <w:color w:val="auto"/>
        </w:rPr>
        <w:t>Interest will:</w:t>
      </w:r>
    </w:p>
    <w:p>
      <w:pPr>
        <w:spacing w:after="0" w:line="76" w:lineRule="exact"/>
        <w:rPr>
          <w:sz w:val="20"/>
          <w:szCs w:val="20"/>
          <w:color w:val="auto"/>
        </w:rPr>
      </w:pPr>
    </w:p>
    <w:p>
      <w:pPr>
        <w:ind w:left="1080" w:hanging="280"/>
        <w:spacing w:after="0"/>
        <w:tabs>
          <w:tab w:leader="none" w:pos="1080" w:val="left"/>
        </w:tabs>
        <w:numPr>
          <w:ilvl w:val="0"/>
          <w:numId w:val="120"/>
        </w:numPr>
        <w:rPr>
          <w:rFonts w:ascii="Arial" w:cs="Arial" w:eastAsia="Arial" w:hAnsi="Arial"/>
          <w:sz w:val="11"/>
          <w:szCs w:val="11"/>
          <w:color w:val="auto"/>
        </w:rPr>
      </w:pPr>
      <w:r>
        <w:rPr>
          <w:rFonts w:ascii="Arial" w:cs="Arial" w:eastAsia="Arial" w:hAnsi="Arial"/>
          <w:sz w:val="11"/>
          <w:szCs w:val="11"/>
          <w:color w:val="auto"/>
        </w:rPr>
        <w:t>accrue from day to day;</w:t>
      </w:r>
    </w:p>
    <w:p>
      <w:pPr>
        <w:spacing w:after="0" w:line="68" w:lineRule="exact"/>
        <w:rPr>
          <w:rFonts w:ascii="Arial" w:cs="Arial" w:eastAsia="Arial" w:hAnsi="Arial"/>
          <w:sz w:val="11"/>
          <w:szCs w:val="11"/>
          <w:color w:val="auto"/>
        </w:rPr>
      </w:pPr>
    </w:p>
    <w:p>
      <w:pPr>
        <w:ind w:left="1080" w:right="400" w:hanging="280"/>
        <w:spacing w:after="0" w:line="256" w:lineRule="auto"/>
        <w:tabs>
          <w:tab w:leader="none" w:pos="1080" w:val="left"/>
        </w:tabs>
        <w:numPr>
          <w:ilvl w:val="0"/>
          <w:numId w:val="120"/>
        </w:numPr>
        <w:rPr>
          <w:rFonts w:ascii="Arial" w:cs="Arial" w:eastAsia="Arial" w:hAnsi="Arial"/>
          <w:sz w:val="11"/>
          <w:szCs w:val="11"/>
          <w:color w:val="auto"/>
        </w:rPr>
      </w:pPr>
      <w:r>
        <w:rPr>
          <w:rFonts w:ascii="Arial" w:cs="Arial" w:eastAsia="Arial" w:hAnsi="Arial"/>
          <w:sz w:val="11"/>
          <w:szCs w:val="11"/>
          <w:color w:val="auto"/>
        </w:rPr>
        <w:t>be computed from and including the day when the money on which interest is payable becomes owing to the Bank by the Borrower until but excluding the day of payment of that money; and</w:t>
      </w:r>
    </w:p>
    <w:p>
      <w:pPr>
        <w:spacing w:after="0" w:line="22" w:lineRule="exact"/>
        <w:rPr>
          <w:rFonts w:ascii="Arial" w:cs="Arial" w:eastAsia="Arial" w:hAnsi="Arial"/>
          <w:sz w:val="11"/>
          <w:szCs w:val="11"/>
          <w:color w:val="auto"/>
        </w:rPr>
      </w:pPr>
    </w:p>
    <w:p>
      <w:pPr>
        <w:ind w:left="1080" w:hanging="280"/>
        <w:spacing w:after="0"/>
        <w:tabs>
          <w:tab w:leader="none" w:pos="1080" w:val="left"/>
        </w:tabs>
        <w:numPr>
          <w:ilvl w:val="0"/>
          <w:numId w:val="120"/>
        </w:numPr>
        <w:rPr>
          <w:rFonts w:ascii="Arial" w:cs="Arial" w:eastAsia="Arial" w:hAnsi="Arial"/>
          <w:sz w:val="11"/>
          <w:szCs w:val="11"/>
          <w:color w:val="auto"/>
        </w:rPr>
      </w:pPr>
      <w:r>
        <w:rPr>
          <w:rFonts w:ascii="Arial" w:cs="Arial" w:eastAsia="Arial" w:hAnsi="Arial"/>
          <w:sz w:val="11"/>
          <w:szCs w:val="11"/>
          <w:color w:val="auto"/>
        </w:rPr>
        <w:t>be calculated on the actual number of days elapsed on the basis of a 365 day year.</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6.4</w:t>
      </w:r>
      <w:r>
        <w:rPr>
          <w:sz w:val="20"/>
          <w:szCs w:val="20"/>
          <w:color w:val="auto"/>
        </w:rPr>
        <w:tab/>
      </w:r>
      <w:r>
        <w:rPr>
          <w:rFonts w:ascii="Arial" w:cs="Arial" w:eastAsia="Arial" w:hAnsi="Arial"/>
          <w:sz w:val="11"/>
          <w:szCs w:val="11"/>
          <w:b w:val="1"/>
          <w:bCs w:val="1"/>
          <w:color w:val="auto"/>
        </w:rPr>
        <w:t>Capitalisation of interest</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1"/>
          <w:szCs w:val="11"/>
          <w:color w:val="auto"/>
        </w:rPr>
        <w:t>The Bank may:</w:t>
      </w:r>
    </w:p>
    <w:p>
      <w:pPr>
        <w:spacing w:after="0" w:line="69" w:lineRule="exact"/>
        <w:rPr>
          <w:sz w:val="20"/>
          <w:szCs w:val="20"/>
          <w:color w:val="auto"/>
        </w:rPr>
      </w:pPr>
    </w:p>
    <w:p>
      <w:pPr>
        <w:ind w:left="1080" w:right="500" w:hanging="280"/>
        <w:spacing w:after="0" w:line="256" w:lineRule="auto"/>
        <w:tabs>
          <w:tab w:leader="none" w:pos="1080" w:val="left"/>
        </w:tabs>
        <w:numPr>
          <w:ilvl w:val="0"/>
          <w:numId w:val="121"/>
        </w:numPr>
        <w:rPr>
          <w:rFonts w:ascii="Arial" w:cs="Arial" w:eastAsia="Arial" w:hAnsi="Arial"/>
          <w:sz w:val="11"/>
          <w:szCs w:val="11"/>
          <w:color w:val="auto"/>
        </w:rPr>
      </w:pPr>
      <w:r>
        <w:rPr>
          <w:rFonts w:ascii="Arial" w:cs="Arial" w:eastAsia="Arial" w:hAnsi="Arial"/>
          <w:sz w:val="11"/>
          <w:szCs w:val="11"/>
          <w:color w:val="auto"/>
        </w:rPr>
        <w:t>capitalise, on a monthly or other periodical basis as the Bank determines, any part of any interest which becomes due and payable and interest is payable in accordance with this document on capitalised interest; and</w:t>
      </w:r>
    </w:p>
    <w:p>
      <w:pPr>
        <w:spacing w:after="0" w:line="30" w:lineRule="exact"/>
        <w:rPr>
          <w:rFonts w:ascii="Arial" w:cs="Arial" w:eastAsia="Arial" w:hAnsi="Arial"/>
          <w:sz w:val="11"/>
          <w:szCs w:val="11"/>
          <w:color w:val="auto"/>
        </w:rPr>
      </w:pPr>
    </w:p>
    <w:p>
      <w:pPr>
        <w:ind w:left="1080" w:hanging="280"/>
        <w:spacing w:after="0"/>
        <w:tabs>
          <w:tab w:leader="none" w:pos="1080" w:val="left"/>
        </w:tabs>
        <w:numPr>
          <w:ilvl w:val="0"/>
          <w:numId w:val="121"/>
        </w:numPr>
        <w:rPr>
          <w:rFonts w:ascii="Arial" w:cs="Arial" w:eastAsia="Arial" w:hAnsi="Arial"/>
          <w:sz w:val="11"/>
          <w:szCs w:val="11"/>
          <w:color w:val="auto"/>
        </w:rPr>
      </w:pPr>
      <w:r>
        <w:rPr>
          <w:rFonts w:ascii="Arial" w:cs="Arial" w:eastAsia="Arial" w:hAnsi="Arial"/>
          <w:sz w:val="11"/>
          <w:szCs w:val="11"/>
          <w:color w:val="auto"/>
        </w:rPr>
        <w:t>continue to capitalise interest despite:</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121"/>
        </w:numPr>
        <w:rPr>
          <w:rFonts w:ascii="Arial" w:cs="Arial" w:eastAsia="Arial" w:hAnsi="Arial"/>
          <w:sz w:val="11"/>
          <w:szCs w:val="11"/>
          <w:color w:val="auto"/>
        </w:rPr>
      </w:pPr>
      <w:r>
        <w:rPr>
          <w:rFonts w:ascii="Arial" w:cs="Arial" w:eastAsia="Arial" w:hAnsi="Arial"/>
          <w:sz w:val="11"/>
          <w:szCs w:val="11"/>
          <w:color w:val="auto"/>
        </w:rPr>
        <w:t>that as between the Bank and the Borrower the relationship of Bank and customer has ceased;</w:t>
      </w:r>
    </w:p>
    <w:p>
      <w:pPr>
        <w:spacing w:after="0" w:line="61" w:lineRule="exact"/>
        <w:rPr>
          <w:rFonts w:ascii="Arial" w:cs="Arial" w:eastAsia="Arial" w:hAnsi="Arial"/>
          <w:sz w:val="11"/>
          <w:szCs w:val="11"/>
          <w:color w:val="auto"/>
        </w:rPr>
      </w:pPr>
    </w:p>
    <w:p>
      <w:pPr>
        <w:ind w:left="1400" w:hanging="285"/>
        <w:spacing w:after="0"/>
        <w:tabs>
          <w:tab w:leader="none" w:pos="1400" w:val="left"/>
        </w:tabs>
        <w:numPr>
          <w:ilvl w:val="1"/>
          <w:numId w:val="121"/>
        </w:numPr>
        <w:rPr>
          <w:rFonts w:ascii="Arial" w:cs="Arial" w:eastAsia="Arial" w:hAnsi="Arial"/>
          <w:sz w:val="11"/>
          <w:szCs w:val="11"/>
          <w:color w:val="auto"/>
        </w:rPr>
      </w:pPr>
      <w:r>
        <w:rPr>
          <w:rFonts w:ascii="Arial" w:cs="Arial" w:eastAsia="Arial" w:hAnsi="Arial"/>
          <w:sz w:val="11"/>
          <w:szCs w:val="11"/>
          <w:color w:val="auto"/>
        </w:rPr>
        <w:t>any composition agreed to by the Bank;</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121"/>
        </w:numPr>
        <w:rPr>
          <w:rFonts w:ascii="Arial" w:cs="Arial" w:eastAsia="Arial" w:hAnsi="Arial"/>
          <w:sz w:val="11"/>
          <w:szCs w:val="11"/>
          <w:color w:val="auto"/>
        </w:rPr>
      </w:pPr>
      <w:r>
        <w:rPr>
          <w:rFonts w:ascii="Arial" w:cs="Arial" w:eastAsia="Arial" w:hAnsi="Arial"/>
          <w:sz w:val="11"/>
          <w:szCs w:val="11"/>
          <w:color w:val="auto"/>
        </w:rPr>
        <w:t>any judgment or order against the Borrower; or</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121"/>
        </w:numPr>
        <w:rPr>
          <w:rFonts w:ascii="Arial" w:cs="Arial" w:eastAsia="Arial" w:hAnsi="Arial"/>
          <w:sz w:val="11"/>
          <w:szCs w:val="11"/>
          <w:color w:val="auto"/>
        </w:rPr>
      </w:pPr>
      <w:r>
        <w:rPr>
          <w:rFonts w:ascii="Arial" w:cs="Arial" w:eastAsia="Arial" w:hAnsi="Arial"/>
          <w:sz w:val="11"/>
          <w:szCs w:val="11"/>
          <w:color w:val="auto"/>
        </w:rPr>
        <w:t>any other thing.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jc w:val="right"/>
              <w:ind w:right="73"/>
              <w:spacing w:after="0"/>
              <w:rPr>
                <w:sz w:val="20"/>
                <w:szCs w:val="20"/>
                <w:color w:val="auto"/>
              </w:rPr>
            </w:pPr>
            <w:r>
              <w:rPr>
                <w:rFonts w:ascii="Arial" w:cs="Arial" w:eastAsia="Arial" w:hAnsi="Arial"/>
                <w:sz w:val="12"/>
                <w:szCs w:val="12"/>
                <w:b w:val="1"/>
                <w:bCs w:val="1"/>
                <w:color w:val="auto"/>
              </w:rPr>
              <w:t>6.5</w:t>
            </w:r>
          </w:p>
        </w:tc>
        <w:tc>
          <w:tcPr>
            <w:tcW w:w="7440" w:type="dxa"/>
            <w:vAlign w:val="bottom"/>
          </w:tcPr>
          <w:p>
            <w:pPr>
              <w:ind w:left="120"/>
              <w:spacing w:after="0"/>
              <w:rPr>
                <w:sz w:val="20"/>
                <w:szCs w:val="20"/>
                <w:color w:val="auto"/>
              </w:rPr>
            </w:pPr>
            <w:r>
              <w:rPr>
                <w:rFonts w:ascii="Arial" w:cs="Arial" w:eastAsia="Arial" w:hAnsi="Arial"/>
                <w:sz w:val="12"/>
                <w:szCs w:val="12"/>
                <w:b w:val="1"/>
                <w:bCs w:val="1"/>
                <w:color w:val="auto"/>
              </w:rPr>
              <w:t>Merger</w:t>
            </w:r>
          </w:p>
        </w:tc>
        <w:tc>
          <w:tcPr>
            <w:tcW w:w="1160" w:type="dxa"/>
            <w:vAlign w:val="bottom"/>
          </w:tcPr>
          <w:p>
            <w:pPr>
              <w:spacing w:after="0"/>
              <w:rPr>
                <w:sz w:val="14"/>
                <w:szCs w:val="14"/>
                <w:color w:val="auto"/>
              </w:rPr>
            </w:pPr>
          </w:p>
        </w:tc>
      </w:tr>
      <w:tr>
        <w:trPr>
          <w:trHeight w:val="139"/>
        </w:trPr>
        <w:tc>
          <w:tcPr>
            <w:tcW w:w="680" w:type="dxa"/>
            <w:vAlign w:val="bottom"/>
          </w:tcPr>
          <w:p>
            <w:pPr>
              <w:spacing w:after="0"/>
              <w:rPr>
                <w:sz w:val="12"/>
                <w:szCs w:val="12"/>
                <w:color w:val="auto"/>
              </w:rPr>
            </w:pPr>
          </w:p>
        </w:tc>
        <w:tc>
          <w:tcPr>
            <w:tcW w:w="7440" w:type="dxa"/>
            <w:vAlign w:val="bottom"/>
          </w:tcPr>
          <w:p>
            <w:pPr>
              <w:ind w:left="160"/>
              <w:spacing w:after="0"/>
              <w:rPr>
                <w:sz w:val="20"/>
                <w:szCs w:val="20"/>
                <w:color w:val="auto"/>
              </w:rPr>
            </w:pPr>
            <w:r>
              <w:rPr>
                <w:rFonts w:ascii="Arial" w:cs="Arial" w:eastAsia="Arial" w:hAnsi="Arial"/>
                <w:sz w:val="11"/>
                <w:szCs w:val="11"/>
                <w:color w:val="auto"/>
              </w:rPr>
              <w:t>If the liability of the Borrower to pay to the Bank any money payable under a Transaction Document becomes merged in any deed,</w:t>
            </w:r>
          </w:p>
        </w:tc>
        <w:tc>
          <w:tcPr>
            <w:tcW w:w="1160" w:type="dxa"/>
            <w:vAlign w:val="bottom"/>
          </w:tcPr>
          <w:p>
            <w:pPr>
              <w:spacing w:after="0"/>
              <w:rPr>
                <w:sz w:val="12"/>
                <w:szCs w:val="12"/>
                <w:color w:val="auto"/>
              </w:rPr>
            </w:pPr>
          </w:p>
        </w:tc>
      </w:tr>
      <w:tr>
        <w:trPr>
          <w:trHeight w:val="120"/>
        </w:trPr>
        <w:tc>
          <w:tcPr>
            <w:tcW w:w="680" w:type="dxa"/>
            <w:vAlign w:val="bottom"/>
          </w:tcPr>
          <w:p>
            <w:pPr>
              <w:spacing w:after="0"/>
              <w:rPr>
                <w:sz w:val="10"/>
                <w:szCs w:val="10"/>
                <w:color w:val="auto"/>
              </w:rPr>
            </w:pPr>
          </w:p>
        </w:tc>
        <w:tc>
          <w:tcPr>
            <w:tcW w:w="8600" w:type="dxa"/>
            <w:vAlign w:val="bottom"/>
            <w:gridSpan w:val="2"/>
          </w:tcPr>
          <w:p>
            <w:pPr>
              <w:ind w:left="160"/>
              <w:spacing w:after="0" w:line="120" w:lineRule="exact"/>
              <w:rPr>
                <w:sz w:val="20"/>
                <w:szCs w:val="20"/>
                <w:color w:val="auto"/>
              </w:rPr>
            </w:pPr>
            <w:r>
              <w:rPr>
                <w:rFonts w:ascii="Arial" w:cs="Arial" w:eastAsia="Arial" w:hAnsi="Arial"/>
                <w:sz w:val="11"/>
                <w:szCs w:val="11"/>
                <w:color w:val="auto"/>
              </w:rPr>
              <w:t>judgment, order or other thing, the Borrower must pay interest on the amount owing from time to time under that deed, judgment, order or other thing at the higher of the</w:t>
            </w:r>
          </w:p>
        </w:tc>
      </w:tr>
      <w:tr>
        <w:trPr>
          <w:trHeight w:val="142"/>
        </w:trPr>
        <w:tc>
          <w:tcPr>
            <w:tcW w:w="680" w:type="dxa"/>
            <w:vAlign w:val="bottom"/>
          </w:tcPr>
          <w:p>
            <w:pPr>
              <w:spacing w:after="0"/>
              <w:rPr>
                <w:sz w:val="12"/>
                <w:szCs w:val="12"/>
                <w:color w:val="auto"/>
              </w:rPr>
            </w:pPr>
          </w:p>
        </w:tc>
        <w:tc>
          <w:tcPr>
            <w:tcW w:w="7440" w:type="dxa"/>
            <w:vAlign w:val="bottom"/>
          </w:tcPr>
          <w:p>
            <w:pPr>
              <w:ind w:left="160"/>
              <w:spacing w:after="0"/>
              <w:rPr>
                <w:sz w:val="20"/>
                <w:szCs w:val="20"/>
                <w:color w:val="auto"/>
              </w:rPr>
            </w:pPr>
            <w:r>
              <w:rPr>
                <w:rFonts w:ascii="Arial" w:cs="Arial" w:eastAsia="Arial" w:hAnsi="Arial"/>
                <w:sz w:val="11"/>
                <w:szCs w:val="11"/>
                <w:color w:val="auto"/>
              </w:rPr>
              <w:t>rate</w:t>
            </w:r>
          </w:p>
        </w:tc>
        <w:tc>
          <w:tcPr>
            <w:tcW w:w="1160" w:type="dxa"/>
            <w:vAlign w:val="bottom"/>
          </w:tcPr>
          <w:p>
            <w:pPr>
              <w:spacing w:after="0"/>
              <w:rPr>
                <w:sz w:val="12"/>
                <w:szCs w:val="12"/>
                <w:color w:val="auto"/>
              </w:rPr>
            </w:pPr>
          </w:p>
        </w:tc>
      </w:tr>
      <w:tr>
        <w:trPr>
          <w:trHeight w:val="456"/>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744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1160" w:type="dxa"/>
            <w:vAlign w:val="bottom"/>
          </w:tcPr>
          <w:p>
            <w:pPr>
              <w:ind w:left="860"/>
              <w:spacing w:after="0"/>
              <w:rPr>
                <w:sz w:val="20"/>
                <w:szCs w:val="20"/>
                <w:color w:val="auto"/>
              </w:rPr>
            </w:pPr>
            <w:r>
              <w:rPr>
                <w:rFonts w:ascii="Arial" w:cs="Arial" w:eastAsia="Arial" w:hAnsi="Arial"/>
                <w:sz w:val="8"/>
                <w:szCs w:val="8"/>
                <w:color w:val="auto"/>
                <w:w w:val="96"/>
              </w:rPr>
              <w:t>page 33</w:t>
            </w:r>
          </w:p>
        </w:tc>
      </w:tr>
      <w:tr>
        <w:trPr>
          <w:trHeight w:val="94"/>
        </w:trPr>
        <w:tc>
          <w:tcPr>
            <w:tcW w:w="680" w:type="dxa"/>
            <w:vAlign w:val="bottom"/>
          </w:tcPr>
          <w:p>
            <w:pPr>
              <w:spacing w:after="0"/>
              <w:rPr>
                <w:sz w:val="20"/>
                <w:szCs w:val="20"/>
                <w:color w:val="auto"/>
              </w:rPr>
            </w:pPr>
            <w:r>
              <w:rPr>
                <w:rFonts w:ascii="Arial" w:cs="Arial" w:eastAsia="Arial" w:hAnsi="Arial"/>
                <w:sz w:val="8"/>
                <w:szCs w:val="8"/>
                <w:color w:val="auto"/>
                <w:w w:val="99"/>
              </w:rPr>
              <w:t>Facility Agreement</w:t>
            </w:r>
          </w:p>
        </w:tc>
        <w:tc>
          <w:tcPr>
            <w:tcW w:w="744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7440" w:type="dxa"/>
            <w:vAlign w:val="bottom"/>
            <w:tcBorders>
              <w:bottom w:val="single" w:sz="8" w:color="EEEEEE"/>
            </w:tcBorders>
          </w:tcPr>
          <w:p>
            <w:pPr>
              <w:spacing w:after="0"/>
              <w:rPr>
                <w:sz w:val="18"/>
                <w:szCs w:val="18"/>
                <w:color w:val="auto"/>
              </w:rPr>
            </w:pPr>
          </w:p>
        </w:tc>
        <w:tc>
          <w:tcPr>
            <w:tcW w:w="11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01" w:name="page102"/>
    <w:bookmarkEnd w:id="101"/>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payable under the Transaction Documents and that fixed by or payable under that deed, judgment, order or other thing.</w:t>
      </w:r>
    </w:p>
    <w:p>
      <w:pPr>
        <w:spacing w:after="0" w:line="101" w:lineRule="exact"/>
        <w:rPr>
          <w:sz w:val="20"/>
          <w:szCs w:val="20"/>
          <w:color w:val="auto"/>
        </w:rPr>
      </w:pPr>
    </w:p>
    <w:p>
      <w:pPr>
        <w:ind w:left="400"/>
        <w:spacing w:after="0"/>
        <w:tabs>
          <w:tab w:leader="none" w:pos="720" w:val="left"/>
        </w:tabs>
        <w:rPr>
          <w:sz w:val="20"/>
          <w:szCs w:val="20"/>
          <w:color w:val="auto"/>
        </w:rPr>
      </w:pPr>
      <w:r>
        <w:rPr>
          <w:rFonts w:ascii="Arial" w:cs="Arial" w:eastAsia="Arial" w:hAnsi="Arial"/>
          <w:sz w:val="12"/>
          <w:szCs w:val="12"/>
          <w:b w:val="1"/>
          <w:bCs w:val="1"/>
          <w:color w:val="auto"/>
        </w:rPr>
        <w:t>6.6</w:t>
        <w:tab/>
        <w:t>Reset Margin</w:t>
      </w:r>
    </w:p>
    <w:p>
      <w:pPr>
        <w:spacing w:after="0" w:line="47" w:lineRule="exact"/>
        <w:rPr>
          <w:sz w:val="20"/>
          <w:szCs w:val="20"/>
          <w:color w:val="auto"/>
        </w:rPr>
      </w:pPr>
    </w:p>
    <w:p>
      <w:pPr>
        <w:ind w:left="1080" w:hanging="280"/>
        <w:spacing w:after="0"/>
        <w:tabs>
          <w:tab w:leader="none" w:pos="108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The Borrower must pay a Reset Margin where a Pricing Period is, or becomes, shorter than 3 months.</w:t>
      </w:r>
    </w:p>
    <w:p>
      <w:pPr>
        <w:spacing w:after="0" w:line="53" w:lineRule="exact"/>
        <w:rPr>
          <w:rFonts w:ascii="Arial" w:cs="Arial" w:eastAsia="Arial" w:hAnsi="Arial"/>
          <w:sz w:val="11"/>
          <w:szCs w:val="11"/>
          <w:color w:val="auto"/>
        </w:rPr>
      </w:pPr>
    </w:p>
    <w:p>
      <w:pPr>
        <w:ind w:left="1080" w:hanging="280"/>
        <w:spacing w:after="0"/>
        <w:tabs>
          <w:tab w:leader="none" w:pos="108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The Reset Margin (if any) for a Pricing Period:</w:t>
      </w:r>
    </w:p>
    <w:p>
      <w:pPr>
        <w:spacing w:after="0" w:line="68" w:lineRule="exact"/>
        <w:rPr>
          <w:rFonts w:ascii="Arial" w:cs="Arial" w:eastAsia="Arial" w:hAnsi="Arial"/>
          <w:sz w:val="11"/>
          <w:szCs w:val="11"/>
          <w:color w:val="auto"/>
        </w:rPr>
      </w:pPr>
    </w:p>
    <w:p>
      <w:pPr>
        <w:ind w:left="1380" w:hanging="272"/>
        <w:spacing w:after="0"/>
        <w:tabs>
          <w:tab w:leader="none" w:pos="1380" w:val="left"/>
        </w:tabs>
        <w:numPr>
          <w:ilvl w:val="1"/>
          <w:numId w:val="122"/>
        </w:numPr>
        <w:rPr>
          <w:rFonts w:ascii="Arial" w:cs="Arial" w:eastAsia="Arial" w:hAnsi="Arial"/>
          <w:sz w:val="11"/>
          <w:szCs w:val="11"/>
          <w:color w:val="auto"/>
        </w:rPr>
      </w:pPr>
      <w:r>
        <w:rPr>
          <w:rFonts w:ascii="Arial" w:cs="Arial" w:eastAsia="Arial" w:hAnsi="Arial"/>
          <w:sz w:val="11"/>
          <w:szCs w:val="11"/>
          <w:color w:val="auto"/>
        </w:rPr>
        <w:t>will be determined by the Bank on the commencement of that period;</w:t>
      </w:r>
    </w:p>
    <w:p>
      <w:pPr>
        <w:spacing w:after="0" w:line="46" w:lineRule="exact"/>
        <w:rPr>
          <w:rFonts w:ascii="Arial" w:cs="Arial" w:eastAsia="Arial" w:hAnsi="Arial"/>
          <w:sz w:val="11"/>
          <w:szCs w:val="11"/>
          <w:color w:val="auto"/>
        </w:rPr>
      </w:pPr>
    </w:p>
    <w:p>
      <w:pPr>
        <w:ind w:left="1380" w:hanging="272"/>
        <w:spacing w:after="0"/>
        <w:tabs>
          <w:tab w:leader="none" w:pos="1380" w:val="left"/>
        </w:tabs>
        <w:numPr>
          <w:ilvl w:val="1"/>
          <w:numId w:val="122"/>
        </w:numPr>
        <w:rPr>
          <w:rFonts w:ascii="Arial" w:cs="Arial" w:eastAsia="Arial" w:hAnsi="Arial"/>
          <w:sz w:val="11"/>
          <w:szCs w:val="11"/>
          <w:color w:val="auto"/>
        </w:rPr>
      </w:pPr>
      <w:r>
        <w:rPr>
          <w:rFonts w:ascii="Arial" w:cs="Arial" w:eastAsia="Arial" w:hAnsi="Arial"/>
          <w:sz w:val="11"/>
          <w:szCs w:val="11"/>
          <w:color w:val="auto"/>
        </w:rPr>
        <w:t>will be advised to the Borrower in writing shortly after the commencement of that period; and</w:t>
      </w:r>
    </w:p>
    <w:p>
      <w:pPr>
        <w:spacing w:after="0" w:line="61" w:lineRule="exact"/>
        <w:rPr>
          <w:rFonts w:ascii="Arial" w:cs="Arial" w:eastAsia="Arial" w:hAnsi="Arial"/>
          <w:sz w:val="11"/>
          <w:szCs w:val="11"/>
          <w:color w:val="auto"/>
        </w:rPr>
      </w:pPr>
    </w:p>
    <w:p>
      <w:pPr>
        <w:ind w:left="1380" w:hanging="272"/>
        <w:spacing w:after="0"/>
        <w:tabs>
          <w:tab w:leader="none" w:pos="1380" w:val="left"/>
        </w:tabs>
        <w:numPr>
          <w:ilvl w:val="1"/>
          <w:numId w:val="122"/>
        </w:numPr>
        <w:rPr>
          <w:rFonts w:ascii="Arial" w:cs="Arial" w:eastAsia="Arial" w:hAnsi="Arial"/>
          <w:sz w:val="11"/>
          <w:szCs w:val="11"/>
          <w:color w:val="auto"/>
        </w:rPr>
      </w:pPr>
      <w:r>
        <w:rPr>
          <w:rFonts w:ascii="Arial" w:cs="Arial" w:eastAsia="Arial" w:hAnsi="Arial"/>
          <w:sz w:val="11"/>
          <w:szCs w:val="11"/>
          <w:color w:val="auto"/>
        </w:rPr>
        <w:t>will be fixed for that period.</w:t>
      </w:r>
    </w:p>
    <w:p>
      <w:pPr>
        <w:spacing w:after="0" w:line="62" w:lineRule="exact"/>
        <w:rPr>
          <w:rFonts w:ascii="Arial" w:cs="Arial" w:eastAsia="Arial" w:hAnsi="Arial"/>
          <w:sz w:val="11"/>
          <w:szCs w:val="11"/>
          <w:color w:val="auto"/>
        </w:rPr>
      </w:pPr>
    </w:p>
    <w:p>
      <w:pPr>
        <w:ind w:left="1080" w:right="220" w:hanging="280"/>
        <w:spacing w:after="0" w:line="268" w:lineRule="auto"/>
        <w:tabs>
          <w:tab w:leader="none" w:pos="108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 xml:space="preserve">Subject to </w:t>
      </w:r>
      <w:r>
        <w:rPr>
          <w:rFonts w:ascii="Arial" w:cs="Arial" w:eastAsia="Arial" w:hAnsi="Arial"/>
          <w:sz w:val="11"/>
          <w:szCs w:val="11"/>
          <w:b w:val="1"/>
          <w:bCs w:val="1"/>
          <w:color w:val="auto"/>
        </w:rPr>
        <w:t>clause 6.6(b)</w:t>
      </w:r>
      <w:r>
        <w:rPr>
          <w:rFonts w:ascii="Arial" w:cs="Arial" w:eastAsia="Arial" w:hAnsi="Arial"/>
          <w:sz w:val="11"/>
          <w:szCs w:val="11"/>
          <w:color w:val="auto"/>
        </w:rPr>
        <w:t>, if a Reset Margin is applicable to a Facility, the Bank may vary the rate of the Reset Margin from time to time (and any rate set out in this document is indicative only). The Bank publishes Reset Margin rates periodically on nab.com.au.</w:t>
      </w:r>
    </w:p>
    <w:p>
      <w:pPr>
        <w:spacing w:after="0" w:line="23" w:lineRule="exact"/>
        <w:rPr>
          <w:rFonts w:ascii="Arial" w:cs="Arial" w:eastAsia="Arial" w:hAnsi="Arial"/>
          <w:sz w:val="11"/>
          <w:szCs w:val="11"/>
          <w:color w:val="auto"/>
        </w:rPr>
      </w:pPr>
    </w:p>
    <w:p>
      <w:pPr>
        <w:ind w:left="1080" w:hanging="280"/>
        <w:spacing w:after="0"/>
        <w:tabs>
          <w:tab w:leader="none" w:pos="108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The Reset Margin will be payable in arrears:</w:t>
      </w:r>
    </w:p>
    <w:p>
      <w:pPr>
        <w:spacing w:after="0" w:line="68" w:lineRule="exact"/>
        <w:rPr>
          <w:rFonts w:ascii="Arial" w:cs="Arial" w:eastAsia="Arial" w:hAnsi="Arial"/>
          <w:sz w:val="11"/>
          <w:szCs w:val="11"/>
          <w:color w:val="auto"/>
        </w:rPr>
      </w:pPr>
    </w:p>
    <w:p>
      <w:pPr>
        <w:ind w:left="1380" w:hanging="272"/>
        <w:spacing w:after="0"/>
        <w:tabs>
          <w:tab w:leader="none" w:pos="1380" w:val="left"/>
        </w:tabs>
        <w:numPr>
          <w:ilvl w:val="1"/>
          <w:numId w:val="122"/>
        </w:numPr>
        <w:rPr>
          <w:rFonts w:ascii="Arial" w:cs="Arial" w:eastAsia="Arial" w:hAnsi="Arial"/>
          <w:sz w:val="11"/>
          <w:szCs w:val="11"/>
          <w:color w:val="auto"/>
        </w:rPr>
      </w:pPr>
      <w:r>
        <w:rPr>
          <w:rFonts w:ascii="Arial" w:cs="Arial" w:eastAsia="Arial" w:hAnsi="Arial"/>
          <w:sz w:val="11"/>
          <w:szCs w:val="11"/>
          <w:color w:val="auto"/>
        </w:rPr>
        <w:t>on the first Business Day following the end of each Pricing Period that is shorter than 3 months;</w:t>
      </w:r>
    </w:p>
    <w:p>
      <w:pPr>
        <w:spacing w:after="0" w:line="61" w:lineRule="exact"/>
        <w:rPr>
          <w:rFonts w:ascii="Arial" w:cs="Arial" w:eastAsia="Arial" w:hAnsi="Arial"/>
          <w:sz w:val="11"/>
          <w:szCs w:val="11"/>
          <w:color w:val="auto"/>
        </w:rPr>
      </w:pPr>
    </w:p>
    <w:p>
      <w:pPr>
        <w:ind w:left="1380" w:hanging="272"/>
        <w:spacing w:after="0"/>
        <w:tabs>
          <w:tab w:leader="none" w:pos="1380" w:val="left"/>
        </w:tabs>
        <w:numPr>
          <w:ilvl w:val="1"/>
          <w:numId w:val="122"/>
        </w:numPr>
        <w:rPr>
          <w:rFonts w:ascii="Arial" w:cs="Arial" w:eastAsia="Arial" w:hAnsi="Arial"/>
          <w:sz w:val="11"/>
          <w:szCs w:val="11"/>
          <w:color w:val="auto"/>
        </w:rPr>
      </w:pPr>
      <w:r>
        <w:rPr>
          <w:rFonts w:ascii="Arial" w:cs="Arial" w:eastAsia="Arial" w:hAnsi="Arial"/>
          <w:sz w:val="11"/>
          <w:szCs w:val="11"/>
          <w:color w:val="auto"/>
        </w:rPr>
        <w:t>on the Termination Date of the relevant Facility; and</w:t>
      </w:r>
    </w:p>
    <w:p>
      <w:pPr>
        <w:spacing w:after="0" w:line="76" w:lineRule="exact"/>
        <w:rPr>
          <w:rFonts w:ascii="Arial" w:cs="Arial" w:eastAsia="Arial" w:hAnsi="Arial"/>
          <w:sz w:val="11"/>
          <w:szCs w:val="11"/>
          <w:color w:val="auto"/>
        </w:rPr>
      </w:pPr>
    </w:p>
    <w:p>
      <w:pPr>
        <w:ind w:left="1380" w:hanging="272"/>
        <w:spacing w:after="0"/>
        <w:tabs>
          <w:tab w:leader="none" w:pos="1380" w:val="left"/>
        </w:tabs>
        <w:numPr>
          <w:ilvl w:val="1"/>
          <w:numId w:val="122"/>
        </w:numPr>
        <w:rPr>
          <w:rFonts w:ascii="Arial" w:cs="Arial" w:eastAsia="Arial" w:hAnsi="Arial"/>
          <w:sz w:val="11"/>
          <w:szCs w:val="11"/>
          <w:color w:val="auto"/>
        </w:rPr>
      </w:pPr>
      <w:r>
        <w:rPr>
          <w:rFonts w:ascii="Arial" w:cs="Arial" w:eastAsia="Arial" w:hAnsi="Arial"/>
          <w:sz w:val="11"/>
          <w:szCs w:val="11"/>
          <w:color w:val="auto"/>
        </w:rPr>
        <w:t>upon the early repayment or all or part of the relevant Advance.</w:t>
      </w:r>
    </w:p>
    <w:p>
      <w:pPr>
        <w:spacing w:after="0" w:line="68" w:lineRule="exact"/>
        <w:rPr>
          <w:rFonts w:ascii="Arial" w:cs="Arial" w:eastAsia="Arial" w:hAnsi="Arial"/>
          <w:sz w:val="11"/>
          <w:szCs w:val="11"/>
          <w:color w:val="auto"/>
        </w:rPr>
      </w:pPr>
    </w:p>
    <w:p>
      <w:pPr>
        <w:ind w:left="1080" w:right="920" w:hanging="280"/>
        <w:spacing w:after="0" w:line="256" w:lineRule="auto"/>
        <w:tabs>
          <w:tab w:leader="none" w:pos="108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The Reset Margin is calculated on a daily basis on the outstanding principal amount of the relevant Advance on the basis of a 365 day year and the actual number of days elapsed.</w:t>
      </w:r>
    </w:p>
    <w:p>
      <w:pPr>
        <w:spacing w:after="0" w:line="265" w:lineRule="exact"/>
        <w:rPr>
          <w:sz w:val="20"/>
          <w:szCs w:val="20"/>
          <w:color w:val="auto"/>
        </w:rPr>
      </w:pPr>
    </w:p>
    <w:p>
      <w:pPr>
        <w:ind w:left="800" w:hanging="405"/>
        <w:spacing w:after="0"/>
        <w:tabs>
          <w:tab w:leader="none" w:pos="8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Payments</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7.1</w:t>
      </w:r>
      <w:r>
        <w:rPr>
          <w:sz w:val="20"/>
          <w:szCs w:val="20"/>
          <w:color w:val="auto"/>
        </w:rPr>
        <w:tab/>
      </w:r>
      <w:r>
        <w:rPr>
          <w:rFonts w:ascii="Arial" w:cs="Arial" w:eastAsia="Arial" w:hAnsi="Arial"/>
          <w:sz w:val="11"/>
          <w:szCs w:val="11"/>
          <w:b w:val="1"/>
          <w:bCs w:val="1"/>
          <w:color w:val="auto"/>
        </w:rPr>
        <w:t>Place, manner and time of payment</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Each Transaction Party must make payments to the Bank under the Transaction Documents:</w:t>
      </w:r>
    </w:p>
    <w:p>
      <w:pPr>
        <w:spacing w:after="0" w:line="40" w:lineRule="exact"/>
        <w:rPr>
          <w:sz w:val="20"/>
          <w:szCs w:val="20"/>
          <w:color w:val="auto"/>
        </w:rPr>
      </w:pPr>
    </w:p>
    <w:p>
      <w:pPr>
        <w:ind w:left="1080" w:hanging="280"/>
        <w:spacing w:after="0"/>
        <w:tabs>
          <w:tab w:leader="none" w:pos="1080" w:val="left"/>
        </w:tabs>
        <w:numPr>
          <w:ilvl w:val="0"/>
          <w:numId w:val="124"/>
        </w:numPr>
        <w:rPr>
          <w:rFonts w:ascii="Arial" w:cs="Arial" w:eastAsia="Arial" w:hAnsi="Arial"/>
          <w:sz w:val="11"/>
          <w:szCs w:val="11"/>
          <w:color w:val="auto"/>
        </w:rPr>
      </w:pPr>
      <w:r>
        <w:rPr>
          <w:rFonts w:ascii="Arial" w:cs="Arial" w:eastAsia="Arial" w:hAnsi="Arial"/>
          <w:sz w:val="11"/>
          <w:szCs w:val="11"/>
          <w:color w:val="auto"/>
        </w:rPr>
        <w:t xml:space="preserve">at the address specified in </w:t>
      </w:r>
      <w:r>
        <w:rPr>
          <w:rFonts w:ascii="Arial" w:cs="Arial" w:eastAsia="Arial" w:hAnsi="Arial"/>
          <w:sz w:val="11"/>
          <w:szCs w:val="11"/>
          <w:b w:val="1"/>
          <w:bCs w:val="1"/>
          <w:color w:val="auto"/>
        </w:rPr>
        <w:t>clause 19.3</w:t>
      </w:r>
      <w:r>
        <w:rPr>
          <w:rFonts w:ascii="Arial" w:cs="Arial" w:eastAsia="Arial" w:hAnsi="Arial"/>
          <w:sz w:val="11"/>
          <w:szCs w:val="11"/>
          <w:color w:val="auto"/>
        </w:rPr>
        <w:t xml:space="preserve"> or at such other place reasonably required by the Bank;</w:t>
      </w:r>
    </w:p>
    <w:p>
      <w:pPr>
        <w:spacing w:after="0" w:line="67" w:lineRule="exact"/>
        <w:rPr>
          <w:rFonts w:ascii="Arial" w:cs="Arial" w:eastAsia="Arial" w:hAnsi="Arial"/>
          <w:sz w:val="11"/>
          <w:szCs w:val="11"/>
          <w:color w:val="auto"/>
        </w:rPr>
      </w:pPr>
    </w:p>
    <w:p>
      <w:pPr>
        <w:ind w:left="1080" w:hanging="280"/>
        <w:spacing w:after="0"/>
        <w:tabs>
          <w:tab w:leader="none" w:pos="1080" w:val="left"/>
        </w:tabs>
        <w:numPr>
          <w:ilvl w:val="0"/>
          <w:numId w:val="124"/>
        </w:numPr>
        <w:rPr>
          <w:rFonts w:ascii="Arial" w:cs="Arial" w:eastAsia="Arial" w:hAnsi="Arial"/>
          <w:sz w:val="11"/>
          <w:szCs w:val="11"/>
          <w:color w:val="auto"/>
        </w:rPr>
      </w:pPr>
      <w:r>
        <w:rPr>
          <w:rFonts w:ascii="Arial" w:cs="Arial" w:eastAsia="Arial" w:hAnsi="Arial"/>
          <w:sz w:val="11"/>
          <w:szCs w:val="11"/>
          <w:color w:val="auto"/>
        </w:rPr>
        <w:t>in a manner reasonably required by the Bank;</w:t>
      </w:r>
    </w:p>
    <w:p>
      <w:pPr>
        <w:spacing w:after="0" w:line="68" w:lineRule="exact"/>
        <w:rPr>
          <w:rFonts w:ascii="Arial" w:cs="Arial" w:eastAsia="Arial" w:hAnsi="Arial"/>
          <w:sz w:val="11"/>
          <w:szCs w:val="11"/>
          <w:color w:val="auto"/>
        </w:rPr>
      </w:pPr>
    </w:p>
    <w:p>
      <w:pPr>
        <w:ind w:left="1080" w:hanging="280"/>
        <w:spacing w:after="0"/>
        <w:tabs>
          <w:tab w:leader="none" w:pos="1080" w:val="left"/>
        </w:tabs>
        <w:numPr>
          <w:ilvl w:val="0"/>
          <w:numId w:val="124"/>
        </w:numPr>
        <w:rPr>
          <w:rFonts w:ascii="Arial" w:cs="Arial" w:eastAsia="Arial" w:hAnsi="Arial"/>
          <w:sz w:val="11"/>
          <w:szCs w:val="11"/>
          <w:color w:val="auto"/>
        </w:rPr>
      </w:pPr>
      <w:r>
        <w:rPr>
          <w:rFonts w:ascii="Arial" w:cs="Arial" w:eastAsia="Arial" w:hAnsi="Arial"/>
          <w:sz w:val="11"/>
          <w:szCs w:val="11"/>
          <w:color w:val="auto"/>
        </w:rPr>
        <w:t>by 11.00 am local time in the place where payment is required to be made; and</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124"/>
        </w:numPr>
        <w:rPr>
          <w:rFonts w:ascii="Arial" w:cs="Arial" w:eastAsia="Arial" w:hAnsi="Arial"/>
          <w:sz w:val="11"/>
          <w:szCs w:val="11"/>
          <w:color w:val="auto"/>
        </w:rPr>
      </w:pPr>
      <w:r>
        <w:rPr>
          <w:rFonts w:ascii="Arial" w:cs="Arial" w:eastAsia="Arial" w:hAnsi="Arial"/>
          <w:sz w:val="11"/>
          <w:szCs w:val="11"/>
          <w:color w:val="auto"/>
        </w:rPr>
        <w:t>in immediately available funds and without set-off, counter claim, condition or, unless required by law, deduction or withholding.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34</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02" w:name="page103"/>
    <w:bookmarkEnd w:id="102"/>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9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7.2</w:t>
      </w:r>
      <w:r>
        <w:rPr>
          <w:sz w:val="20"/>
          <w:szCs w:val="20"/>
          <w:color w:val="auto"/>
        </w:rPr>
        <w:tab/>
      </w:r>
      <w:r>
        <w:rPr>
          <w:rFonts w:ascii="Arial" w:cs="Arial" w:eastAsia="Arial" w:hAnsi="Arial"/>
          <w:sz w:val="12"/>
          <w:szCs w:val="12"/>
          <w:b w:val="1"/>
          <w:bCs w:val="1"/>
          <w:color w:val="auto"/>
        </w:rPr>
        <w:t>Gross-up</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If a Transaction Party is required by law to deduct or withhold Taxes from any payment it must:</w:t>
      </w:r>
    </w:p>
    <w:p>
      <w:pPr>
        <w:spacing w:after="0" w:line="54" w:lineRule="exact"/>
        <w:rPr>
          <w:sz w:val="20"/>
          <w:szCs w:val="20"/>
          <w:color w:val="auto"/>
        </w:rPr>
      </w:pPr>
    </w:p>
    <w:p>
      <w:pPr>
        <w:ind w:left="1080" w:hanging="280"/>
        <w:spacing w:after="0"/>
        <w:tabs>
          <w:tab w:leader="none" w:pos="1080" w:val="left"/>
        </w:tabs>
        <w:numPr>
          <w:ilvl w:val="0"/>
          <w:numId w:val="125"/>
        </w:numPr>
        <w:rPr>
          <w:rFonts w:ascii="Arial" w:cs="Arial" w:eastAsia="Arial" w:hAnsi="Arial"/>
          <w:sz w:val="11"/>
          <w:szCs w:val="11"/>
          <w:color w:val="auto"/>
        </w:rPr>
      </w:pPr>
      <w:r>
        <w:rPr>
          <w:rFonts w:ascii="Arial" w:cs="Arial" w:eastAsia="Arial" w:hAnsi="Arial"/>
          <w:sz w:val="11"/>
          <w:szCs w:val="11"/>
          <w:color w:val="auto"/>
        </w:rPr>
        <w:t>make the required deduction and withholding;</w:t>
      </w:r>
    </w:p>
    <w:p>
      <w:pPr>
        <w:spacing w:after="0" w:line="68" w:lineRule="exact"/>
        <w:rPr>
          <w:rFonts w:ascii="Arial" w:cs="Arial" w:eastAsia="Arial" w:hAnsi="Arial"/>
          <w:sz w:val="11"/>
          <w:szCs w:val="11"/>
          <w:color w:val="auto"/>
        </w:rPr>
      </w:pPr>
    </w:p>
    <w:p>
      <w:pPr>
        <w:ind w:left="1080" w:hanging="280"/>
        <w:spacing w:after="0"/>
        <w:tabs>
          <w:tab w:leader="none" w:pos="1080" w:val="left"/>
        </w:tabs>
        <w:numPr>
          <w:ilvl w:val="0"/>
          <w:numId w:val="125"/>
        </w:numPr>
        <w:rPr>
          <w:rFonts w:ascii="Arial" w:cs="Arial" w:eastAsia="Arial" w:hAnsi="Arial"/>
          <w:sz w:val="11"/>
          <w:szCs w:val="11"/>
          <w:color w:val="auto"/>
        </w:rPr>
      </w:pPr>
      <w:r>
        <w:rPr>
          <w:rFonts w:ascii="Arial" w:cs="Arial" w:eastAsia="Arial" w:hAnsi="Arial"/>
          <w:sz w:val="11"/>
          <w:szCs w:val="11"/>
          <w:color w:val="auto"/>
        </w:rPr>
        <w:t>pay the full amount deducted or withheld in accordance with the relevant law;</w:t>
      </w:r>
    </w:p>
    <w:p>
      <w:pPr>
        <w:spacing w:after="0" w:line="61" w:lineRule="exact"/>
        <w:rPr>
          <w:rFonts w:ascii="Arial" w:cs="Arial" w:eastAsia="Arial" w:hAnsi="Arial"/>
          <w:sz w:val="11"/>
          <w:szCs w:val="11"/>
          <w:color w:val="auto"/>
        </w:rPr>
      </w:pPr>
    </w:p>
    <w:p>
      <w:pPr>
        <w:ind w:left="1080" w:hanging="280"/>
        <w:spacing w:after="0"/>
        <w:tabs>
          <w:tab w:leader="none" w:pos="1080" w:val="left"/>
        </w:tabs>
        <w:numPr>
          <w:ilvl w:val="0"/>
          <w:numId w:val="125"/>
        </w:numPr>
        <w:rPr>
          <w:rFonts w:ascii="Arial" w:cs="Arial" w:eastAsia="Arial" w:hAnsi="Arial"/>
          <w:sz w:val="11"/>
          <w:szCs w:val="11"/>
          <w:color w:val="auto"/>
        </w:rPr>
      </w:pPr>
      <w:r>
        <w:rPr>
          <w:rFonts w:ascii="Arial" w:cs="Arial" w:eastAsia="Arial" w:hAnsi="Arial"/>
          <w:sz w:val="11"/>
          <w:szCs w:val="11"/>
          <w:color w:val="auto"/>
        </w:rPr>
        <w:t>deliver to the Bank an original receipt for each payment; and</w:t>
      </w:r>
    </w:p>
    <w:p>
      <w:pPr>
        <w:spacing w:after="0" w:line="68" w:lineRule="exact"/>
        <w:rPr>
          <w:rFonts w:ascii="Arial" w:cs="Arial" w:eastAsia="Arial" w:hAnsi="Arial"/>
          <w:sz w:val="11"/>
          <w:szCs w:val="11"/>
          <w:color w:val="auto"/>
        </w:rPr>
      </w:pPr>
    </w:p>
    <w:p>
      <w:pPr>
        <w:ind w:left="1080" w:right="860" w:hanging="280"/>
        <w:spacing w:after="0" w:line="256" w:lineRule="auto"/>
        <w:tabs>
          <w:tab w:leader="none" w:pos="1080" w:val="left"/>
        </w:tabs>
        <w:numPr>
          <w:ilvl w:val="0"/>
          <w:numId w:val="125"/>
        </w:numPr>
        <w:rPr>
          <w:rFonts w:ascii="Arial" w:cs="Arial" w:eastAsia="Arial" w:hAnsi="Arial"/>
          <w:sz w:val="11"/>
          <w:szCs w:val="11"/>
          <w:color w:val="auto"/>
        </w:rPr>
      </w:pPr>
      <w:r>
        <w:rPr>
          <w:rFonts w:ascii="Arial" w:cs="Arial" w:eastAsia="Arial" w:hAnsi="Arial"/>
          <w:sz w:val="11"/>
          <w:szCs w:val="11"/>
          <w:color w:val="auto"/>
        </w:rPr>
        <w:t>pay an additional amount with such payment so that, after all applicable deductions or withholdings, the Bank actually receives for its own benefit the full amount which would have been payable to the Bank if no deduction or withholding had been required.</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7.3</w:t>
      </w:r>
      <w:r>
        <w:rPr>
          <w:sz w:val="20"/>
          <w:szCs w:val="20"/>
          <w:color w:val="auto"/>
        </w:rPr>
        <w:tab/>
      </w:r>
      <w:r>
        <w:rPr>
          <w:rFonts w:ascii="Arial" w:cs="Arial" w:eastAsia="Arial" w:hAnsi="Arial"/>
          <w:sz w:val="12"/>
          <w:szCs w:val="12"/>
          <w:b w:val="1"/>
          <w:bCs w:val="1"/>
          <w:color w:val="auto"/>
        </w:rPr>
        <w:t>Appropriation</w:t>
      </w:r>
    </w:p>
    <w:p>
      <w:pPr>
        <w:spacing w:after="0" w:line="47" w:lineRule="exact"/>
        <w:rPr>
          <w:sz w:val="20"/>
          <w:szCs w:val="20"/>
          <w:color w:val="auto"/>
        </w:rPr>
      </w:pPr>
    </w:p>
    <w:p>
      <w:pPr>
        <w:ind w:left="840" w:right="500"/>
        <w:spacing w:after="0" w:line="256" w:lineRule="auto"/>
        <w:rPr>
          <w:sz w:val="20"/>
          <w:szCs w:val="20"/>
          <w:color w:val="auto"/>
        </w:rPr>
      </w:pPr>
      <w:r>
        <w:rPr>
          <w:rFonts w:ascii="Arial" w:cs="Arial" w:eastAsia="Arial" w:hAnsi="Arial"/>
          <w:sz w:val="11"/>
          <w:szCs w:val="11"/>
          <w:color w:val="auto"/>
        </w:rPr>
        <w:t>Subject to any express provision to the contrary in any Transaction Document, the Bank may appropriate any payment towards the satisfaction of any money due for payment by the Borrower in relation to a Transaction Document in any way that the Bank thinks fit and despite any purported appropriation by the Borrower.</w:t>
      </w:r>
    </w:p>
    <w:p>
      <w:pPr>
        <w:spacing w:after="0" w:line="265" w:lineRule="exact"/>
        <w:rPr>
          <w:sz w:val="20"/>
          <w:szCs w:val="20"/>
          <w:color w:val="auto"/>
        </w:rPr>
      </w:pPr>
    </w:p>
    <w:p>
      <w:pPr>
        <w:ind w:left="800" w:hanging="405"/>
        <w:spacing w:after="0"/>
        <w:tabs>
          <w:tab w:leader="none" w:pos="8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Representations and warranties</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8.1</w:t>
      </w:r>
      <w:r>
        <w:rPr>
          <w:sz w:val="20"/>
          <w:szCs w:val="20"/>
          <w:color w:val="auto"/>
        </w:rPr>
        <w:tab/>
      </w:r>
      <w:r>
        <w:rPr>
          <w:rFonts w:ascii="Arial" w:cs="Arial" w:eastAsia="Arial" w:hAnsi="Arial"/>
          <w:sz w:val="11"/>
          <w:szCs w:val="11"/>
          <w:b w:val="1"/>
          <w:bCs w:val="1"/>
          <w:color w:val="auto"/>
        </w:rPr>
        <w:t>Nature</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Each Transaction Party represents and warrants that:</w:t>
      </w:r>
    </w:p>
    <w:p>
      <w:pPr>
        <w:spacing w:after="0" w:line="63" w:lineRule="exact"/>
        <w:rPr>
          <w:sz w:val="20"/>
          <w:szCs w:val="20"/>
          <w:color w:val="auto"/>
        </w:rPr>
      </w:pPr>
    </w:p>
    <w:p>
      <w:pPr>
        <w:ind w:left="1080" w:right="200" w:hanging="280"/>
        <w:spacing w:after="0" w:line="268" w:lineRule="auto"/>
        <w:tabs>
          <w:tab w:leader="none" w:pos="1080" w:val="left"/>
        </w:tabs>
        <w:numPr>
          <w:ilvl w:val="0"/>
          <w:numId w:val="127"/>
        </w:numPr>
        <w:rPr>
          <w:rFonts w:ascii="Arial" w:cs="Arial" w:eastAsia="Arial" w:hAnsi="Arial"/>
          <w:sz w:val="11"/>
          <w:szCs w:val="11"/>
          <w:color w:val="auto"/>
        </w:rPr>
      </w:pPr>
      <w:r>
        <w:rPr>
          <w:rFonts w:ascii="Arial" w:cs="Arial" w:eastAsia="Arial" w:hAnsi="Arial"/>
          <w:sz w:val="11"/>
          <w:szCs w:val="11"/>
          <w:b w:val="1"/>
          <w:bCs w:val="1"/>
          <w:color w:val="auto"/>
        </w:rPr>
        <w:t xml:space="preserve">duly incorporated: </w:t>
      </w:r>
      <w:r>
        <w:rPr>
          <w:rFonts w:ascii="Arial" w:cs="Arial" w:eastAsia="Arial" w:hAnsi="Arial"/>
          <w:sz w:val="11"/>
          <w:szCs w:val="11"/>
          <w:color w:val="auto"/>
        </w:rPr>
        <w:t>if it purports to be a corporation, it is duly incorporated in accordance with the laws of its place of incorporation, validly exists under those laws</w:t>
      </w:r>
      <w:r>
        <w:rPr>
          <w:rFonts w:ascii="Arial" w:cs="Arial" w:eastAsia="Arial" w:hAnsi="Arial"/>
          <w:sz w:val="11"/>
          <w:szCs w:val="11"/>
          <w:b w:val="1"/>
          <w:bCs w:val="1"/>
          <w:color w:val="auto"/>
        </w:rPr>
        <w:t xml:space="preserve"> </w:t>
      </w:r>
      <w:r>
        <w:rPr>
          <w:rFonts w:ascii="Arial" w:cs="Arial" w:eastAsia="Arial" w:hAnsi="Arial"/>
          <w:sz w:val="11"/>
          <w:szCs w:val="11"/>
          <w:color w:val="auto"/>
        </w:rPr>
        <w:t>and has the capacity to sue or be sued in its own name and to own its property and conduct its business as it is being conducted;</w:t>
      </w:r>
    </w:p>
    <w:p>
      <w:pPr>
        <w:spacing w:after="0" w:line="10" w:lineRule="exact"/>
        <w:rPr>
          <w:rFonts w:ascii="Arial" w:cs="Arial" w:eastAsia="Arial" w:hAnsi="Arial"/>
          <w:sz w:val="11"/>
          <w:szCs w:val="11"/>
          <w:color w:val="auto"/>
        </w:rPr>
      </w:pPr>
    </w:p>
    <w:p>
      <w:pPr>
        <w:ind w:left="1080" w:hanging="280"/>
        <w:spacing w:after="0"/>
        <w:tabs>
          <w:tab w:leader="none" w:pos="1080" w:val="left"/>
        </w:tabs>
        <w:numPr>
          <w:ilvl w:val="0"/>
          <w:numId w:val="127"/>
        </w:numPr>
        <w:rPr>
          <w:rFonts w:ascii="Arial" w:cs="Arial" w:eastAsia="Arial" w:hAnsi="Arial"/>
          <w:sz w:val="11"/>
          <w:szCs w:val="11"/>
          <w:color w:val="auto"/>
        </w:rPr>
      </w:pPr>
      <w:r>
        <w:rPr>
          <w:rFonts w:ascii="Arial" w:cs="Arial" w:eastAsia="Arial" w:hAnsi="Arial"/>
          <w:sz w:val="11"/>
          <w:szCs w:val="11"/>
          <w:b w:val="1"/>
          <w:bCs w:val="1"/>
          <w:color w:val="auto"/>
        </w:rPr>
        <w:t xml:space="preserve">capacity: </w:t>
      </w:r>
      <w:r>
        <w:rPr>
          <w:rFonts w:ascii="Arial" w:cs="Arial" w:eastAsia="Arial" w:hAnsi="Arial"/>
          <w:sz w:val="11"/>
          <w:szCs w:val="11"/>
          <w:color w:val="auto"/>
        </w:rPr>
        <w:t>it has capacity unconditionally to execute and deliver and comply with its obligations under the Transaction Documents;</w:t>
      </w:r>
    </w:p>
    <w:p>
      <w:pPr>
        <w:spacing w:after="0" w:line="46" w:lineRule="exact"/>
        <w:rPr>
          <w:rFonts w:ascii="Arial" w:cs="Arial" w:eastAsia="Arial" w:hAnsi="Arial"/>
          <w:sz w:val="11"/>
          <w:szCs w:val="11"/>
          <w:color w:val="auto"/>
        </w:rPr>
      </w:pPr>
    </w:p>
    <w:p>
      <w:pPr>
        <w:ind w:left="1080" w:right="620" w:hanging="280"/>
        <w:spacing w:after="0" w:line="268" w:lineRule="auto"/>
        <w:tabs>
          <w:tab w:leader="none" w:pos="1080" w:val="left"/>
        </w:tabs>
        <w:numPr>
          <w:ilvl w:val="0"/>
          <w:numId w:val="127"/>
        </w:numPr>
        <w:rPr>
          <w:rFonts w:ascii="Arial" w:cs="Arial" w:eastAsia="Arial" w:hAnsi="Arial"/>
          <w:sz w:val="11"/>
          <w:szCs w:val="11"/>
          <w:color w:val="auto"/>
        </w:rPr>
      </w:pPr>
      <w:r>
        <w:rPr>
          <w:rFonts w:ascii="Arial" w:cs="Arial" w:eastAsia="Arial" w:hAnsi="Arial"/>
          <w:sz w:val="11"/>
          <w:szCs w:val="11"/>
          <w:b w:val="1"/>
          <w:bCs w:val="1"/>
          <w:color w:val="auto"/>
        </w:rPr>
        <w:t xml:space="preserve">action taken: </w:t>
      </w:r>
      <w:r>
        <w:rPr>
          <w:rFonts w:ascii="Arial" w:cs="Arial" w:eastAsia="Arial" w:hAnsi="Arial"/>
          <w:sz w:val="11"/>
          <w:szCs w:val="11"/>
          <w:color w:val="auto"/>
        </w:rPr>
        <w:t>it has taken all necessary action to authorise the unconditional execution and delivery of, and the compliance with its obligations under, the</w:t>
      </w:r>
      <w:r>
        <w:rPr>
          <w:rFonts w:ascii="Arial" w:cs="Arial" w:eastAsia="Arial" w:hAnsi="Arial"/>
          <w:sz w:val="11"/>
          <w:szCs w:val="11"/>
          <w:b w:val="1"/>
          <w:bCs w:val="1"/>
          <w:color w:val="auto"/>
        </w:rPr>
        <w:t xml:space="preserve"> </w:t>
      </w:r>
      <w:r>
        <w:rPr>
          <w:rFonts w:ascii="Arial" w:cs="Arial" w:eastAsia="Arial" w:hAnsi="Arial"/>
          <w:sz w:val="11"/>
          <w:szCs w:val="11"/>
          <w:color w:val="auto"/>
        </w:rPr>
        <w:t>Transaction Documents to which it is a party;</w:t>
      </w:r>
    </w:p>
    <w:p>
      <w:pPr>
        <w:spacing w:after="0" w:line="10" w:lineRule="exact"/>
        <w:rPr>
          <w:rFonts w:ascii="Arial" w:cs="Arial" w:eastAsia="Arial" w:hAnsi="Arial"/>
          <w:sz w:val="11"/>
          <w:szCs w:val="11"/>
          <w:color w:val="auto"/>
        </w:rPr>
      </w:pPr>
    </w:p>
    <w:p>
      <w:pPr>
        <w:ind w:left="1080" w:right="840" w:hanging="280"/>
        <w:spacing w:after="0" w:line="268" w:lineRule="auto"/>
        <w:tabs>
          <w:tab w:leader="none" w:pos="1080" w:val="left"/>
        </w:tabs>
        <w:numPr>
          <w:ilvl w:val="0"/>
          <w:numId w:val="127"/>
        </w:numPr>
        <w:rPr>
          <w:rFonts w:ascii="Arial" w:cs="Arial" w:eastAsia="Arial" w:hAnsi="Arial"/>
          <w:sz w:val="11"/>
          <w:szCs w:val="11"/>
          <w:color w:val="auto"/>
        </w:rPr>
      </w:pPr>
      <w:r>
        <w:rPr>
          <w:rFonts w:ascii="Arial" w:cs="Arial" w:eastAsia="Arial" w:hAnsi="Arial"/>
          <w:sz w:val="11"/>
          <w:szCs w:val="11"/>
          <w:b w:val="1"/>
          <w:bCs w:val="1"/>
          <w:color w:val="auto"/>
        </w:rPr>
        <w:t xml:space="preserve">binding obligations: </w:t>
      </w:r>
      <w:r>
        <w:rPr>
          <w:rFonts w:ascii="Arial" w:cs="Arial" w:eastAsia="Arial" w:hAnsi="Arial"/>
          <w:sz w:val="11"/>
          <w:szCs w:val="11"/>
          <w:color w:val="auto"/>
        </w:rPr>
        <w:t>each Transaction Document constitutes the valid and legally binding obligations of, and is enforceable against it by the Bank in</w:t>
      </w:r>
      <w:r>
        <w:rPr>
          <w:rFonts w:ascii="Arial" w:cs="Arial" w:eastAsia="Arial" w:hAnsi="Arial"/>
          <w:sz w:val="11"/>
          <w:szCs w:val="11"/>
          <w:b w:val="1"/>
          <w:bCs w:val="1"/>
          <w:color w:val="auto"/>
        </w:rPr>
        <w:t xml:space="preserve"> </w:t>
      </w:r>
      <w:r>
        <w:rPr>
          <w:rFonts w:ascii="Arial" w:cs="Arial" w:eastAsia="Arial" w:hAnsi="Arial"/>
          <w:sz w:val="11"/>
          <w:szCs w:val="11"/>
          <w:color w:val="auto"/>
        </w:rPr>
        <w:t>accordance with its terms (subject to any necessary stamping or registration and to equitable principles and insolvency laws);</w:t>
      </w:r>
    </w:p>
    <w:p>
      <w:pPr>
        <w:spacing w:after="0" w:line="10" w:lineRule="exact"/>
        <w:rPr>
          <w:rFonts w:ascii="Arial" w:cs="Arial" w:eastAsia="Arial" w:hAnsi="Arial"/>
          <w:sz w:val="11"/>
          <w:szCs w:val="11"/>
          <w:color w:val="auto"/>
        </w:rPr>
      </w:pPr>
    </w:p>
    <w:p>
      <w:pPr>
        <w:ind w:left="1080" w:right="460" w:hanging="280"/>
        <w:spacing w:after="0" w:line="268" w:lineRule="auto"/>
        <w:tabs>
          <w:tab w:leader="none" w:pos="1080" w:val="left"/>
        </w:tabs>
        <w:numPr>
          <w:ilvl w:val="0"/>
          <w:numId w:val="127"/>
        </w:numPr>
        <w:rPr>
          <w:rFonts w:ascii="Arial" w:cs="Arial" w:eastAsia="Arial" w:hAnsi="Arial"/>
          <w:sz w:val="11"/>
          <w:szCs w:val="11"/>
          <w:color w:val="auto"/>
        </w:rPr>
      </w:pPr>
      <w:r>
        <w:rPr>
          <w:rFonts w:ascii="Arial" w:cs="Arial" w:eastAsia="Arial" w:hAnsi="Arial"/>
          <w:sz w:val="11"/>
          <w:szCs w:val="11"/>
          <w:b w:val="1"/>
          <w:bCs w:val="1"/>
          <w:color w:val="auto"/>
        </w:rPr>
        <w:t xml:space="preserve">priority: </w:t>
      </w:r>
      <w:r>
        <w:rPr>
          <w:rFonts w:ascii="Arial" w:cs="Arial" w:eastAsia="Arial" w:hAnsi="Arial"/>
          <w:sz w:val="11"/>
          <w:szCs w:val="11"/>
          <w:color w:val="auto"/>
        </w:rPr>
        <w:t>each Security Interest which each Transaction Document purports to create exists and has the priority which the Bank has agreed to (subject to any</w:t>
      </w:r>
      <w:r>
        <w:rPr>
          <w:rFonts w:ascii="Arial" w:cs="Arial" w:eastAsia="Arial" w:hAnsi="Arial"/>
          <w:sz w:val="11"/>
          <w:szCs w:val="11"/>
          <w:b w:val="1"/>
          <w:bCs w:val="1"/>
          <w:color w:val="auto"/>
        </w:rPr>
        <w:t xml:space="preserve"> </w:t>
      </w:r>
      <w:r>
        <w:rPr>
          <w:rFonts w:ascii="Arial" w:cs="Arial" w:eastAsia="Arial" w:hAnsi="Arial"/>
          <w:sz w:val="11"/>
          <w:szCs w:val="11"/>
          <w:color w:val="auto"/>
        </w:rPr>
        <w:t>necessary stamping and registration);</w:t>
      </w:r>
    </w:p>
    <w:p>
      <w:pPr>
        <w:spacing w:after="0" w:line="17" w:lineRule="exact"/>
        <w:rPr>
          <w:rFonts w:ascii="Arial" w:cs="Arial" w:eastAsia="Arial" w:hAnsi="Arial"/>
          <w:sz w:val="11"/>
          <w:szCs w:val="11"/>
          <w:color w:val="auto"/>
        </w:rPr>
      </w:pPr>
    </w:p>
    <w:p>
      <w:pPr>
        <w:ind w:left="1080" w:hanging="280"/>
        <w:spacing w:after="0"/>
        <w:tabs>
          <w:tab w:leader="none" w:pos="1080" w:val="left"/>
        </w:tabs>
        <w:numPr>
          <w:ilvl w:val="0"/>
          <w:numId w:val="127"/>
        </w:numPr>
        <w:rPr>
          <w:rFonts w:ascii="Arial" w:cs="Arial" w:eastAsia="Arial" w:hAnsi="Arial"/>
          <w:sz w:val="11"/>
          <w:szCs w:val="11"/>
          <w:color w:val="auto"/>
        </w:rPr>
      </w:pPr>
      <w:r>
        <w:rPr>
          <w:rFonts w:ascii="Arial" w:cs="Arial" w:eastAsia="Arial" w:hAnsi="Arial"/>
          <w:sz w:val="11"/>
          <w:szCs w:val="11"/>
          <w:b w:val="1"/>
          <w:bCs w:val="1"/>
          <w:color w:val="auto"/>
        </w:rPr>
        <w:t xml:space="preserve">authorisations: </w:t>
      </w:r>
      <w:r>
        <w:rPr>
          <w:rFonts w:ascii="Arial" w:cs="Arial" w:eastAsia="Arial" w:hAnsi="Arial"/>
          <w:sz w:val="11"/>
          <w:szCs w:val="11"/>
          <w:color w:val="auto"/>
        </w:rPr>
        <w:t>each authorisation from, and filing and registration with, a Government Body necessary to enable it to unconditionally execute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35</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03" w:name="page104"/>
    <w:bookmarkEnd w:id="103"/>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and deliver and comply with its obligations under the Transaction Documents to which it is a party has been obtained, effected and complied with;</w:t>
      </w:r>
    </w:p>
    <w:p>
      <w:pPr>
        <w:spacing w:after="0" w:line="40" w:lineRule="exact"/>
        <w:rPr>
          <w:sz w:val="20"/>
          <w:szCs w:val="20"/>
          <w:color w:val="auto"/>
        </w:rPr>
      </w:pPr>
    </w:p>
    <w:p>
      <w:pPr>
        <w:ind w:left="1080" w:right="180" w:hanging="280"/>
        <w:spacing w:after="0" w:line="268" w:lineRule="auto"/>
        <w:tabs>
          <w:tab w:leader="none" w:pos="1080" w:val="left"/>
        </w:tabs>
        <w:numPr>
          <w:ilvl w:val="0"/>
          <w:numId w:val="128"/>
        </w:numPr>
        <w:rPr>
          <w:rFonts w:ascii="Arial" w:cs="Arial" w:eastAsia="Arial" w:hAnsi="Arial"/>
          <w:sz w:val="11"/>
          <w:szCs w:val="11"/>
          <w:color w:val="auto"/>
        </w:rPr>
      </w:pPr>
      <w:r>
        <w:rPr>
          <w:rFonts w:ascii="Arial" w:cs="Arial" w:eastAsia="Arial" w:hAnsi="Arial"/>
          <w:sz w:val="11"/>
          <w:szCs w:val="11"/>
          <w:b w:val="1"/>
          <w:bCs w:val="1"/>
          <w:color w:val="auto"/>
        </w:rPr>
        <w:t xml:space="preserve">no contravention: </w:t>
      </w:r>
      <w:r>
        <w:rPr>
          <w:rFonts w:ascii="Arial" w:cs="Arial" w:eastAsia="Arial" w:hAnsi="Arial"/>
          <w:sz w:val="11"/>
          <w:szCs w:val="11"/>
          <w:color w:val="auto"/>
        </w:rPr>
        <w:t>the unconditional execution and delivery of, and compliance with its obligations by it under, the Transaction Documents to which it is a party do</w:t>
      </w:r>
      <w:r>
        <w:rPr>
          <w:rFonts w:ascii="Arial" w:cs="Arial" w:eastAsia="Arial" w:hAnsi="Arial"/>
          <w:sz w:val="11"/>
          <w:szCs w:val="11"/>
          <w:b w:val="1"/>
          <w:bCs w:val="1"/>
          <w:color w:val="auto"/>
        </w:rPr>
        <w:t xml:space="preserve"> </w:t>
      </w:r>
      <w:r>
        <w:rPr>
          <w:rFonts w:ascii="Arial" w:cs="Arial" w:eastAsia="Arial" w:hAnsi="Arial"/>
          <w:sz w:val="11"/>
          <w:szCs w:val="11"/>
          <w:color w:val="auto"/>
        </w:rPr>
        <w:t>not:</w:t>
      </w:r>
    </w:p>
    <w:p>
      <w:pPr>
        <w:spacing w:after="0" w:line="16" w:lineRule="exact"/>
        <w:rPr>
          <w:rFonts w:ascii="Arial" w:cs="Arial" w:eastAsia="Arial" w:hAnsi="Arial"/>
          <w:sz w:val="11"/>
          <w:szCs w:val="11"/>
          <w:color w:val="auto"/>
        </w:rPr>
      </w:pPr>
    </w:p>
    <w:p>
      <w:pPr>
        <w:ind w:left="1400" w:hanging="285"/>
        <w:spacing w:after="0"/>
        <w:tabs>
          <w:tab w:leader="none" w:pos="1400" w:val="left"/>
        </w:tabs>
        <w:numPr>
          <w:ilvl w:val="1"/>
          <w:numId w:val="128"/>
        </w:numPr>
        <w:rPr>
          <w:rFonts w:ascii="Arial" w:cs="Arial" w:eastAsia="Arial" w:hAnsi="Arial"/>
          <w:sz w:val="11"/>
          <w:szCs w:val="11"/>
          <w:color w:val="auto"/>
        </w:rPr>
      </w:pPr>
      <w:r>
        <w:rPr>
          <w:rFonts w:ascii="Arial" w:cs="Arial" w:eastAsia="Arial" w:hAnsi="Arial"/>
          <w:sz w:val="11"/>
          <w:szCs w:val="11"/>
          <w:color w:val="auto"/>
        </w:rPr>
        <w:t>contravene any law to which it or any of its property is subject or any order or directive from a Government Body binding on it or any of its property;</w:t>
      </w:r>
    </w:p>
    <w:p>
      <w:pPr>
        <w:spacing w:after="0" w:line="53" w:lineRule="exact"/>
        <w:rPr>
          <w:rFonts w:ascii="Arial" w:cs="Arial" w:eastAsia="Arial" w:hAnsi="Arial"/>
          <w:sz w:val="11"/>
          <w:szCs w:val="11"/>
          <w:color w:val="auto"/>
        </w:rPr>
      </w:pPr>
    </w:p>
    <w:p>
      <w:pPr>
        <w:ind w:left="1400" w:hanging="285"/>
        <w:spacing w:after="0"/>
        <w:tabs>
          <w:tab w:leader="none" w:pos="1400" w:val="left"/>
        </w:tabs>
        <w:numPr>
          <w:ilvl w:val="1"/>
          <w:numId w:val="128"/>
        </w:numPr>
        <w:rPr>
          <w:rFonts w:ascii="Arial" w:cs="Arial" w:eastAsia="Arial" w:hAnsi="Arial"/>
          <w:sz w:val="11"/>
          <w:szCs w:val="11"/>
          <w:color w:val="auto"/>
        </w:rPr>
      </w:pPr>
      <w:r>
        <w:rPr>
          <w:rFonts w:ascii="Arial" w:cs="Arial" w:eastAsia="Arial" w:hAnsi="Arial"/>
          <w:sz w:val="11"/>
          <w:szCs w:val="11"/>
          <w:color w:val="auto"/>
        </w:rPr>
        <w:t>contravene its constituent documents;</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128"/>
        </w:numPr>
        <w:rPr>
          <w:rFonts w:ascii="Arial" w:cs="Arial" w:eastAsia="Arial" w:hAnsi="Arial"/>
          <w:sz w:val="11"/>
          <w:szCs w:val="11"/>
          <w:color w:val="auto"/>
        </w:rPr>
      </w:pPr>
      <w:r>
        <w:rPr>
          <w:rFonts w:ascii="Arial" w:cs="Arial" w:eastAsia="Arial" w:hAnsi="Arial"/>
          <w:sz w:val="11"/>
          <w:szCs w:val="11"/>
          <w:color w:val="auto"/>
        </w:rPr>
        <w:t>contravene any agreement or instrument to which it is a party;</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128"/>
        </w:numPr>
        <w:rPr>
          <w:rFonts w:ascii="Arial" w:cs="Arial" w:eastAsia="Arial" w:hAnsi="Arial"/>
          <w:sz w:val="11"/>
          <w:szCs w:val="11"/>
          <w:color w:val="auto"/>
        </w:rPr>
      </w:pPr>
      <w:r>
        <w:rPr>
          <w:rFonts w:ascii="Arial" w:cs="Arial" w:eastAsia="Arial" w:hAnsi="Arial"/>
          <w:sz w:val="11"/>
          <w:szCs w:val="11"/>
          <w:color w:val="auto"/>
        </w:rPr>
        <w:t>contravene any obligation it has to any other person; or</w:t>
      </w:r>
    </w:p>
    <w:p>
      <w:pPr>
        <w:spacing w:after="0" w:line="68" w:lineRule="exact"/>
        <w:rPr>
          <w:rFonts w:ascii="Arial" w:cs="Arial" w:eastAsia="Arial" w:hAnsi="Arial"/>
          <w:sz w:val="11"/>
          <w:szCs w:val="11"/>
          <w:color w:val="auto"/>
        </w:rPr>
      </w:pPr>
    </w:p>
    <w:p>
      <w:pPr>
        <w:ind w:left="1400" w:right="420" w:hanging="285"/>
        <w:spacing w:after="0" w:line="256" w:lineRule="auto"/>
        <w:tabs>
          <w:tab w:leader="none" w:pos="1400" w:val="left"/>
        </w:tabs>
        <w:numPr>
          <w:ilvl w:val="1"/>
          <w:numId w:val="128"/>
        </w:numPr>
        <w:rPr>
          <w:rFonts w:ascii="Arial" w:cs="Arial" w:eastAsia="Arial" w:hAnsi="Arial"/>
          <w:sz w:val="11"/>
          <w:szCs w:val="11"/>
          <w:color w:val="auto"/>
        </w:rPr>
      </w:pPr>
      <w:r>
        <w:rPr>
          <w:rFonts w:ascii="Arial" w:cs="Arial" w:eastAsia="Arial" w:hAnsi="Arial"/>
          <w:sz w:val="11"/>
          <w:szCs w:val="11"/>
          <w:color w:val="auto"/>
        </w:rPr>
        <w:t>require it to make any payment or delivery in relation to any Financial Indebtedness (other than Excluded Financial Indebtedness) before the scheduled date for that payment or delivery;</w:t>
      </w:r>
    </w:p>
    <w:p>
      <w:pPr>
        <w:spacing w:after="0" w:line="16" w:lineRule="exact"/>
        <w:rPr>
          <w:rFonts w:ascii="Arial" w:cs="Arial" w:eastAsia="Arial" w:hAnsi="Arial"/>
          <w:sz w:val="11"/>
          <w:szCs w:val="11"/>
          <w:color w:val="auto"/>
        </w:rPr>
      </w:pPr>
    </w:p>
    <w:p>
      <w:pPr>
        <w:ind w:left="1080" w:right="920" w:hanging="280"/>
        <w:spacing w:after="0" w:line="268" w:lineRule="auto"/>
        <w:tabs>
          <w:tab w:leader="none" w:pos="1080" w:val="left"/>
        </w:tabs>
        <w:numPr>
          <w:ilvl w:val="0"/>
          <w:numId w:val="128"/>
        </w:numPr>
        <w:rPr>
          <w:rFonts w:ascii="Arial" w:cs="Arial" w:eastAsia="Arial" w:hAnsi="Arial"/>
          <w:sz w:val="11"/>
          <w:szCs w:val="11"/>
          <w:color w:val="auto"/>
        </w:rPr>
      </w:pPr>
      <w:r>
        <w:rPr>
          <w:rFonts w:ascii="Arial" w:cs="Arial" w:eastAsia="Arial" w:hAnsi="Arial"/>
          <w:sz w:val="11"/>
          <w:szCs w:val="11"/>
          <w:b w:val="1"/>
          <w:bCs w:val="1"/>
          <w:color w:val="auto"/>
        </w:rPr>
        <w:t xml:space="preserve">correct information: </w:t>
      </w:r>
      <w:r>
        <w:rPr>
          <w:rFonts w:ascii="Arial" w:cs="Arial" w:eastAsia="Arial" w:hAnsi="Arial"/>
          <w:sz w:val="11"/>
          <w:szCs w:val="11"/>
          <w:color w:val="auto"/>
        </w:rPr>
        <w:t>all information given and each statement made to any Bank by it or at its direction in relation to the Transaction Documents, is</w:t>
      </w:r>
      <w:r>
        <w:rPr>
          <w:rFonts w:ascii="Arial" w:cs="Arial" w:eastAsia="Arial" w:hAnsi="Arial"/>
          <w:sz w:val="11"/>
          <w:szCs w:val="11"/>
          <w:b w:val="1"/>
          <w:bCs w:val="1"/>
          <w:color w:val="auto"/>
        </w:rPr>
        <w:t xml:space="preserve"> </w:t>
      </w:r>
      <w:r>
        <w:rPr>
          <w:rFonts w:ascii="Arial" w:cs="Arial" w:eastAsia="Arial" w:hAnsi="Arial"/>
          <w:sz w:val="11"/>
          <w:szCs w:val="11"/>
          <w:color w:val="auto"/>
        </w:rPr>
        <w:t>correct, complete and not misleading;</w:t>
      </w:r>
    </w:p>
    <w:p>
      <w:pPr>
        <w:spacing w:after="0" w:line="10" w:lineRule="exact"/>
        <w:rPr>
          <w:rFonts w:ascii="Arial" w:cs="Arial" w:eastAsia="Arial" w:hAnsi="Arial"/>
          <w:sz w:val="11"/>
          <w:szCs w:val="11"/>
          <w:color w:val="auto"/>
        </w:rPr>
      </w:pPr>
    </w:p>
    <w:p>
      <w:pPr>
        <w:ind w:left="1080" w:right="320" w:hanging="280"/>
        <w:spacing w:after="0" w:line="268" w:lineRule="auto"/>
        <w:tabs>
          <w:tab w:leader="none" w:pos="1080" w:val="left"/>
        </w:tabs>
        <w:numPr>
          <w:ilvl w:val="0"/>
          <w:numId w:val="128"/>
        </w:numPr>
        <w:rPr>
          <w:rFonts w:ascii="Arial" w:cs="Arial" w:eastAsia="Arial" w:hAnsi="Arial"/>
          <w:sz w:val="11"/>
          <w:szCs w:val="11"/>
          <w:color w:val="auto"/>
        </w:rPr>
      </w:pPr>
      <w:r>
        <w:rPr>
          <w:rFonts w:ascii="Arial" w:cs="Arial" w:eastAsia="Arial" w:hAnsi="Arial"/>
          <w:sz w:val="11"/>
          <w:szCs w:val="11"/>
          <w:b w:val="1"/>
          <w:bCs w:val="1"/>
          <w:color w:val="auto"/>
        </w:rPr>
        <w:t xml:space="preserve">full disclosure: </w:t>
      </w:r>
      <w:r>
        <w:rPr>
          <w:rFonts w:ascii="Arial" w:cs="Arial" w:eastAsia="Arial" w:hAnsi="Arial"/>
          <w:sz w:val="11"/>
          <w:szCs w:val="11"/>
          <w:color w:val="auto"/>
        </w:rPr>
        <w:t>it has disclosed to the Bank all information which the Borrower has or has access to and which is relevant to the assessment by the Bank of the</w:t>
      </w:r>
      <w:r>
        <w:rPr>
          <w:rFonts w:ascii="Arial" w:cs="Arial" w:eastAsia="Arial" w:hAnsi="Arial"/>
          <w:sz w:val="11"/>
          <w:szCs w:val="11"/>
          <w:b w:val="1"/>
          <w:bCs w:val="1"/>
          <w:color w:val="auto"/>
        </w:rPr>
        <w:t xml:space="preserve"> </w:t>
      </w:r>
      <w:r>
        <w:rPr>
          <w:rFonts w:ascii="Arial" w:cs="Arial" w:eastAsia="Arial" w:hAnsi="Arial"/>
          <w:sz w:val="11"/>
          <w:szCs w:val="11"/>
          <w:color w:val="auto"/>
        </w:rPr>
        <w:t>nature and amount of the risks undertaken by the Bank becoming a creditor of or taking a Security from it;</w:t>
      </w:r>
    </w:p>
    <w:p>
      <w:pPr>
        <w:spacing w:after="0" w:line="11" w:lineRule="exact"/>
        <w:rPr>
          <w:rFonts w:ascii="Arial" w:cs="Arial" w:eastAsia="Arial" w:hAnsi="Arial"/>
          <w:sz w:val="11"/>
          <w:szCs w:val="11"/>
          <w:color w:val="auto"/>
        </w:rPr>
      </w:pPr>
    </w:p>
    <w:p>
      <w:pPr>
        <w:ind w:left="1080" w:hanging="280"/>
        <w:spacing w:after="0"/>
        <w:tabs>
          <w:tab w:leader="none" w:pos="1080" w:val="left"/>
        </w:tabs>
        <w:numPr>
          <w:ilvl w:val="0"/>
          <w:numId w:val="128"/>
        </w:numPr>
        <w:rPr>
          <w:rFonts w:ascii="Arial" w:cs="Arial" w:eastAsia="Arial" w:hAnsi="Arial"/>
          <w:sz w:val="11"/>
          <w:szCs w:val="11"/>
          <w:color w:val="auto"/>
        </w:rPr>
      </w:pPr>
      <w:r>
        <w:rPr>
          <w:rFonts w:ascii="Arial" w:cs="Arial" w:eastAsia="Arial" w:hAnsi="Arial"/>
          <w:sz w:val="11"/>
          <w:szCs w:val="11"/>
          <w:b w:val="1"/>
          <w:bCs w:val="1"/>
          <w:color w:val="auto"/>
        </w:rPr>
        <w:t xml:space="preserve">Financial Statements: </w:t>
      </w:r>
      <w:r>
        <w:rPr>
          <w:rFonts w:ascii="Arial" w:cs="Arial" w:eastAsia="Arial" w:hAnsi="Arial"/>
          <w:sz w:val="11"/>
          <w:szCs w:val="11"/>
          <w:color w:val="auto"/>
        </w:rPr>
        <w:t>the Financial Statements of each of Transaction Party given to the Bank under</w:t>
      </w:r>
      <w:r>
        <w:rPr>
          <w:rFonts w:ascii="Arial" w:cs="Arial" w:eastAsia="Arial" w:hAnsi="Arial"/>
          <w:sz w:val="11"/>
          <w:szCs w:val="11"/>
          <w:b w:val="1"/>
          <w:bCs w:val="1"/>
          <w:color w:val="auto"/>
        </w:rPr>
        <w:t xml:space="preserve"> clause 9.3</w:t>
      </w:r>
      <w:r>
        <w:rPr>
          <w:rFonts w:ascii="Arial" w:cs="Arial" w:eastAsia="Arial" w:hAnsi="Arial"/>
          <w:sz w:val="11"/>
          <w:szCs w:val="11"/>
          <w:color w:val="auto"/>
        </w:rPr>
        <w:t>:</w:t>
      </w:r>
    </w:p>
    <w:p>
      <w:pPr>
        <w:spacing w:after="0" w:line="43" w:lineRule="exact"/>
        <w:rPr>
          <w:rFonts w:ascii="Arial" w:cs="Arial" w:eastAsia="Arial" w:hAnsi="Arial"/>
          <w:sz w:val="11"/>
          <w:szCs w:val="11"/>
          <w:color w:val="auto"/>
        </w:rPr>
      </w:pPr>
    </w:p>
    <w:p>
      <w:pPr>
        <w:ind w:left="1400" w:right="580" w:hanging="285"/>
        <w:spacing w:after="0" w:line="256" w:lineRule="auto"/>
        <w:tabs>
          <w:tab w:leader="none" w:pos="1400" w:val="left"/>
        </w:tabs>
        <w:numPr>
          <w:ilvl w:val="1"/>
          <w:numId w:val="128"/>
        </w:numPr>
        <w:rPr>
          <w:rFonts w:ascii="Arial" w:cs="Arial" w:eastAsia="Arial" w:hAnsi="Arial"/>
          <w:sz w:val="11"/>
          <w:szCs w:val="11"/>
          <w:color w:val="auto"/>
        </w:rPr>
      </w:pPr>
      <w:r>
        <w:rPr>
          <w:rFonts w:ascii="Arial" w:cs="Arial" w:eastAsia="Arial" w:hAnsi="Arial"/>
          <w:sz w:val="11"/>
          <w:szCs w:val="11"/>
          <w:color w:val="auto"/>
        </w:rPr>
        <w:t>are a true, fair and accurate statement of their respective financial performance and position and their respective consolidated financial performance and position at the date to which they are prepared; and</w:t>
      </w:r>
    </w:p>
    <w:p>
      <w:pPr>
        <w:spacing w:after="0" w:line="16" w:lineRule="exact"/>
        <w:rPr>
          <w:rFonts w:ascii="Arial" w:cs="Arial" w:eastAsia="Arial" w:hAnsi="Arial"/>
          <w:sz w:val="11"/>
          <w:szCs w:val="11"/>
          <w:color w:val="auto"/>
        </w:rPr>
      </w:pPr>
    </w:p>
    <w:p>
      <w:pPr>
        <w:ind w:left="1400" w:hanging="285"/>
        <w:spacing w:after="0"/>
        <w:tabs>
          <w:tab w:leader="none" w:pos="1400" w:val="left"/>
        </w:tabs>
        <w:numPr>
          <w:ilvl w:val="1"/>
          <w:numId w:val="128"/>
        </w:numPr>
        <w:rPr>
          <w:rFonts w:ascii="Arial" w:cs="Arial" w:eastAsia="Arial" w:hAnsi="Arial"/>
          <w:sz w:val="11"/>
          <w:szCs w:val="11"/>
          <w:color w:val="auto"/>
        </w:rPr>
      </w:pPr>
      <w:r>
        <w:rPr>
          <w:rFonts w:ascii="Arial" w:cs="Arial" w:eastAsia="Arial" w:hAnsi="Arial"/>
          <w:sz w:val="11"/>
          <w:szCs w:val="11"/>
          <w:color w:val="auto"/>
        </w:rPr>
        <w:t xml:space="preserve">have been prepared in accordance with </w:t>
      </w:r>
      <w:r>
        <w:rPr>
          <w:rFonts w:ascii="Arial" w:cs="Arial" w:eastAsia="Arial" w:hAnsi="Arial"/>
          <w:sz w:val="11"/>
          <w:szCs w:val="11"/>
          <w:b w:val="1"/>
          <w:bCs w:val="1"/>
          <w:color w:val="auto"/>
        </w:rPr>
        <w:t>clause 9.2</w:t>
      </w:r>
      <w:r>
        <w:rPr>
          <w:rFonts w:ascii="Arial" w:cs="Arial" w:eastAsia="Arial" w:hAnsi="Arial"/>
          <w:sz w:val="11"/>
          <w:szCs w:val="11"/>
          <w:color w:val="auto"/>
        </w:rPr>
        <w:t xml:space="preserve"> and </w:t>
      </w:r>
      <w:r>
        <w:rPr>
          <w:rFonts w:ascii="Arial" w:cs="Arial" w:eastAsia="Arial" w:hAnsi="Arial"/>
          <w:sz w:val="11"/>
          <w:szCs w:val="11"/>
          <w:b w:val="1"/>
          <w:bCs w:val="1"/>
          <w:color w:val="auto"/>
        </w:rPr>
        <w:t>9.3</w:t>
      </w:r>
      <w:r>
        <w:rPr>
          <w:rFonts w:ascii="Arial" w:cs="Arial" w:eastAsia="Arial" w:hAnsi="Arial"/>
          <w:sz w:val="11"/>
          <w:szCs w:val="11"/>
          <w:color w:val="auto"/>
        </w:rPr>
        <w:t>, except for such departures expressly disclosed in those Financial Statements;</w:t>
      </w:r>
    </w:p>
    <w:p>
      <w:pPr>
        <w:spacing w:after="0" w:line="46" w:lineRule="exact"/>
        <w:rPr>
          <w:rFonts w:ascii="Arial" w:cs="Arial" w:eastAsia="Arial" w:hAnsi="Arial"/>
          <w:sz w:val="11"/>
          <w:szCs w:val="11"/>
          <w:color w:val="auto"/>
        </w:rPr>
      </w:pPr>
    </w:p>
    <w:p>
      <w:pPr>
        <w:ind w:left="1080" w:right="960" w:hanging="280"/>
        <w:spacing w:after="0" w:line="277" w:lineRule="auto"/>
        <w:tabs>
          <w:tab w:leader="none" w:pos="1080" w:val="left"/>
        </w:tabs>
        <w:numPr>
          <w:ilvl w:val="0"/>
          <w:numId w:val="128"/>
        </w:numPr>
        <w:rPr>
          <w:rFonts w:ascii="Arial" w:cs="Arial" w:eastAsia="Arial" w:hAnsi="Arial"/>
          <w:sz w:val="11"/>
          <w:szCs w:val="11"/>
          <w:color w:val="auto"/>
        </w:rPr>
      </w:pPr>
      <w:r>
        <w:rPr>
          <w:rFonts w:ascii="Arial" w:cs="Arial" w:eastAsia="Arial" w:hAnsi="Arial"/>
          <w:sz w:val="11"/>
          <w:szCs w:val="11"/>
          <w:b w:val="1"/>
          <w:bCs w:val="1"/>
          <w:color w:val="auto"/>
        </w:rPr>
        <w:t xml:space="preserve">no change in financial position: </w:t>
      </w:r>
      <w:r>
        <w:rPr>
          <w:rFonts w:ascii="Arial" w:cs="Arial" w:eastAsia="Arial" w:hAnsi="Arial"/>
          <w:sz w:val="11"/>
          <w:szCs w:val="11"/>
          <w:color w:val="auto"/>
        </w:rPr>
        <w:t>there has been no change in the financial performance or position of a Transaction Party since the date to which</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last Financial Statements given to the Bank under </w:t>
      </w:r>
      <w:r>
        <w:rPr>
          <w:rFonts w:ascii="Arial" w:cs="Arial" w:eastAsia="Arial" w:hAnsi="Arial"/>
          <w:sz w:val="11"/>
          <w:szCs w:val="11"/>
          <w:b w:val="1"/>
          <w:bCs w:val="1"/>
          <w:color w:val="auto"/>
        </w:rPr>
        <w:t>clause 9.3</w:t>
      </w:r>
      <w:r>
        <w:rPr>
          <w:rFonts w:ascii="Arial" w:cs="Arial" w:eastAsia="Arial" w:hAnsi="Arial"/>
          <w:sz w:val="11"/>
          <w:szCs w:val="11"/>
          <w:color w:val="auto"/>
        </w:rPr>
        <w:t xml:space="preserve"> were prepared, which has a Material Adverse Effect;</w:t>
      </w:r>
    </w:p>
    <w:p>
      <w:pPr>
        <w:ind w:left="1080" w:right="440" w:hanging="280"/>
        <w:spacing w:after="0" w:line="268" w:lineRule="auto"/>
        <w:tabs>
          <w:tab w:leader="none" w:pos="1080" w:val="left"/>
        </w:tabs>
        <w:numPr>
          <w:ilvl w:val="0"/>
          <w:numId w:val="128"/>
        </w:numPr>
        <w:rPr>
          <w:rFonts w:ascii="Arial" w:cs="Arial" w:eastAsia="Arial" w:hAnsi="Arial"/>
          <w:sz w:val="11"/>
          <w:szCs w:val="11"/>
          <w:color w:val="auto"/>
        </w:rPr>
      </w:pPr>
      <w:r>
        <w:rPr>
          <w:rFonts w:ascii="Arial" w:cs="Arial" w:eastAsia="Arial" w:hAnsi="Arial"/>
          <w:sz w:val="11"/>
          <w:szCs w:val="11"/>
          <w:b w:val="1"/>
          <w:bCs w:val="1"/>
          <w:color w:val="auto"/>
        </w:rPr>
        <w:t xml:space="preserve">no related party transaction: </w:t>
      </w:r>
      <w:r>
        <w:rPr>
          <w:rFonts w:ascii="Arial" w:cs="Arial" w:eastAsia="Arial" w:hAnsi="Arial"/>
          <w:sz w:val="11"/>
          <w:szCs w:val="11"/>
          <w:color w:val="auto"/>
        </w:rPr>
        <w:t>no person has contravened or will contravene sections 208 or 209 of the Corporations Act due to a Transaction Party entering</w:t>
      </w:r>
      <w:r>
        <w:rPr>
          <w:rFonts w:ascii="Arial" w:cs="Arial" w:eastAsia="Arial" w:hAnsi="Arial"/>
          <w:sz w:val="11"/>
          <w:szCs w:val="11"/>
          <w:b w:val="1"/>
          <w:bCs w:val="1"/>
          <w:color w:val="auto"/>
        </w:rPr>
        <w:t xml:space="preserve"> </w:t>
      </w:r>
      <w:r>
        <w:rPr>
          <w:rFonts w:ascii="Arial" w:cs="Arial" w:eastAsia="Arial" w:hAnsi="Arial"/>
          <w:sz w:val="11"/>
          <w:szCs w:val="11"/>
          <w:color w:val="auto"/>
        </w:rPr>
        <w:t>into or performing its obligations under a Transaction Document;</w:t>
      </w:r>
    </w:p>
    <w:p>
      <w:pPr>
        <w:spacing w:after="0" w:line="10" w:lineRule="exact"/>
        <w:rPr>
          <w:rFonts w:ascii="Arial" w:cs="Arial" w:eastAsia="Arial" w:hAnsi="Arial"/>
          <w:sz w:val="11"/>
          <w:szCs w:val="11"/>
          <w:color w:val="auto"/>
        </w:rPr>
      </w:pPr>
    </w:p>
    <w:p>
      <w:pPr>
        <w:ind w:left="1080" w:hanging="280"/>
        <w:spacing w:after="0"/>
        <w:tabs>
          <w:tab w:leader="none" w:pos="1080" w:val="left"/>
        </w:tabs>
        <w:numPr>
          <w:ilvl w:val="0"/>
          <w:numId w:val="128"/>
        </w:numPr>
        <w:rPr>
          <w:rFonts w:ascii="Arial" w:cs="Arial" w:eastAsia="Arial" w:hAnsi="Arial"/>
          <w:sz w:val="11"/>
          <w:szCs w:val="11"/>
          <w:color w:val="auto"/>
        </w:rPr>
      </w:pPr>
      <w:r>
        <w:rPr>
          <w:rFonts w:ascii="Arial" w:cs="Arial" w:eastAsia="Arial" w:hAnsi="Arial"/>
          <w:sz w:val="11"/>
          <w:szCs w:val="11"/>
          <w:b w:val="1"/>
          <w:bCs w:val="1"/>
          <w:color w:val="auto"/>
        </w:rPr>
        <w:t xml:space="preserve">no proceeding: </w:t>
      </w:r>
      <w:r>
        <w:rPr>
          <w:rFonts w:ascii="Arial" w:cs="Arial" w:eastAsia="Arial" w:hAnsi="Arial"/>
          <w:sz w:val="11"/>
          <w:szCs w:val="11"/>
          <w:color w:val="auto"/>
        </w:rPr>
        <w:t>except as notified to the Bank in writing before the date of this document, no litigation, arbitration or administrative proceeding is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36</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04" w:name="page105"/>
    <w:bookmarkEnd w:id="104"/>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right="1580"/>
        <w:spacing w:after="0" w:line="256" w:lineRule="auto"/>
        <w:rPr>
          <w:sz w:val="20"/>
          <w:szCs w:val="20"/>
          <w:color w:val="auto"/>
        </w:rPr>
      </w:pPr>
      <w:r>
        <w:rPr>
          <w:rFonts w:ascii="Arial" w:cs="Arial" w:eastAsia="Arial" w:hAnsi="Arial"/>
          <w:sz w:val="11"/>
          <w:szCs w:val="11"/>
          <w:color w:val="auto"/>
        </w:rPr>
        <w:t>current, pending or, to the knowledge of the Borrower, threatened, which has, or the adverse determination of which would be likely to have, a Material Adverse Effect;</w:t>
      </w:r>
    </w:p>
    <w:p>
      <w:pPr>
        <w:spacing w:after="0" w:line="17" w:lineRule="exact"/>
        <w:rPr>
          <w:sz w:val="20"/>
          <w:szCs w:val="20"/>
          <w:color w:val="auto"/>
        </w:rPr>
      </w:pPr>
    </w:p>
    <w:p>
      <w:pPr>
        <w:ind w:left="1080" w:right="400" w:hanging="280"/>
        <w:spacing w:after="0" w:line="268" w:lineRule="auto"/>
        <w:tabs>
          <w:tab w:leader="none" w:pos="1080" w:val="left"/>
        </w:tabs>
        <w:numPr>
          <w:ilvl w:val="0"/>
          <w:numId w:val="129"/>
        </w:numPr>
        <w:rPr>
          <w:rFonts w:ascii="Arial" w:cs="Arial" w:eastAsia="Arial" w:hAnsi="Arial"/>
          <w:sz w:val="11"/>
          <w:szCs w:val="11"/>
          <w:color w:val="auto"/>
        </w:rPr>
      </w:pPr>
      <w:r>
        <w:rPr>
          <w:rFonts w:ascii="Arial" w:cs="Arial" w:eastAsia="Arial" w:hAnsi="Arial"/>
          <w:sz w:val="11"/>
          <w:szCs w:val="11"/>
          <w:b w:val="1"/>
          <w:bCs w:val="1"/>
          <w:color w:val="auto"/>
        </w:rPr>
        <w:t xml:space="preserve">no trust: </w:t>
      </w:r>
      <w:r>
        <w:rPr>
          <w:rFonts w:ascii="Arial" w:cs="Arial" w:eastAsia="Arial" w:hAnsi="Arial"/>
          <w:sz w:val="11"/>
          <w:szCs w:val="11"/>
          <w:color w:val="auto"/>
        </w:rPr>
        <w:t>except as notified to the Bank in writing before the date of this document, no Transaction Party enters into a Transaction Document as trustee of any</w:t>
      </w:r>
      <w:r>
        <w:rPr>
          <w:rFonts w:ascii="Arial" w:cs="Arial" w:eastAsia="Arial" w:hAnsi="Arial"/>
          <w:sz w:val="11"/>
          <w:szCs w:val="11"/>
          <w:b w:val="1"/>
          <w:bCs w:val="1"/>
          <w:color w:val="auto"/>
        </w:rPr>
        <w:t xml:space="preserve"> </w:t>
      </w:r>
      <w:r>
        <w:rPr>
          <w:rFonts w:ascii="Arial" w:cs="Arial" w:eastAsia="Arial" w:hAnsi="Arial"/>
          <w:sz w:val="11"/>
          <w:szCs w:val="11"/>
          <w:color w:val="auto"/>
        </w:rPr>
        <w:t>trust;</w:t>
      </w:r>
    </w:p>
    <w:p>
      <w:pPr>
        <w:spacing w:after="0" w:line="11" w:lineRule="exact"/>
        <w:rPr>
          <w:rFonts w:ascii="Arial" w:cs="Arial" w:eastAsia="Arial" w:hAnsi="Arial"/>
          <w:sz w:val="11"/>
          <w:szCs w:val="11"/>
          <w:color w:val="auto"/>
        </w:rPr>
      </w:pPr>
    </w:p>
    <w:p>
      <w:pPr>
        <w:ind w:left="1080" w:hanging="280"/>
        <w:spacing w:after="0"/>
        <w:tabs>
          <w:tab w:leader="none" w:pos="1080" w:val="left"/>
        </w:tabs>
        <w:numPr>
          <w:ilvl w:val="0"/>
          <w:numId w:val="129"/>
        </w:numPr>
        <w:rPr>
          <w:rFonts w:ascii="Arial" w:cs="Arial" w:eastAsia="Arial" w:hAnsi="Arial"/>
          <w:sz w:val="11"/>
          <w:szCs w:val="11"/>
          <w:color w:val="auto"/>
        </w:rPr>
      </w:pPr>
      <w:r>
        <w:rPr>
          <w:rFonts w:ascii="Arial" w:cs="Arial" w:eastAsia="Arial" w:hAnsi="Arial"/>
          <w:sz w:val="11"/>
          <w:szCs w:val="11"/>
          <w:b w:val="1"/>
          <w:bCs w:val="1"/>
          <w:color w:val="auto"/>
        </w:rPr>
        <w:t xml:space="preserve">sole owner and no Encumbrances: </w:t>
      </w:r>
      <w:r>
        <w:rPr>
          <w:rFonts w:ascii="Arial" w:cs="Arial" w:eastAsia="Arial" w:hAnsi="Arial"/>
          <w:sz w:val="11"/>
          <w:szCs w:val="11"/>
          <w:color w:val="auto"/>
        </w:rPr>
        <w:t>except as notified to the Bank in writing before the date of this document:</w:t>
      </w:r>
    </w:p>
    <w:p>
      <w:pPr>
        <w:spacing w:after="0" w:line="43" w:lineRule="exact"/>
        <w:rPr>
          <w:rFonts w:ascii="Arial" w:cs="Arial" w:eastAsia="Arial" w:hAnsi="Arial"/>
          <w:sz w:val="11"/>
          <w:szCs w:val="11"/>
          <w:color w:val="auto"/>
        </w:rPr>
      </w:pPr>
    </w:p>
    <w:p>
      <w:pPr>
        <w:ind w:left="1400" w:hanging="285"/>
        <w:spacing w:after="0"/>
        <w:tabs>
          <w:tab w:leader="none" w:pos="1400" w:val="left"/>
        </w:tabs>
        <w:numPr>
          <w:ilvl w:val="1"/>
          <w:numId w:val="129"/>
        </w:numPr>
        <w:rPr>
          <w:rFonts w:ascii="Arial" w:cs="Arial" w:eastAsia="Arial" w:hAnsi="Arial"/>
          <w:sz w:val="11"/>
          <w:szCs w:val="11"/>
          <w:color w:val="auto"/>
        </w:rPr>
      </w:pPr>
      <w:r>
        <w:rPr>
          <w:rFonts w:ascii="Arial" w:cs="Arial" w:eastAsia="Arial" w:hAnsi="Arial"/>
          <w:sz w:val="11"/>
          <w:szCs w:val="11"/>
          <w:color w:val="auto"/>
        </w:rPr>
        <w:t>each Transaction Party is the sole legal and beneficial owner of the property it purports to own; and</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29"/>
        </w:numPr>
        <w:rPr>
          <w:rFonts w:ascii="Arial" w:cs="Arial" w:eastAsia="Arial" w:hAnsi="Arial"/>
          <w:sz w:val="11"/>
          <w:szCs w:val="11"/>
          <w:color w:val="auto"/>
        </w:rPr>
      </w:pPr>
      <w:r>
        <w:rPr>
          <w:rFonts w:ascii="Arial" w:cs="Arial" w:eastAsia="Arial" w:hAnsi="Arial"/>
          <w:sz w:val="11"/>
          <w:szCs w:val="11"/>
          <w:color w:val="auto"/>
        </w:rPr>
        <w:t>there are no Encumbrances over the property of any Transaction Party other than Permitted Encumbrances;</w:t>
      </w:r>
    </w:p>
    <w:p>
      <w:pPr>
        <w:spacing w:after="0" w:line="41" w:lineRule="exact"/>
        <w:rPr>
          <w:rFonts w:ascii="Arial" w:cs="Arial" w:eastAsia="Arial" w:hAnsi="Arial"/>
          <w:sz w:val="11"/>
          <w:szCs w:val="11"/>
          <w:color w:val="auto"/>
        </w:rPr>
      </w:pPr>
    </w:p>
    <w:p>
      <w:pPr>
        <w:ind w:left="1080" w:hanging="280"/>
        <w:spacing w:after="0"/>
        <w:tabs>
          <w:tab w:leader="none" w:pos="1080" w:val="left"/>
        </w:tabs>
        <w:numPr>
          <w:ilvl w:val="0"/>
          <w:numId w:val="129"/>
        </w:numPr>
        <w:rPr>
          <w:rFonts w:ascii="Arial" w:cs="Arial" w:eastAsia="Arial" w:hAnsi="Arial"/>
          <w:sz w:val="11"/>
          <w:szCs w:val="11"/>
          <w:color w:val="auto"/>
        </w:rPr>
      </w:pPr>
      <w:r>
        <w:rPr>
          <w:rFonts w:ascii="Arial" w:cs="Arial" w:eastAsia="Arial" w:hAnsi="Arial"/>
          <w:sz w:val="11"/>
          <w:szCs w:val="11"/>
          <w:b w:val="1"/>
          <w:bCs w:val="1"/>
          <w:color w:val="auto"/>
        </w:rPr>
        <w:t xml:space="preserve">no existing default: </w:t>
      </w:r>
      <w:r>
        <w:rPr>
          <w:rFonts w:ascii="Arial" w:cs="Arial" w:eastAsia="Arial" w:hAnsi="Arial"/>
          <w:sz w:val="11"/>
          <w:szCs w:val="11"/>
          <w:color w:val="auto"/>
        </w:rPr>
        <w:t>no Event of Default, Review Event or Potential Event of Default subsists;</w:t>
      </w:r>
    </w:p>
    <w:p>
      <w:pPr>
        <w:spacing w:after="0" w:line="37" w:lineRule="exact"/>
        <w:rPr>
          <w:rFonts w:ascii="Arial" w:cs="Arial" w:eastAsia="Arial" w:hAnsi="Arial"/>
          <w:sz w:val="11"/>
          <w:szCs w:val="11"/>
          <w:color w:val="auto"/>
        </w:rPr>
      </w:pPr>
    </w:p>
    <w:p>
      <w:pPr>
        <w:ind w:left="1080" w:right="1180" w:hanging="280"/>
        <w:spacing w:after="0" w:line="268" w:lineRule="auto"/>
        <w:tabs>
          <w:tab w:leader="none" w:pos="1080" w:val="left"/>
        </w:tabs>
        <w:numPr>
          <w:ilvl w:val="0"/>
          <w:numId w:val="129"/>
        </w:numPr>
        <w:rPr>
          <w:rFonts w:ascii="Arial" w:cs="Arial" w:eastAsia="Arial" w:hAnsi="Arial"/>
          <w:sz w:val="11"/>
          <w:szCs w:val="11"/>
          <w:color w:val="auto"/>
        </w:rPr>
      </w:pPr>
      <w:r>
        <w:rPr>
          <w:rFonts w:ascii="Arial" w:cs="Arial" w:eastAsia="Arial" w:hAnsi="Arial"/>
          <w:sz w:val="11"/>
          <w:szCs w:val="11"/>
          <w:b w:val="1"/>
          <w:bCs w:val="1"/>
          <w:color w:val="auto"/>
        </w:rPr>
        <w:t xml:space="preserve">ranking of obligations: </w:t>
      </w:r>
      <w:r>
        <w:rPr>
          <w:rFonts w:ascii="Arial" w:cs="Arial" w:eastAsia="Arial" w:hAnsi="Arial"/>
          <w:sz w:val="11"/>
          <w:szCs w:val="11"/>
          <w:color w:val="auto"/>
        </w:rPr>
        <w:t>each obligation of the Borrower under this document ranks at least pari passu with all unsecured and unsubordinated</w:t>
      </w:r>
      <w:r>
        <w:rPr>
          <w:rFonts w:ascii="Arial" w:cs="Arial" w:eastAsia="Arial" w:hAnsi="Arial"/>
          <w:sz w:val="11"/>
          <w:szCs w:val="11"/>
          <w:b w:val="1"/>
          <w:bCs w:val="1"/>
          <w:color w:val="auto"/>
        </w:rPr>
        <w:t xml:space="preserve"> </w:t>
      </w:r>
      <w:r>
        <w:rPr>
          <w:rFonts w:ascii="Arial" w:cs="Arial" w:eastAsia="Arial" w:hAnsi="Arial"/>
          <w:sz w:val="11"/>
          <w:szCs w:val="11"/>
          <w:color w:val="auto"/>
        </w:rPr>
        <w:t>obligations of the Borrower except obligations mandatorily preferred by law;</w:t>
      </w:r>
    </w:p>
    <w:p>
      <w:pPr>
        <w:spacing w:after="0" w:line="10" w:lineRule="exact"/>
        <w:rPr>
          <w:rFonts w:ascii="Arial" w:cs="Arial" w:eastAsia="Arial" w:hAnsi="Arial"/>
          <w:sz w:val="11"/>
          <w:szCs w:val="11"/>
          <w:color w:val="auto"/>
        </w:rPr>
      </w:pPr>
    </w:p>
    <w:p>
      <w:pPr>
        <w:ind w:left="1080" w:right="440" w:hanging="280"/>
        <w:spacing w:after="0" w:line="268" w:lineRule="auto"/>
        <w:tabs>
          <w:tab w:leader="none" w:pos="1080" w:val="left"/>
        </w:tabs>
        <w:numPr>
          <w:ilvl w:val="0"/>
          <w:numId w:val="129"/>
        </w:numPr>
        <w:rPr>
          <w:rFonts w:ascii="Arial" w:cs="Arial" w:eastAsia="Arial" w:hAnsi="Arial"/>
          <w:sz w:val="11"/>
          <w:szCs w:val="11"/>
          <w:color w:val="auto"/>
        </w:rPr>
      </w:pPr>
      <w:r>
        <w:rPr>
          <w:rFonts w:ascii="Arial" w:cs="Arial" w:eastAsia="Arial" w:hAnsi="Arial"/>
          <w:sz w:val="11"/>
          <w:szCs w:val="11"/>
          <w:b w:val="1"/>
          <w:bCs w:val="1"/>
          <w:color w:val="auto"/>
        </w:rPr>
        <w:t xml:space="preserve">warranties correct: </w:t>
      </w:r>
      <w:r>
        <w:rPr>
          <w:rFonts w:ascii="Arial" w:cs="Arial" w:eastAsia="Arial" w:hAnsi="Arial"/>
          <w:sz w:val="11"/>
          <w:szCs w:val="11"/>
          <w:color w:val="auto"/>
        </w:rPr>
        <w:t>the representations and warranties given by any Transaction Party in any Transaction Document are correct in all material respects and</w:t>
      </w:r>
      <w:r>
        <w:rPr>
          <w:rFonts w:ascii="Arial" w:cs="Arial" w:eastAsia="Arial" w:hAnsi="Arial"/>
          <w:sz w:val="11"/>
          <w:szCs w:val="11"/>
          <w:b w:val="1"/>
          <w:bCs w:val="1"/>
          <w:color w:val="auto"/>
        </w:rPr>
        <w:t xml:space="preserve"> </w:t>
      </w:r>
      <w:r>
        <w:rPr>
          <w:rFonts w:ascii="Arial" w:cs="Arial" w:eastAsia="Arial" w:hAnsi="Arial"/>
          <w:sz w:val="11"/>
          <w:szCs w:val="11"/>
          <w:color w:val="auto"/>
        </w:rPr>
        <w:t>not misleading in any material respect and will be when given or repeated;</w:t>
      </w:r>
    </w:p>
    <w:p>
      <w:pPr>
        <w:spacing w:after="0" w:line="10" w:lineRule="exact"/>
        <w:rPr>
          <w:rFonts w:ascii="Arial" w:cs="Arial" w:eastAsia="Arial" w:hAnsi="Arial"/>
          <w:sz w:val="11"/>
          <w:szCs w:val="11"/>
          <w:color w:val="auto"/>
        </w:rPr>
      </w:pPr>
    </w:p>
    <w:p>
      <w:pPr>
        <w:ind w:left="1080" w:right="660" w:hanging="280"/>
        <w:spacing w:after="0" w:line="268" w:lineRule="auto"/>
        <w:tabs>
          <w:tab w:leader="none" w:pos="1080" w:val="left"/>
        </w:tabs>
        <w:numPr>
          <w:ilvl w:val="0"/>
          <w:numId w:val="129"/>
        </w:numPr>
        <w:rPr>
          <w:rFonts w:ascii="Arial" w:cs="Arial" w:eastAsia="Arial" w:hAnsi="Arial"/>
          <w:sz w:val="11"/>
          <w:szCs w:val="11"/>
          <w:color w:val="auto"/>
        </w:rPr>
      </w:pPr>
      <w:r>
        <w:rPr>
          <w:rFonts w:ascii="Arial" w:cs="Arial" w:eastAsia="Arial" w:hAnsi="Arial"/>
          <w:sz w:val="11"/>
          <w:szCs w:val="11"/>
          <w:b w:val="1"/>
          <w:bCs w:val="1"/>
          <w:color w:val="auto"/>
        </w:rPr>
        <w:t xml:space="preserve">no immunity: </w:t>
      </w:r>
      <w:r>
        <w:rPr>
          <w:rFonts w:ascii="Arial" w:cs="Arial" w:eastAsia="Arial" w:hAnsi="Arial"/>
          <w:sz w:val="11"/>
          <w:szCs w:val="11"/>
          <w:color w:val="auto"/>
        </w:rPr>
        <w:t>each Transaction Party and its property are free of any right of immunity from set-off, proceedings or execution in relation to its obligations</w:t>
      </w:r>
      <w:r>
        <w:rPr>
          <w:rFonts w:ascii="Arial" w:cs="Arial" w:eastAsia="Arial" w:hAnsi="Arial"/>
          <w:sz w:val="11"/>
          <w:szCs w:val="11"/>
          <w:b w:val="1"/>
          <w:bCs w:val="1"/>
          <w:color w:val="auto"/>
        </w:rPr>
        <w:t xml:space="preserve"> </w:t>
      </w:r>
      <w:r>
        <w:rPr>
          <w:rFonts w:ascii="Arial" w:cs="Arial" w:eastAsia="Arial" w:hAnsi="Arial"/>
          <w:sz w:val="11"/>
          <w:szCs w:val="11"/>
          <w:color w:val="auto"/>
        </w:rPr>
        <w:t>under any Transaction Document;</w:t>
      </w:r>
    </w:p>
    <w:p>
      <w:pPr>
        <w:spacing w:after="0" w:line="10" w:lineRule="exact"/>
        <w:rPr>
          <w:rFonts w:ascii="Arial" w:cs="Arial" w:eastAsia="Arial" w:hAnsi="Arial"/>
          <w:sz w:val="11"/>
          <w:szCs w:val="11"/>
          <w:color w:val="auto"/>
        </w:rPr>
      </w:pPr>
    </w:p>
    <w:p>
      <w:pPr>
        <w:ind w:left="1080" w:hanging="280"/>
        <w:spacing w:after="0"/>
        <w:tabs>
          <w:tab w:leader="none" w:pos="1080" w:val="left"/>
        </w:tabs>
        <w:numPr>
          <w:ilvl w:val="0"/>
          <w:numId w:val="129"/>
        </w:numPr>
        <w:rPr>
          <w:rFonts w:ascii="Arial" w:cs="Arial" w:eastAsia="Arial" w:hAnsi="Arial"/>
          <w:sz w:val="11"/>
          <w:szCs w:val="11"/>
          <w:color w:val="auto"/>
        </w:rPr>
      </w:pPr>
      <w:r>
        <w:rPr>
          <w:rFonts w:ascii="Arial" w:cs="Arial" w:eastAsia="Arial" w:hAnsi="Arial"/>
          <w:sz w:val="11"/>
          <w:szCs w:val="11"/>
          <w:b w:val="1"/>
          <w:bCs w:val="1"/>
          <w:color w:val="auto"/>
        </w:rPr>
        <w:t xml:space="preserve">insurance: </w:t>
      </w:r>
      <w:r>
        <w:rPr>
          <w:rFonts w:ascii="Arial" w:cs="Arial" w:eastAsia="Arial" w:hAnsi="Arial"/>
          <w:sz w:val="11"/>
          <w:szCs w:val="11"/>
          <w:color w:val="auto"/>
        </w:rPr>
        <w:t>the Insurances are enforceable against the relevant insurer in accordance with their terms and are not void or voidable;</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129"/>
        </w:numPr>
        <w:rPr>
          <w:rFonts w:ascii="Arial" w:cs="Arial" w:eastAsia="Arial" w:hAnsi="Arial"/>
          <w:sz w:val="11"/>
          <w:szCs w:val="11"/>
          <w:color w:val="auto"/>
        </w:rPr>
      </w:pPr>
      <w:r>
        <w:rPr>
          <w:rFonts w:ascii="Arial" w:cs="Arial" w:eastAsia="Arial" w:hAnsi="Arial"/>
          <w:sz w:val="11"/>
          <w:szCs w:val="11"/>
          <w:b w:val="1"/>
          <w:bCs w:val="1"/>
          <w:color w:val="auto"/>
        </w:rPr>
        <w:t xml:space="preserve">trust provisions: </w:t>
      </w:r>
      <w:r>
        <w:rPr>
          <w:rFonts w:ascii="Arial" w:cs="Arial" w:eastAsia="Arial" w:hAnsi="Arial"/>
          <w:sz w:val="11"/>
          <w:szCs w:val="11"/>
          <w:color w:val="auto"/>
        </w:rPr>
        <w:t>in relation to each Transaction Party which enters into any Transaction Document as trustee of a Trust:</w:t>
      </w:r>
    </w:p>
    <w:p>
      <w:pPr>
        <w:spacing w:after="0" w:line="52" w:lineRule="exact"/>
        <w:rPr>
          <w:rFonts w:ascii="Arial" w:cs="Arial" w:eastAsia="Arial" w:hAnsi="Arial"/>
          <w:sz w:val="11"/>
          <w:szCs w:val="11"/>
          <w:color w:val="auto"/>
        </w:rPr>
      </w:pPr>
    </w:p>
    <w:p>
      <w:pPr>
        <w:ind w:left="1400" w:hanging="285"/>
        <w:spacing w:after="0"/>
        <w:tabs>
          <w:tab w:leader="none" w:pos="1400" w:val="left"/>
        </w:tabs>
        <w:numPr>
          <w:ilvl w:val="1"/>
          <w:numId w:val="129"/>
        </w:numPr>
        <w:rPr>
          <w:rFonts w:ascii="Arial" w:cs="Arial" w:eastAsia="Arial" w:hAnsi="Arial"/>
          <w:sz w:val="11"/>
          <w:szCs w:val="11"/>
          <w:color w:val="auto"/>
        </w:rPr>
      </w:pPr>
      <w:r>
        <w:rPr>
          <w:rFonts w:ascii="Arial" w:cs="Arial" w:eastAsia="Arial" w:hAnsi="Arial"/>
          <w:sz w:val="11"/>
          <w:szCs w:val="11"/>
          <w:color w:val="auto"/>
        </w:rPr>
        <w:t>the Trustee has power as trustee of the Trust to execute and perform its obligations under the Transaction Documents;</w:t>
      </w:r>
    </w:p>
    <w:p>
      <w:pPr>
        <w:spacing w:after="0" w:line="46" w:lineRule="exact"/>
        <w:rPr>
          <w:rFonts w:ascii="Arial" w:cs="Arial" w:eastAsia="Arial" w:hAnsi="Arial"/>
          <w:sz w:val="11"/>
          <w:szCs w:val="11"/>
          <w:color w:val="auto"/>
        </w:rPr>
      </w:pPr>
    </w:p>
    <w:p>
      <w:pPr>
        <w:ind w:left="1400" w:right="380" w:hanging="285"/>
        <w:spacing w:after="0" w:line="256" w:lineRule="auto"/>
        <w:tabs>
          <w:tab w:leader="none" w:pos="1400" w:val="left"/>
        </w:tabs>
        <w:numPr>
          <w:ilvl w:val="1"/>
          <w:numId w:val="129"/>
        </w:numPr>
        <w:rPr>
          <w:rFonts w:ascii="Arial" w:cs="Arial" w:eastAsia="Arial" w:hAnsi="Arial"/>
          <w:sz w:val="11"/>
          <w:szCs w:val="11"/>
          <w:color w:val="auto"/>
        </w:rPr>
      </w:pPr>
      <w:r>
        <w:rPr>
          <w:rFonts w:ascii="Arial" w:cs="Arial" w:eastAsia="Arial" w:hAnsi="Arial"/>
          <w:sz w:val="11"/>
          <w:szCs w:val="11"/>
          <w:color w:val="auto"/>
        </w:rPr>
        <w:t>the Trustee, in executing the Transaction Documents and entering into those transactions, have properly performed their obligations to the beneficiaries of the Trust;</w:t>
      </w:r>
    </w:p>
    <w:p>
      <w:pPr>
        <w:spacing w:after="0" w:line="22" w:lineRule="exact"/>
        <w:rPr>
          <w:rFonts w:ascii="Arial" w:cs="Arial" w:eastAsia="Arial" w:hAnsi="Arial"/>
          <w:sz w:val="11"/>
          <w:szCs w:val="11"/>
          <w:color w:val="auto"/>
        </w:rPr>
      </w:pPr>
    </w:p>
    <w:p>
      <w:pPr>
        <w:ind w:left="1400" w:right="240" w:hanging="285"/>
        <w:spacing w:after="0" w:line="256" w:lineRule="auto"/>
        <w:tabs>
          <w:tab w:leader="none" w:pos="1400" w:val="left"/>
        </w:tabs>
        <w:numPr>
          <w:ilvl w:val="1"/>
          <w:numId w:val="129"/>
        </w:numPr>
        <w:rPr>
          <w:rFonts w:ascii="Arial" w:cs="Arial" w:eastAsia="Arial" w:hAnsi="Arial"/>
          <w:sz w:val="11"/>
          <w:szCs w:val="11"/>
          <w:color w:val="auto"/>
        </w:rPr>
      </w:pPr>
      <w:r>
        <w:rPr>
          <w:rFonts w:ascii="Arial" w:cs="Arial" w:eastAsia="Arial" w:hAnsi="Arial"/>
          <w:sz w:val="11"/>
          <w:szCs w:val="11"/>
          <w:color w:val="auto"/>
        </w:rPr>
        <w:t>all necessary action required by the Trust Deed to authorise the unconditional execution and delivery of, and compliance with its obligations under, the Transaction Documents has been taken;</w:t>
      </w:r>
    </w:p>
    <w:p>
      <w:pPr>
        <w:spacing w:after="0" w:line="30" w:lineRule="exact"/>
        <w:rPr>
          <w:rFonts w:ascii="Arial" w:cs="Arial" w:eastAsia="Arial" w:hAnsi="Arial"/>
          <w:sz w:val="11"/>
          <w:szCs w:val="11"/>
          <w:color w:val="auto"/>
        </w:rPr>
      </w:pPr>
    </w:p>
    <w:p>
      <w:pPr>
        <w:ind w:left="1400" w:hanging="285"/>
        <w:spacing w:after="0"/>
        <w:tabs>
          <w:tab w:leader="none" w:pos="1400" w:val="left"/>
        </w:tabs>
        <w:numPr>
          <w:ilvl w:val="1"/>
          <w:numId w:val="129"/>
        </w:numPr>
        <w:rPr>
          <w:rFonts w:ascii="Arial" w:cs="Arial" w:eastAsia="Arial" w:hAnsi="Arial"/>
          <w:sz w:val="11"/>
          <w:szCs w:val="11"/>
          <w:color w:val="auto"/>
        </w:rPr>
      </w:pPr>
      <w:r>
        <w:rPr>
          <w:rFonts w:ascii="Arial" w:cs="Arial" w:eastAsia="Arial" w:hAnsi="Arial"/>
          <w:sz w:val="11"/>
          <w:szCs w:val="11"/>
          <w:color w:val="auto"/>
        </w:rPr>
        <w:t>the Trustee is the only trustee of the Trust;</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129"/>
        </w:numPr>
        <w:rPr>
          <w:rFonts w:ascii="Arial" w:cs="Arial" w:eastAsia="Arial" w:hAnsi="Arial"/>
          <w:sz w:val="11"/>
          <w:szCs w:val="11"/>
          <w:color w:val="auto"/>
        </w:rPr>
      </w:pPr>
      <w:r>
        <w:rPr>
          <w:rFonts w:ascii="Arial" w:cs="Arial" w:eastAsia="Arial" w:hAnsi="Arial"/>
          <w:sz w:val="11"/>
          <w:szCs w:val="11"/>
          <w:color w:val="auto"/>
        </w:rPr>
        <w:t>no effective action has been taken to remove the Trustee as trustee of the Trust or to appoint an additional trustee of the Trust;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37</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05" w:name="page106"/>
    <w:bookmarkEnd w:id="105"/>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00" w:hanging="292"/>
        <w:spacing w:after="0"/>
        <w:tabs>
          <w:tab w:leader="none" w:pos="1400" w:val="left"/>
        </w:tabs>
        <w:numPr>
          <w:ilvl w:val="0"/>
          <w:numId w:val="130"/>
        </w:numPr>
        <w:rPr>
          <w:rFonts w:ascii="Arial" w:cs="Arial" w:eastAsia="Arial" w:hAnsi="Arial"/>
          <w:sz w:val="11"/>
          <w:szCs w:val="11"/>
          <w:color w:val="auto"/>
        </w:rPr>
      </w:pPr>
      <w:r>
        <w:rPr>
          <w:rFonts w:ascii="Arial" w:cs="Arial" w:eastAsia="Arial" w:hAnsi="Arial"/>
          <w:sz w:val="11"/>
          <w:szCs w:val="11"/>
          <w:color w:val="auto"/>
        </w:rPr>
        <w:t>(A)   the Trustee has a right to be fully</w:t>
      </w:r>
    </w:p>
    <w:p>
      <w:pPr>
        <w:ind w:left="1680"/>
        <w:spacing w:after="0" w:line="199" w:lineRule="auto"/>
        <w:rPr>
          <w:sz w:val="20"/>
          <w:szCs w:val="20"/>
          <w:color w:val="auto"/>
        </w:rPr>
      </w:pPr>
      <w:r>
        <w:rPr>
          <w:rFonts w:ascii="Arial" w:cs="Arial" w:eastAsia="Arial" w:hAnsi="Arial"/>
          <w:sz w:val="11"/>
          <w:szCs w:val="11"/>
          <w:color w:val="auto"/>
        </w:rPr>
        <w:t>indemnified out of the property of the Trust in relation to all</w:t>
      </w:r>
    </w:p>
    <w:p>
      <w:pPr>
        <w:ind w:left="1680"/>
        <w:spacing w:after="0" w:line="237" w:lineRule="auto"/>
        <w:rPr>
          <w:sz w:val="20"/>
          <w:szCs w:val="20"/>
          <w:color w:val="auto"/>
        </w:rPr>
      </w:pPr>
      <w:r>
        <w:rPr>
          <w:rFonts w:ascii="Arial" w:cs="Arial" w:eastAsia="Arial" w:hAnsi="Arial"/>
          <w:sz w:val="11"/>
          <w:szCs w:val="11"/>
          <w:color w:val="auto"/>
        </w:rPr>
        <w:t>of its obligations under the Transaction Documents;</w:t>
      </w:r>
    </w:p>
    <w:p>
      <w:pPr>
        <w:spacing w:after="0" w:line="124" w:lineRule="exact"/>
        <w:rPr>
          <w:sz w:val="20"/>
          <w:szCs w:val="20"/>
          <w:color w:val="auto"/>
        </w:rPr>
      </w:pPr>
    </w:p>
    <w:p>
      <w:pPr>
        <w:ind w:left="1680" w:right="5000" w:hanging="287"/>
        <w:spacing w:after="0" w:line="250" w:lineRule="auto"/>
        <w:tabs>
          <w:tab w:leader="none" w:pos="1680" w:val="left"/>
        </w:tabs>
        <w:numPr>
          <w:ilvl w:val="2"/>
          <w:numId w:val="131"/>
        </w:numPr>
        <w:rPr>
          <w:rFonts w:ascii="Arial" w:cs="Arial" w:eastAsia="Arial" w:hAnsi="Arial"/>
          <w:sz w:val="9"/>
          <w:szCs w:val="9"/>
          <w:color w:val="auto"/>
        </w:rPr>
      </w:pPr>
      <w:r>
        <w:rPr>
          <w:rFonts w:ascii="Arial" w:cs="Arial" w:eastAsia="Arial" w:hAnsi="Arial"/>
          <w:sz w:val="9"/>
          <w:szCs w:val="9"/>
          <w:color w:val="auto"/>
        </w:rPr>
        <w:t>the Trustee has not released or disposed of its equitable lien over the property of the Trust which secures</w:t>
      </w:r>
    </w:p>
    <w:p>
      <w:pPr>
        <w:ind w:left="1680"/>
        <w:spacing w:after="0" w:line="237" w:lineRule="auto"/>
        <w:rPr>
          <w:rFonts w:ascii="Arial" w:cs="Arial" w:eastAsia="Arial" w:hAnsi="Arial"/>
          <w:sz w:val="9"/>
          <w:szCs w:val="9"/>
          <w:color w:val="auto"/>
        </w:rPr>
      </w:pPr>
      <w:r>
        <w:rPr>
          <w:rFonts w:ascii="Arial" w:cs="Arial" w:eastAsia="Arial" w:hAnsi="Arial"/>
          <w:sz w:val="11"/>
          <w:szCs w:val="11"/>
          <w:color w:val="auto"/>
        </w:rPr>
        <w:t>that indemnity; and</w:t>
      </w:r>
    </w:p>
    <w:p>
      <w:pPr>
        <w:spacing w:after="0" w:line="131" w:lineRule="exact"/>
        <w:rPr>
          <w:rFonts w:ascii="Arial" w:cs="Arial" w:eastAsia="Arial" w:hAnsi="Arial"/>
          <w:sz w:val="9"/>
          <w:szCs w:val="9"/>
          <w:color w:val="auto"/>
        </w:rPr>
      </w:pPr>
    </w:p>
    <w:p>
      <w:pPr>
        <w:ind w:left="1680" w:hanging="287"/>
        <w:spacing w:after="0"/>
        <w:tabs>
          <w:tab w:leader="none" w:pos="1680" w:val="left"/>
        </w:tabs>
        <w:numPr>
          <w:ilvl w:val="2"/>
          <w:numId w:val="131"/>
        </w:numPr>
        <w:rPr>
          <w:rFonts w:ascii="Arial" w:cs="Arial" w:eastAsia="Arial" w:hAnsi="Arial"/>
          <w:sz w:val="11"/>
          <w:szCs w:val="11"/>
          <w:color w:val="auto"/>
        </w:rPr>
      </w:pPr>
      <w:r>
        <w:rPr>
          <w:rFonts w:ascii="Arial" w:cs="Arial" w:eastAsia="Arial" w:hAnsi="Arial"/>
          <w:sz w:val="11"/>
          <w:szCs w:val="11"/>
          <w:color w:val="auto"/>
        </w:rPr>
        <w:t>the property of the Trust is sufficient to satisfy that indemnity;</w:t>
      </w:r>
    </w:p>
    <w:p>
      <w:pPr>
        <w:spacing w:after="0" w:line="52" w:lineRule="exact"/>
        <w:rPr>
          <w:rFonts w:ascii="Arial" w:cs="Arial" w:eastAsia="Arial" w:hAnsi="Arial"/>
          <w:sz w:val="11"/>
          <w:szCs w:val="11"/>
          <w:color w:val="auto"/>
        </w:rPr>
      </w:pPr>
    </w:p>
    <w:p>
      <w:pPr>
        <w:ind w:left="1400" w:hanging="285"/>
        <w:spacing w:after="0"/>
        <w:tabs>
          <w:tab w:leader="none" w:pos="1400" w:val="left"/>
        </w:tabs>
        <w:numPr>
          <w:ilvl w:val="1"/>
          <w:numId w:val="132"/>
        </w:numPr>
        <w:rPr>
          <w:rFonts w:ascii="Arial" w:cs="Arial" w:eastAsia="Arial" w:hAnsi="Arial"/>
          <w:sz w:val="11"/>
          <w:szCs w:val="11"/>
          <w:color w:val="auto"/>
        </w:rPr>
      </w:pPr>
      <w:r>
        <w:rPr>
          <w:rFonts w:ascii="Arial" w:cs="Arial" w:eastAsia="Arial" w:hAnsi="Arial"/>
          <w:sz w:val="11"/>
          <w:szCs w:val="11"/>
          <w:color w:val="auto"/>
        </w:rPr>
        <w:t>the Trustee has complied with all of its obligations as trustee of the Trust in relation to execution of the Transaction Documents;</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32"/>
        </w:numPr>
        <w:rPr>
          <w:rFonts w:ascii="Arial" w:cs="Arial" w:eastAsia="Arial" w:hAnsi="Arial"/>
          <w:sz w:val="11"/>
          <w:szCs w:val="11"/>
          <w:color w:val="auto"/>
        </w:rPr>
      </w:pPr>
      <w:r>
        <w:rPr>
          <w:rFonts w:ascii="Arial" w:cs="Arial" w:eastAsia="Arial" w:hAnsi="Arial"/>
          <w:sz w:val="11"/>
          <w:szCs w:val="11"/>
          <w:color w:val="auto"/>
        </w:rPr>
        <w:t>no effective action has been taken or, so far as the Trustee is aware, is contemplated by the beneficiaries of the Trust to terminate the Trust;</w:t>
      </w:r>
    </w:p>
    <w:p>
      <w:pPr>
        <w:spacing w:after="0" w:line="61" w:lineRule="exact"/>
        <w:rPr>
          <w:rFonts w:ascii="Arial" w:cs="Arial" w:eastAsia="Arial" w:hAnsi="Arial"/>
          <w:sz w:val="11"/>
          <w:szCs w:val="11"/>
          <w:color w:val="auto"/>
        </w:rPr>
      </w:pPr>
    </w:p>
    <w:p>
      <w:pPr>
        <w:ind w:left="1400" w:hanging="285"/>
        <w:spacing w:after="0"/>
        <w:tabs>
          <w:tab w:leader="none" w:pos="1400" w:val="left"/>
        </w:tabs>
        <w:numPr>
          <w:ilvl w:val="1"/>
          <w:numId w:val="132"/>
        </w:numPr>
        <w:rPr>
          <w:rFonts w:ascii="Arial" w:cs="Arial" w:eastAsia="Arial" w:hAnsi="Arial"/>
          <w:sz w:val="11"/>
          <w:szCs w:val="11"/>
          <w:color w:val="auto"/>
        </w:rPr>
      </w:pPr>
      <w:r>
        <w:rPr>
          <w:rFonts w:ascii="Arial" w:cs="Arial" w:eastAsia="Arial" w:hAnsi="Arial"/>
          <w:sz w:val="11"/>
          <w:szCs w:val="11"/>
          <w:color w:val="auto"/>
        </w:rPr>
        <w:t>the Trustee has disclosed to the Bank full details of:</w:t>
      </w:r>
    </w:p>
    <w:p>
      <w:pPr>
        <w:spacing w:after="0" w:line="68" w:lineRule="exact"/>
        <w:rPr>
          <w:rFonts w:ascii="Arial" w:cs="Arial" w:eastAsia="Arial" w:hAnsi="Arial"/>
          <w:sz w:val="11"/>
          <w:szCs w:val="11"/>
          <w:color w:val="auto"/>
        </w:rPr>
      </w:pPr>
    </w:p>
    <w:p>
      <w:pPr>
        <w:ind w:left="1660" w:right="440" w:hanging="275"/>
        <w:spacing w:after="0" w:line="256" w:lineRule="auto"/>
        <w:tabs>
          <w:tab w:leader="none" w:pos="1660" w:val="left"/>
        </w:tabs>
        <w:numPr>
          <w:ilvl w:val="2"/>
          <w:numId w:val="132"/>
        </w:numPr>
        <w:rPr>
          <w:rFonts w:ascii="Arial" w:cs="Arial" w:eastAsia="Arial" w:hAnsi="Arial"/>
          <w:sz w:val="11"/>
          <w:szCs w:val="11"/>
          <w:color w:val="auto"/>
        </w:rPr>
      </w:pPr>
      <w:r>
        <w:rPr>
          <w:rFonts w:ascii="Arial" w:cs="Arial" w:eastAsia="Arial" w:hAnsi="Arial"/>
          <w:sz w:val="11"/>
          <w:szCs w:val="11"/>
          <w:color w:val="auto"/>
        </w:rPr>
        <w:t>the Trust and any other trust or fiduciary relationship affecting the property of the Trust and, without limitation, has given to the Bank copies of any instruments creating or evidencing the Trust; and</w:t>
      </w:r>
    </w:p>
    <w:p>
      <w:pPr>
        <w:spacing w:after="0" w:line="30" w:lineRule="exact"/>
        <w:rPr>
          <w:rFonts w:ascii="Arial" w:cs="Arial" w:eastAsia="Arial" w:hAnsi="Arial"/>
          <w:sz w:val="11"/>
          <w:szCs w:val="11"/>
          <w:color w:val="auto"/>
        </w:rPr>
      </w:pPr>
    </w:p>
    <w:p>
      <w:pPr>
        <w:ind w:left="1660" w:hanging="275"/>
        <w:spacing w:after="0"/>
        <w:tabs>
          <w:tab w:leader="none" w:pos="1660" w:val="left"/>
        </w:tabs>
        <w:numPr>
          <w:ilvl w:val="2"/>
          <w:numId w:val="132"/>
        </w:numPr>
        <w:rPr>
          <w:rFonts w:ascii="Arial" w:cs="Arial" w:eastAsia="Arial" w:hAnsi="Arial"/>
          <w:sz w:val="11"/>
          <w:szCs w:val="11"/>
          <w:color w:val="auto"/>
        </w:rPr>
      </w:pPr>
      <w:r>
        <w:rPr>
          <w:rFonts w:ascii="Arial" w:cs="Arial" w:eastAsia="Arial" w:hAnsi="Arial"/>
          <w:sz w:val="11"/>
          <w:szCs w:val="11"/>
          <w:color w:val="auto"/>
        </w:rPr>
        <w:t>the Trustee’s other trusteeships (if any);</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132"/>
        </w:numPr>
        <w:rPr>
          <w:rFonts w:ascii="Arial" w:cs="Arial" w:eastAsia="Arial" w:hAnsi="Arial"/>
          <w:sz w:val="11"/>
          <w:szCs w:val="11"/>
          <w:color w:val="auto"/>
        </w:rPr>
      </w:pPr>
      <w:r>
        <w:rPr>
          <w:rFonts w:ascii="Arial" w:cs="Arial" w:eastAsia="Arial" w:hAnsi="Arial"/>
          <w:sz w:val="11"/>
          <w:szCs w:val="11"/>
          <w:color w:val="auto"/>
        </w:rPr>
        <w:t>the Trust is properly constituted and the Trust Deed is not void, voidable or otherwise unenforceable;</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32"/>
        </w:numPr>
        <w:rPr>
          <w:rFonts w:ascii="Arial" w:cs="Arial" w:eastAsia="Arial" w:hAnsi="Arial"/>
          <w:sz w:val="11"/>
          <w:szCs w:val="11"/>
          <w:color w:val="auto"/>
        </w:rPr>
      </w:pPr>
      <w:r>
        <w:rPr>
          <w:rFonts w:ascii="Arial" w:cs="Arial" w:eastAsia="Arial" w:hAnsi="Arial"/>
          <w:sz w:val="11"/>
          <w:szCs w:val="11"/>
          <w:color w:val="auto"/>
        </w:rPr>
        <w:t>the rights of the beneficiaries of the Trust in relation to, and their interest in, the property of the Trust are subject to:</w:t>
      </w:r>
    </w:p>
    <w:p>
      <w:pPr>
        <w:spacing w:after="0" w:line="46" w:lineRule="exact"/>
        <w:rPr>
          <w:rFonts w:ascii="Arial" w:cs="Arial" w:eastAsia="Arial" w:hAnsi="Arial"/>
          <w:sz w:val="11"/>
          <w:szCs w:val="11"/>
          <w:color w:val="auto"/>
        </w:rPr>
      </w:pPr>
    </w:p>
    <w:p>
      <w:pPr>
        <w:ind w:left="1660" w:hanging="275"/>
        <w:spacing w:after="0"/>
        <w:tabs>
          <w:tab w:leader="none" w:pos="1660" w:val="left"/>
        </w:tabs>
        <w:numPr>
          <w:ilvl w:val="2"/>
          <w:numId w:val="132"/>
        </w:numPr>
        <w:rPr>
          <w:rFonts w:ascii="Arial" w:cs="Arial" w:eastAsia="Arial" w:hAnsi="Arial"/>
          <w:sz w:val="11"/>
          <w:szCs w:val="11"/>
          <w:color w:val="auto"/>
        </w:rPr>
      </w:pPr>
      <w:r>
        <w:rPr>
          <w:rFonts w:ascii="Arial" w:cs="Arial" w:eastAsia="Arial" w:hAnsi="Arial"/>
          <w:sz w:val="11"/>
          <w:szCs w:val="11"/>
          <w:color w:val="auto"/>
        </w:rPr>
        <w:t>the rights of the Bank in relation to, and their respective interests in, the property of the Trust; and</w:t>
      </w:r>
    </w:p>
    <w:p>
      <w:pPr>
        <w:spacing w:after="0" w:line="46" w:lineRule="exact"/>
        <w:rPr>
          <w:rFonts w:ascii="Arial" w:cs="Arial" w:eastAsia="Arial" w:hAnsi="Arial"/>
          <w:sz w:val="11"/>
          <w:szCs w:val="11"/>
          <w:color w:val="auto"/>
        </w:rPr>
      </w:pPr>
    </w:p>
    <w:p>
      <w:pPr>
        <w:ind w:left="1660" w:hanging="275"/>
        <w:spacing w:after="0"/>
        <w:tabs>
          <w:tab w:leader="none" w:pos="1660" w:val="left"/>
        </w:tabs>
        <w:numPr>
          <w:ilvl w:val="2"/>
          <w:numId w:val="132"/>
        </w:numPr>
        <w:rPr>
          <w:rFonts w:ascii="Arial" w:cs="Arial" w:eastAsia="Arial" w:hAnsi="Arial"/>
          <w:sz w:val="11"/>
          <w:szCs w:val="11"/>
          <w:color w:val="auto"/>
        </w:rPr>
      </w:pPr>
      <w:r>
        <w:rPr>
          <w:rFonts w:ascii="Arial" w:cs="Arial" w:eastAsia="Arial" w:hAnsi="Arial"/>
          <w:sz w:val="11"/>
          <w:szCs w:val="11"/>
          <w:color w:val="auto"/>
        </w:rPr>
        <w:t>any rights or interests in the property of the Trust to which the Bank may from time to time be subrogated; and</w:t>
      </w:r>
    </w:p>
    <w:p>
      <w:pPr>
        <w:spacing w:after="0" w:line="61" w:lineRule="exact"/>
        <w:rPr>
          <w:rFonts w:ascii="Arial" w:cs="Arial" w:eastAsia="Arial" w:hAnsi="Arial"/>
          <w:sz w:val="11"/>
          <w:szCs w:val="11"/>
          <w:color w:val="auto"/>
        </w:rPr>
      </w:pPr>
    </w:p>
    <w:p>
      <w:pPr>
        <w:ind w:left="1400" w:hanging="285"/>
        <w:spacing w:after="0"/>
        <w:tabs>
          <w:tab w:leader="none" w:pos="1400" w:val="left"/>
        </w:tabs>
        <w:numPr>
          <w:ilvl w:val="1"/>
          <w:numId w:val="132"/>
        </w:numPr>
        <w:rPr>
          <w:rFonts w:ascii="Arial" w:cs="Arial" w:eastAsia="Arial" w:hAnsi="Arial"/>
          <w:sz w:val="11"/>
          <w:szCs w:val="11"/>
          <w:color w:val="auto"/>
        </w:rPr>
      </w:pPr>
      <w:r>
        <w:rPr>
          <w:rFonts w:ascii="Arial" w:cs="Arial" w:eastAsia="Arial" w:hAnsi="Arial"/>
          <w:sz w:val="11"/>
          <w:szCs w:val="11"/>
          <w:color w:val="auto"/>
        </w:rPr>
        <w:t>the Trustee:</w:t>
      </w:r>
    </w:p>
    <w:p>
      <w:pPr>
        <w:spacing w:after="0" w:line="68" w:lineRule="exact"/>
        <w:rPr>
          <w:rFonts w:ascii="Arial" w:cs="Arial" w:eastAsia="Arial" w:hAnsi="Arial"/>
          <w:sz w:val="11"/>
          <w:szCs w:val="11"/>
          <w:color w:val="auto"/>
        </w:rPr>
      </w:pPr>
    </w:p>
    <w:p>
      <w:pPr>
        <w:ind w:left="1660" w:right="260" w:hanging="275"/>
        <w:spacing w:after="0" w:line="256" w:lineRule="auto"/>
        <w:tabs>
          <w:tab w:leader="none" w:pos="1660" w:val="left"/>
        </w:tabs>
        <w:numPr>
          <w:ilvl w:val="2"/>
          <w:numId w:val="132"/>
        </w:numPr>
        <w:rPr>
          <w:rFonts w:ascii="Arial" w:cs="Arial" w:eastAsia="Arial" w:hAnsi="Arial"/>
          <w:sz w:val="11"/>
          <w:szCs w:val="11"/>
          <w:color w:val="auto"/>
        </w:rPr>
      </w:pPr>
      <w:r>
        <w:rPr>
          <w:rFonts w:ascii="Arial" w:cs="Arial" w:eastAsia="Arial" w:hAnsi="Arial"/>
          <w:sz w:val="11"/>
          <w:szCs w:val="11"/>
          <w:color w:val="auto"/>
        </w:rPr>
        <w:t>if it is a corporation, is duly incorporated in accordance with the laws of its place of incorporation, validly exists under those laws and has the capacity to sue and be sued in its own name, to own property and to act as trustee of the Trust;</w:t>
      </w:r>
    </w:p>
    <w:p>
      <w:pPr>
        <w:spacing w:after="0" w:line="22" w:lineRule="exact"/>
        <w:rPr>
          <w:rFonts w:ascii="Arial" w:cs="Arial" w:eastAsia="Arial" w:hAnsi="Arial"/>
          <w:sz w:val="11"/>
          <w:szCs w:val="11"/>
          <w:color w:val="auto"/>
        </w:rPr>
      </w:pPr>
    </w:p>
    <w:p>
      <w:pPr>
        <w:ind w:left="1660" w:hanging="275"/>
        <w:spacing w:after="0"/>
        <w:tabs>
          <w:tab w:leader="none" w:pos="1660" w:val="left"/>
        </w:tabs>
        <w:numPr>
          <w:ilvl w:val="2"/>
          <w:numId w:val="132"/>
        </w:numPr>
        <w:rPr>
          <w:rFonts w:ascii="Arial" w:cs="Arial" w:eastAsia="Arial" w:hAnsi="Arial"/>
          <w:sz w:val="11"/>
          <w:szCs w:val="11"/>
          <w:color w:val="auto"/>
        </w:rPr>
      </w:pPr>
      <w:r>
        <w:rPr>
          <w:rFonts w:ascii="Arial" w:cs="Arial" w:eastAsia="Arial" w:hAnsi="Arial"/>
          <w:sz w:val="11"/>
          <w:szCs w:val="11"/>
          <w:color w:val="auto"/>
        </w:rPr>
        <w:t>if it is natural person, has the capacity to be trustee of the Trust;</w:t>
      </w:r>
    </w:p>
    <w:p>
      <w:pPr>
        <w:spacing w:after="0" w:line="55" w:lineRule="exact"/>
        <w:rPr>
          <w:rFonts w:ascii="Arial" w:cs="Arial" w:eastAsia="Arial" w:hAnsi="Arial"/>
          <w:sz w:val="11"/>
          <w:szCs w:val="11"/>
          <w:color w:val="auto"/>
        </w:rPr>
      </w:pPr>
    </w:p>
    <w:p>
      <w:pPr>
        <w:ind w:left="1080" w:hanging="280"/>
        <w:spacing w:after="0"/>
        <w:tabs>
          <w:tab w:leader="none" w:pos="1080" w:val="left"/>
        </w:tabs>
        <w:numPr>
          <w:ilvl w:val="0"/>
          <w:numId w:val="133"/>
        </w:numPr>
        <w:rPr>
          <w:rFonts w:ascii="Arial" w:cs="Arial" w:eastAsia="Arial" w:hAnsi="Arial"/>
          <w:sz w:val="11"/>
          <w:szCs w:val="11"/>
          <w:color w:val="auto"/>
        </w:rPr>
      </w:pPr>
      <w:r>
        <w:rPr>
          <w:rFonts w:ascii="Arial" w:cs="Arial" w:eastAsia="Arial" w:hAnsi="Arial"/>
          <w:sz w:val="11"/>
          <w:szCs w:val="11"/>
          <w:b w:val="1"/>
          <w:bCs w:val="1"/>
          <w:color w:val="auto"/>
        </w:rPr>
        <w:t xml:space="preserve">solvency: </w:t>
      </w:r>
      <w:r>
        <w:rPr>
          <w:rFonts w:ascii="Arial" w:cs="Arial" w:eastAsia="Arial" w:hAnsi="Arial"/>
          <w:sz w:val="11"/>
          <w:szCs w:val="11"/>
          <w:color w:val="auto"/>
        </w:rPr>
        <w:t>each Transaction party is not insolvent;</w:t>
      </w:r>
    </w:p>
    <w:p>
      <w:pPr>
        <w:spacing w:after="0" w:line="68" w:lineRule="exact"/>
        <w:rPr>
          <w:rFonts w:ascii="Arial" w:cs="Arial" w:eastAsia="Arial" w:hAnsi="Arial"/>
          <w:sz w:val="11"/>
          <w:szCs w:val="11"/>
          <w:color w:val="auto"/>
        </w:rPr>
      </w:pPr>
    </w:p>
    <w:p>
      <w:pPr>
        <w:ind w:left="1080" w:hanging="280"/>
        <w:spacing w:after="0"/>
        <w:tabs>
          <w:tab w:leader="none" w:pos="1080" w:val="left"/>
        </w:tabs>
        <w:numPr>
          <w:ilvl w:val="0"/>
          <w:numId w:val="133"/>
        </w:numPr>
        <w:rPr>
          <w:rFonts w:ascii="Arial" w:cs="Arial" w:eastAsia="Arial" w:hAnsi="Arial"/>
          <w:sz w:val="11"/>
          <w:szCs w:val="11"/>
          <w:color w:val="auto"/>
        </w:rPr>
      </w:pPr>
      <w:r>
        <w:rPr>
          <w:rFonts w:ascii="Arial" w:cs="Arial" w:eastAsia="Arial" w:hAnsi="Arial"/>
          <w:sz w:val="11"/>
          <w:szCs w:val="11"/>
          <w:b w:val="1"/>
          <w:bCs w:val="1"/>
          <w:color w:val="auto"/>
        </w:rPr>
        <w:t xml:space="preserve">corporate benefit: </w:t>
      </w:r>
      <w:r>
        <w:rPr>
          <w:rFonts w:ascii="Arial" w:cs="Arial" w:eastAsia="Arial" w:hAnsi="Arial"/>
          <w:sz w:val="11"/>
          <w:szCs w:val="11"/>
          <w:color w:val="auto"/>
        </w:rPr>
        <w:t>each of the Transaction Parties will receive corporate benefit by entering into the Transaction Documents to which they are a party.</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38</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06" w:name="page107"/>
    <w:bookmarkEnd w:id="106"/>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9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8.2</w:t>
      </w:r>
      <w:r>
        <w:rPr>
          <w:sz w:val="20"/>
          <w:szCs w:val="20"/>
          <w:color w:val="auto"/>
        </w:rPr>
        <w:tab/>
      </w:r>
      <w:r>
        <w:rPr>
          <w:rFonts w:ascii="Arial" w:cs="Arial" w:eastAsia="Arial" w:hAnsi="Arial"/>
          <w:sz w:val="12"/>
          <w:szCs w:val="12"/>
          <w:b w:val="1"/>
          <w:bCs w:val="1"/>
          <w:color w:val="auto"/>
        </w:rPr>
        <w:t>General</w:t>
      </w:r>
    </w:p>
    <w:p>
      <w:pPr>
        <w:spacing w:after="0" w:line="47" w:lineRule="exact"/>
        <w:rPr>
          <w:sz w:val="20"/>
          <w:szCs w:val="20"/>
          <w:color w:val="auto"/>
        </w:rPr>
      </w:pPr>
    </w:p>
    <w:p>
      <w:pPr>
        <w:ind w:left="1080" w:right="1400" w:hanging="280"/>
        <w:spacing w:after="0" w:line="256" w:lineRule="auto"/>
        <w:tabs>
          <w:tab w:leader="none" w:pos="1080" w:val="left"/>
        </w:tabs>
        <w:numPr>
          <w:ilvl w:val="0"/>
          <w:numId w:val="134"/>
        </w:numPr>
        <w:rPr>
          <w:rFonts w:ascii="Arial" w:cs="Arial" w:eastAsia="Arial" w:hAnsi="Arial"/>
          <w:sz w:val="11"/>
          <w:szCs w:val="11"/>
          <w:color w:val="auto"/>
        </w:rPr>
      </w:pPr>
      <w:r>
        <w:rPr>
          <w:rFonts w:ascii="Arial" w:cs="Arial" w:eastAsia="Arial" w:hAnsi="Arial"/>
          <w:sz w:val="11"/>
          <w:szCs w:val="11"/>
          <w:color w:val="auto"/>
        </w:rPr>
        <w:t>The interpretation of any statement contained in any representation or warranty will not be restricted by reference to or inference from any other statement contained in any other representation or warranty.</w:t>
      </w:r>
    </w:p>
    <w:p>
      <w:pPr>
        <w:spacing w:after="0" w:line="22" w:lineRule="exact"/>
        <w:rPr>
          <w:rFonts w:ascii="Arial" w:cs="Arial" w:eastAsia="Arial" w:hAnsi="Arial"/>
          <w:sz w:val="11"/>
          <w:szCs w:val="11"/>
          <w:color w:val="auto"/>
        </w:rPr>
      </w:pPr>
    </w:p>
    <w:p>
      <w:pPr>
        <w:ind w:left="1080" w:hanging="280"/>
        <w:spacing w:after="0"/>
        <w:tabs>
          <w:tab w:leader="none" w:pos="1080" w:val="left"/>
        </w:tabs>
        <w:numPr>
          <w:ilvl w:val="0"/>
          <w:numId w:val="134"/>
        </w:numPr>
        <w:rPr>
          <w:rFonts w:ascii="Arial" w:cs="Arial" w:eastAsia="Arial" w:hAnsi="Arial"/>
          <w:sz w:val="11"/>
          <w:szCs w:val="11"/>
          <w:color w:val="auto"/>
        </w:rPr>
      </w:pPr>
      <w:r>
        <w:rPr>
          <w:rFonts w:ascii="Arial" w:cs="Arial" w:eastAsia="Arial" w:hAnsi="Arial"/>
          <w:sz w:val="11"/>
          <w:szCs w:val="11"/>
          <w:color w:val="auto"/>
        </w:rPr>
        <w:t>The Borrower acknowledges that the Bank enters into the Transaction Documents in reliance on each representation and warranty.</w:t>
      </w:r>
    </w:p>
    <w:p>
      <w:pPr>
        <w:spacing w:after="0" w:line="46" w:lineRule="exact"/>
        <w:rPr>
          <w:rFonts w:ascii="Arial" w:cs="Arial" w:eastAsia="Arial" w:hAnsi="Arial"/>
          <w:sz w:val="11"/>
          <w:szCs w:val="11"/>
          <w:color w:val="auto"/>
        </w:rPr>
      </w:pPr>
    </w:p>
    <w:p>
      <w:pPr>
        <w:ind w:left="1080" w:right="360" w:hanging="280"/>
        <w:spacing w:after="0" w:line="242" w:lineRule="auto"/>
        <w:tabs>
          <w:tab w:leader="none" w:pos="1080" w:val="left"/>
        </w:tabs>
        <w:numPr>
          <w:ilvl w:val="0"/>
          <w:numId w:val="134"/>
        </w:numPr>
        <w:rPr>
          <w:rFonts w:ascii="Arial" w:cs="Arial" w:eastAsia="Arial" w:hAnsi="Arial"/>
          <w:sz w:val="11"/>
          <w:szCs w:val="11"/>
          <w:color w:val="auto"/>
        </w:rPr>
      </w:pPr>
      <w:r>
        <w:rPr>
          <w:rFonts w:ascii="Arial" w:cs="Arial" w:eastAsia="Arial" w:hAnsi="Arial"/>
          <w:sz w:val="11"/>
          <w:szCs w:val="11"/>
          <w:color w:val="auto"/>
        </w:rPr>
        <w:t>Each representation and warranty survives the execution of the Transaction Documents and is deemed to be repeated with reference to the facts and circumstances then existing on the date each Funding Notice is issued, on each Funding Date, on the last day of each Funding Period and on each day that an Annual Compliance Certificate or Interim Compliance Certificate is given.</w:t>
      </w:r>
    </w:p>
    <w:p>
      <w:pPr>
        <w:spacing w:after="0" w:line="272" w:lineRule="exact"/>
        <w:rPr>
          <w:sz w:val="20"/>
          <w:szCs w:val="20"/>
          <w:color w:val="auto"/>
        </w:rPr>
      </w:pPr>
    </w:p>
    <w:p>
      <w:pPr>
        <w:ind w:left="800" w:hanging="405"/>
        <w:spacing w:after="0"/>
        <w:tabs>
          <w:tab w:leader="none" w:pos="8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General obligations</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9.1</w:t>
      </w:r>
      <w:r>
        <w:rPr>
          <w:sz w:val="20"/>
          <w:szCs w:val="20"/>
          <w:color w:val="auto"/>
        </w:rPr>
        <w:tab/>
      </w:r>
      <w:r>
        <w:rPr>
          <w:rFonts w:ascii="Arial" w:cs="Arial" w:eastAsia="Arial" w:hAnsi="Arial"/>
          <w:sz w:val="12"/>
          <w:szCs w:val="12"/>
          <w:b w:val="1"/>
          <w:bCs w:val="1"/>
          <w:color w:val="auto"/>
        </w:rPr>
        <w:t>Fees</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Borrower must pay to the Bank:</w:t>
      </w:r>
    </w:p>
    <w:p>
      <w:pPr>
        <w:spacing w:after="0" w:line="63" w:lineRule="exact"/>
        <w:rPr>
          <w:sz w:val="20"/>
          <w:szCs w:val="20"/>
          <w:color w:val="auto"/>
        </w:rPr>
      </w:pPr>
    </w:p>
    <w:p>
      <w:pPr>
        <w:ind w:left="1100" w:hanging="285"/>
        <w:spacing w:after="0"/>
        <w:tabs>
          <w:tab w:leader="none" w:pos="1100" w:val="left"/>
        </w:tabs>
        <w:numPr>
          <w:ilvl w:val="0"/>
          <w:numId w:val="136"/>
        </w:numPr>
        <w:rPr>
          <w:rFonts w:ascii="Arial" w:cs="Arial" w:eastAsia="Arial" w:hAnsi="Arial"/>
          <w:sz w:val="11"/>
          <w:szCs w:val="11"/>
          <w:color w:val="auto"/>
        </w:rPr>
      </w:pPr>
      <w:r>
        <w:rPr>
          <w:rFonts w:ascii="Arial" w:cs="Arial" w:eastAsia="Arial" w:hAnsi="Arial"/>
          <w:sz w:val="11"/>
          <w:szCs w:val="11"/>
          <w:b w:val="1"/>
          <w:bCs w:val="1"/>
          <w:color w:val="auto"/>
        </w:rPr>
        <w:t>restructure fee</w:t>
      </w:r>
      <w:r>
        <w:rPr>
          <w:rFonts w:ascii="Arial" w:cs="Arial" w:eastAsia="Arial" w:hAnsi="Arial"/>
          <w:sz w:val="11"/>
          <w:szCs w:val="11"/>
          <w:color w:val="auto"/>
        </w:rPr>
        <w:t>: on or before execution of the Restatement Deed, a non- refundable Restructure Fee of $30,000 (which fee has been paid);</w:t>
      </w:r>
    </w:p>
    <w:p>
      <w:pPr>
        <w:spacing w:after="0" w:line="46" w:lineRule="exact"/>
        <w:rPr>
          <w:rFonts w:ascii="Arial" w:cs="Arial" w:eastAsia="Arial" w:hAnsi="Arial"/>
          <w:sz w:val="11"/>
          <w:szCs w:val="11"/>
          <w:color w:val="auto"/>
        </w:rPr>
      </w:pPr>
    </w:p>
    <w:p>
      <w:pPr>
        <w:ind w:left="1100" w:hanging="285"/>
        <w:spacing w:after="0"/>
        <w:tabs>
          <w:tab w:leader="none" w:pos="1100" w:val="left"/>
        </w:tabs>
        <w:numPr>
          <w:ilvl w:val="0"/>
          <w:numId w:val="136"/>
        </w:numPr>
        <w:rPr>
          <w:rFonts w:ascii="Arial" w:cs="Arial" w:eastAsia="Arial" w:hAnsi="Arial"/>
          <w:sz w:val="11"/>
          <w:szCs w:val="11"/>
          <w:color w:val="auto"/>
        </w:rPr>
      </w:pPr>
      <w:r>
        <w:rPr>
          <w:rFonts w:ascii="Arial" w:cs="Arial" w:eastAsia="Arial" w:hAnsi="Arial"/>
          <w:sz w:val="11"/>
          <w:szCs w:val="11"/>
          <w:b w:val="1"/>
          <w:bCs w:val="1"/>
          <w:color w:val="auto"/>
        </w:rPr>
        <w:t>restructure fee</w:t>
      </w:r>
      <w:r>
        <w:rPr>
          <w:rFonts w:ascii="Arial" w:cs="Arial" w:eastAsia="Arial" w:hAnsi="Arial"/>
          <w:sz w:val="11"/>
          <w:szCs w:val="11"/>
          <w:color w:val="auto"/>
        </w:rPr>
        <w:t>: on or before the ‘Amendment Date’ referred to in the Amendment Deed, a non-refundable Restructure &amp; Application Fee of</w:t>
      </w:r>
    </w:p>
    <w:p>
      <w:pPr>
        <w:spacing w:after="0" w:line="7" w:lineRule="exact"/>
        <w:rPr>
          <w:rFonts w:ascii="Arial" w:cs="Arial" w:eastAsia="Arial" w:hAnsi="Arial"/>
          <w:sz w:val="11"/>
          <w:szCs w:val="11"/>
          <w:color w:val="auto"/>
        </w:rPr>
      </w:pPr>
    </w:p>
    <w:p>
      <w:pPr>
        <w:ind w:left="1100"/>
        <w:spacing w:after="0"/>
        <w:rPr>
          <w:rFonts w:ascii="Arial" w:cs="Arial" w:eastAsia="Arial" w:hAnsi="Arial"/>
          <w:sz w:val="11"/>
          <w:szCs w:val="11"/>
          <w:color w:val="auto"/>
        </w:rPr>
      </w:pPr>
      <w:r>
        <w:rPr>
          <w:rFonts w:ascii="Arial" w:cs="Arial" w:eastAsia="Arial" w:hAnsi="Arial"/>
          <w:sz w:val="11"/>
          <w:szCs w:val="11"/>
          <w:color w:val="auto"/>
        </w:rPr>
        <w:t>$300,000 (less the $20,000 work fee referred to in the term sheet dated 17 December 2018 if the Borrower has paid that work fee to the Bank);</w:t>
      </w:r>
    </w:p>
    <w:p>
      <w:pPr>
        <w:spacing w:after="0" w:line="32" w:lineRule="exact"/>
        <w:rPr>
          <w:rFonts w:ascii="Arial" w:cs="Arial" w:eastAsia="Arial" w:hAnsi="Arial"/>
          <w:sz w:val="11"/>
          <w:szCs w:val="11"/>
          <w:color w:val="auto"/>
        </w:rPr>
      </w:pPr>
    </w:p>
    <w:p>
      <w:pPr>
        <w:ind w:left="1100" w:hanging="285"/>
        <w:spacing w:after="0"/>
        <w:tabs>
          <w:tab w:leader="none" w:pos="1100" w:val="left"/>
        </w:tabs>
        <w:numPr>
          <w:ilvl w:val="0"/>
          <w:numId w:val="136"/>
        </w:numPr>
        <w:rPr>
          <w:rFonts w:ascii="Arial" w:cs="Arial" w:eastAsia="Arial" w:hAnsi="Arial"/>
          <w:sz w:val="11"/>
          <w:szCs w:val="11"/>
          <w:color w:val="auto"/>
        </w:rPr>
      </w:pPr>
      <w:r>
        <w:rPr>
          <w:rFonts w:ascii="Arial" w:cs="Arial" w:eastAsia="Arial" w:hAnsi="Arial"/>
          <w:sz w:val="11"/>
          <w:szCs w:val="11"/>
          <w:b w:val="1"/>
          <w:bCs w:val="1"/>
          <w:color w:val="auto"/>
        </w:rPr>
        <w:t xml:space="preserve">Corporate Markets Loan Facility Fee: </w:t>
      </w:r>
      <w:r>
        <w:rPr>
          <w:rFonts w:ascii="Arial" w:cs="Arial" w:eastAsia="Arial" w:hAnsi="Arial"/>
          <w:sz w:val="11"/>
          <w:szCs w:val="11"/>
          <w:color w:val="auto"/>
        </w:rPr>
        <w:t>a non-refundable facility fee on the Facility Limit in respect of the Corporate Markets Loan Facility calculated</w:t>
      </w:r>
    </w:p>
    <w:p>
      <w:pPr>
        <w:spacing w:after="0" w:line="7" w:lineRule="exact"/>
        <w:rPr>
          <w:rFonts w:ascii="Arial" w:cs="Arial" w:eastAsia="Arial" w:hAnsi="Arial"/>
          <w:sz w:val="11"/>
          <w:szCs w:val="11"/>
          <w:color w:val="auto"/>
        </w:rPr>
      </w:pPr>
    </w:p>
    <w:p>
      <w:pPr>
        <w:ind w:left="1100" w:right="220"/>
        <w:spacing w:after="0" w:line="241" w:lineRule="auto"/>
        <w:rPr>
          <w:rFonts w:ascii="Arial" w:cs="Arial" w:eastAsia="Arial" w:hAnsi="Arial"/>
          <w:sz w:val="11"/>
          <w:szCs w:val="11"/>
          <w:color w:val="auto"/>
        </w:rPr>
      </w:pPr>
      <w:r>
        <w:rPr>
          <w:rFonts w:ascii="Arial" w:cs="Arial" w:eastAsia="Arial" w:hAnsi="Arial"/>
          <w:sz w:val="11"/>
          <w:szCs w:val="11"/>
          <w:color w:val="auto"/>
        </w:rPr>
        <w:t>at 0.95% per annum from the date of the ‘Variation Date’ under the Restatement Deed and at 1.00% per annum from the date of the ‘Amendment Date’ under the Amendment Deed, which will:</w:t>
      </w:r>
    </w:p>
    <w:p>
      <w:pPr>
        <w:spacing w:after="0" w:line="30" w:lineRule="exact"/>
        <w:rPr>
          <w:rFonts w:ascii="Arial" w:cs="Arial" w:eastAsia="Arial" w:hAnsi="Arial"/>
          <w:sz w:val="11"/>
          <w:szCs w:val="11"/>
          <w:color w:val="auto"/>
        </w:rPr>
      </w:pPr>
    </w:p>
    <w:p>
      <w:pPr>
        <w:ind w:left="1400" w:hanging="285"/>
        <w:spacing w:after="0"/>
        <w:tabs>
          <w:tab w:leader="none" w:pos="1400" w:val="left"/>
        </w:tabs>
        <w:numPr>
          <w:ilvl w:val="1"/>
          <w:numId w:val="136"/>
        </w:numPr>
        <w:rPr>
          <w:rFonts w:ascii="Arial" w:cs="Arial" w:eastAsia="Arial" w:hAnsi="Arial"/>
          <w:sz w:val="11"/>
          <w:szCs w:val="11"/>
          <w:color w:val="auto"/>
        </w:rPr>
      </w:pPr>
      <w:r>
        <w:rPr>
          <w:rFonts w:ascii="Arial" w:cs="Arial" w:eastAsia="Arial" w:hAnsi="Arial"/>
          <w:sz w:val="11"/>
          <w:szCs w:val="11"/>
          <w:color w:val="auto"/>
        </w:rPr>
        <w:t>accrue from day to day from the date of this document up to and including the Termination Date;</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36"/>
        </w:numPr>
        <w:rPr>
          <w:rFonts w:ascii="Arial" w:cs="Arial" w:eastAsia="Arial" w:hAnsi="Arial"/>
          <w:sz w:val="11"/>
          <w:szCs w:val="11"/>
          <w:color w:val="auto"/>
        </w:rPr>
      </w:pPr>
      <w:r>
        <w:rPr>
          <w:rFonts w:ascii="Arial" w:cs="Arial" w:eastAsia="Arial" w:hAnsi="Arial"/>
          <w:sz w:val="11"/>
          <w:szCs w:val="11"/>
          <w:color w:val="auto"/>
        </w:rPr>
        <w:t>be payable quarterly in arrears, on the first Business Day of each Quarter;</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36"/>
        </w:numPr>
        <w:rPr>
          <w:rFonts w:ascii="Arial" w:cs="Arial" w:eastAsia="Arial" w:hAnsi="Arial"/>
          <w:sz w:val="11"/>
          <w:szCs w:val="11"/>
          <w:color w:val="auto"/>
        </w:rPr>
      </w:pPr>
      <w:r>
        <w:rPr>
          <w:rFonts w:ascii="Arial" w:cs="Arial" w:eastAsia="Arial" w:hAnsi="Arial"/>
          <w:sz w:val="11"/>
          <w:szCs w:val="11"/>
          <w:color w:val="auto"/>
        </w:rPr>
        <w:t>be calculated on the actual number of days elapsed and on the basis of a 365 day year;</w:t>
      </w:r>
    </w:p>
    <w:p>
      <w:pPr>
        <w:spacing w:after="0" w:line="40" w:lineRule="exact"/>
        <w:rPr>
          <w:rFonts w:ascii="Arial" w:cs="Arial" w:eastAsia="Arial" w:hAnsi="Arial"/>
          <w:sz w:val="11"/>
          <w:szCs w:val="11"/>
          <w:color w:val="auto"/>
        </w:rPr>
      </w:pPr>
    </w:p>
    <w:p>
      <w:pPr>
        <w:ind w:left="1100" w:hanging="285"/>
        <w:spacing w:after="0"/>
        <w:tabs>
          <w:tab w:leader="none" w:pos="1100" w:val="left"/>
        </w:tabs>
        <w:numPr>
          <w:ilvl w:val="0"/>
          <w:numId w:val="136"/>
        </w:numPr>
        <w:rPr>
          <w:rFonts w:ascii="Arial" w:cs="Arial" w:eastAsia="Arial" w:hAnsi="Arial"/>
          <w:sz w:val="11"/>
          <w:szCs w:val="11"/>
          <w:color w:val="auto"/>
        </w:rPr>
      </w:pPr>
      <w:r>
        <w:rPr>
          <w:rFonts w:ascii="Arial" w:cs="Arial" w:eastAsia="Arial" w:hAnsi="Arial"/>
          <w:sz w:val="11"/>
          <w:szCs w:val="11"/>
          <w:b w:val="1"/>
          <w:bCs w:val="1"/>
          <w:color w:val="auto"/>
        </w:rPr>
        <w:t>Reset Fee</w:t>
      </w:r>
      <w:r>
        <w:rPr>
          <w:rFonts w:ascii="Arial" w:cs="Arial" w:eastAsia="Arial" w:hAnsi="Arial"/>
          <w:sz w:val="11"/>
          <w:szCs w:val="11"/>
          <w:color w:val="auto"/>
        </w:rPr>
        <w:t>: on the first Business Day of each Pricing Period (other than the first Pricing Period) a non-refundable fee of $150.00;</w:t>
      </w:r>
    </w:p>
    <w:p>
      <w:pPr>
        <w:spacing w:after="0" w:line="46" w:lineRule="exact"/>
        <w:rPr>
          <w:rFonts w:ascii="Arial" w:cs="Arial" w:eastAsia="Arial" w:hAnsi="Arial"/>
          <w:sz w:val="11"/>
          <w:szCs w:val="11"/>
          <w:color w:val="auto"/>
        </w:rPr>
      </w:pPr>
    </w:p>
    <w:p>
      <w:pPr>
        <w:ind w:left="1100" w:hanging="285"/>
        <w:spacing w:after="0"/>
        <w:tabs>
          <w:tab w:leader="none" w:pos="1100" w:val="left"/>
        </w:tabs>
        <w:numPr>
          <w:ilvl w:val="0"/>
          <w:numId w:val="136"/>
        </w:numPr>
        <w:rPr>
          <w:rFonts w:ascii="Arial" w:cs="Arial" w:eastAsia="Arial" w:hAnsi="Arial"/>
          <w:sz w:val="11"/>
          <w:szCs w:val="11"/>
          <w:color w:val="auto"/>
        </w:rPr>
      </w:pPr>
      <w:r>
        <w:rPr>
          <w:rFonts w:ascii="Arial" w:cs="Arial" w:eastAsia="Arial" w:hAnsi="Arial"/>
          <w:sz w:val="11"/>
          <w:szCs w:val="11"/>
          <w:b w:val="1"/>
          <w:bCs w:val="1"/>
          <w:color w:val="auto"/>
        </w:rPr>
        <w:t>Bank Guarantee service fee</w:t>
      </w:r>
      <w:r>
        <w:rPr>
          <w:rFonts w:ascii="Arial" w:cs="Arial" w:eastAsia="Arial" w:hAnsi="Arial"/>
          <w:sz w:val="11"/>
          <w:szCs w:val="11"/>
          <w:color w:val="auto"/>
        </w:rPr>
        <w:t>: on and from the first services fee charge date following</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the August 2023 Amendment Date, a non-refundable</w:t>
      </w:r>
    </w:p>
    <w:p>
      <w:pPr>
        <w:spacing w:after="0" w:line="7" w:lineRule="exact"/>
        <w:rPr>
          <w:rFonts w:ascii="Arial" w:cs="Arial" w:eastAsia="Arial" w:hAnsi="Arial"/>
          <w:sz w:val="11"/>
          <w:szCs w:val="11"/>
          <w:color w:val="auto"/>
        </w:rPr>
      </w:pPr>
    </w:p>
    <w:p>
      <w:pPr>
        <w:ind w:left="1100" w:right="320"/>
        <w:spacing w:after="0" w:line="241" w:lineRule="auto"/>
        <w:rPr>
          <w:rFonts w:ascii="Arial" w:cs="Arial" w:eastAsia="Arial" w:hAnsi="Arial"/>
          <w:sz w:val="11"/>
          <w:szCs w:val="11"/>
          <w:color w:val="auto"/>
        </w:rPr>
      </w:pPr>
      <w:r>
        <w:rPr>
          <w:rFonts w:ascii="Arial" w:cs="Arial" w:eastAsia="Arial" w:hAnsi="Arial"/>
          <w:sz w:val="11"/>
          <w:szCs w:val="11"/>
          <w:u w:val="single" w:color="auto"/>
          <w:color w:val="2D96D2"/>
        </w:rPr>
        <w:t>fee of 1.90% per annum</w:t>
      </w:r>
      <w:r>
        <w:rPr>
          <w:rFonts w:ascii="Arial" w:cs="Arial" w:eastAsia="Arial" w:hAnsi="Arial"/>
          <w:sz w:val="11"/>
          <w:szCs w:val="11"/>
          <w:color w:val="B5082D"/>
          <w:strike w:val="1"/>
        </w:rPr>
        <w:t>30 June 2014, a non-refundable fee in respect of each Bank Guarantee of 50% of the applicable Bank Guarantee Margin</w:t>
      </w:r>
      <w:r>
        <w:rPr>
          <w:rFonts w:ascii="Arial" w:cs="Arial" w:eastAsia="Arial" w:hAnsi="Arial"/>
          <w:sz w:val="11"/>
          <w:szCs w:val="11"/>
          <w:color w:val="2D96D2"/>
        </w:rPr>
        <w:t xml:space="preserve">, </w:t>
      </w:r>
      <w:r>
        <w:rPr>
          <w:rFonts w:ascii="Arial" w:cs="Arial" w:eastAsia="Arial" w:hAnsi="Arial"/>
          <w:sz w:val="11"/>
          <w:szCs w:val="11"/>
          <w:color w:val="000000"/>
        </w:rPr>
        <w:t>calculated on</w:t>
      </w:r>
      <w:r>
        <w:rPr>
          <w:rFonts w:ascii="Arial" w:cs="Arial" w:eastAsia="Arial" w:hAnsi="Arial"/>
          <w:sz w:val="11"/>
          <w:szCs w:val="11"/>
          <w:color w:val="2D96D2"/>
        </w:rPr>
        <w:t xml:space="preserve"> </w:t>
      </w:r>
      <w:r>
        <w:rPr>
          <w:rFonts w:ascii="Arial" w:cs="Arial" w:eastAsia="Arial" w:hAnsi="Arial"/>
          <w:sz w:val="11"/>
          <w:szCs w:val="11"/>
          <w:color w:val="000000"/>
        </w:rPr>
        <w:t>the Face Value of the Bank Guarantee, payable on a pro- rata basis half yearly in arrears, with the first payment due six months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39</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07" w:name="page108"/>
    <w:bookmarkEnd w:id="107"/>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right="260"/>
        <w:spacing w:after="0" w:line="256" w:lineRule="auto"/>
        <w:rPr>
          <w:sz w:val="20"/>
          <w:szCs w:val="20"/>
          <w:color w:val="auto"/>
        </w:rPr>
      </w:pPr>
      <w:r>
        <w:rPr>
          <w:rFonts w:ascii="Arial" w:cs="Arial" w:eastAsia="Arial" w:hAnsi="Arial"/>
          <w:sz w:val="11"/>
          <w:szCs w:val="11"/>
          <w:color w:val="auto"/>
        </w:rPr>
        <w:t>after the relevant Funding Date of the Bank Guarantee, and subsequent payments due every six months thereafter until the Bank Guarantee Matures or Expires or is cancelled. This fee will be calculated on the actual number of days elapsed and on the basis of a 365 day year; and</w:t>
      </w:r>
    </w:p>
    <w:p>
      <w:pPr>
        <w:spacing w:after="0" w:line="17" w:lineRule="exact"/>
        <w:rPr>
          <w:sz w:val="20"/>
          <w:szCs w:val="20"/>
          <w:color w:val="auto"/>
        </w:rPr>
      </w:pPr>
    </w:p>
    <w:p>
      <w:pPr>
        <w:ind w:left="1100" w:right="80" w:hanging="285"/>
        <w:spacing w:after="0" w:line="268" w:lineRule="auto"/>
        <w:tabs>
          <w:tab w:leader="none" w:pos="1100" w:val="left"/>
        </w:tabs>
        <w:numPr>
          <w:ilvl w:val="0"/>
          <w:numId w:val="137"/>
        </w:numPr>
        <w:rPr>
          <w:rFonts w:ascii="Arial" w:cs="Arial" w:eastAsia="Arial" w:hAnsi="Arial"/>
          <w:sz w:val="11"/>
          <w:szCs w:val="11"/>
          <w:color w:val="auto"/>
        </w:rPr>
      </w:pPr>
      <w:r>
        <w:rPr>
          <w:rFonts w:ascii="Arial" w:cs="Arial" w:eastAsia="Arial" w:hAnsi="Arial"/>
          <w:sz w:val="11"/>
          <w:szCs w:val="11"/>
          <w:b w:val="1"/>
          <w:bCs w:val="1"/>
          <w:color w:val="auto"/>
        </w:rPr>
        <w:t xml:space="preserve">Bank Guarantee issuance fee: </w:t>
      </w:r>
      <w:r>
        <w:rPr>
          <w:rFonts w:ascii="Arial" w:cs="Arial" w:eastAsia="Arial" w:hAnsi="Arial"/>
          <w:sz w:val="11"/>
          <w:szCs w:val="11"/>
          <w:color w:val="auto"/>
        </w:rPr>
        <w:t>a non-refundable fee in respect of each Bank Guarantee of</w:t>
      </w:r>
      <w:r>
        <w:rPr>
          <w:rFonts w:ascii="Arial" w:cs="Arial" w:eastAsia="Arial" w:hAnsi="Arial"/>
          <w:sz w:val="11"/>
          <w:szCs w:val="11"/>
          <w:b w:val="1"/>
          <w:bCs w:val="1"/>
          <w:color w:val="auto"/>
        </w:rPr>
        <w:t xml:space="preserve"> </w:t>
      </w:r>
      <w:r>
        <w:rPr>
          <w:rFonts w:ascii="Arial" w:cs="Arial" w:eastAsia="Arial" w:hAnsi="Arial"/>
          <w:sz w:val="11"/>
          <w:szCs w:val="11"/>
          <w:color w:val="B5082D"/>
          <w:strike w:val="1"/>
        </w:rPr>
        <w:t>50% of the applicable Bank Guarantee Margin</w:t>
      </w:r>
      <w:r>
        <w:rPr>
          <w:rFonts w:ascii="Arial" w:cs="Arial" w:eastAsia="Arial" w:hAnsi="Arial"/>
          <w:sz w:val="11"/>
          <w:szCs w:val="11"/>
          <w:u w:val="single" w:color="auto"/>
          <w:color w:val="2D96D2"/>
        </w:rPr>
        <w:t>0.95%</w:t>
      </w:r>
      <w:r>
        <w:rPr>
          <w:rFonts w:ascii="Arial" w:cs="Arial" w:eastAsia="Arial" w:hAnsi="Arial"/>
          <w:sz w:val="11"/>
          <w:szCs w:val="11"/>
          <w:b w:val="1"/>
          <w:bCs w:val="1"/>
          <w:color w:val="auto"/>
        </w:rPr>
        <w:t xml:space="preserve"> </w:t>
      </w:r>
      <w:r>
        <w:rPr>
          <w:rFonts w:ascii="Arial" w:cs="Arial" w:eastAsia="Arial" w:hAnsi="Arial"/>
          <w:sz w:val="11"/>
          <w:szCs w:val="11"/>
          <w:color w:val="auto"/>
        </w:rPr>
        <w:t>calculated on</w:t>
      </w:r>
      <w:r>
        <w:rPr>
          <w:rFonts w:ascii="Arial" w:cs="Arial" w:eastAsia="Arial" w:hAnsi="Arial"/>
          <w:sz w:val="11"/>
          <w:szCs w:val="11"/>
          <w:b w:val="1"/>
          <w:bCs w:val="1"/>
          <w:color w:val="auto"/>
        </w:rPr>
        <w:t xml:space="preserve"> </w:t>
      </w:r>
      <w:r>
        <w:rPr>
          <w:rFonts w:ascii="Arial" w:cs="Arial" w:eastAsia="Arial" w:hAnsi="Arial"/>
          <w:sz w:val="11"/>
          <w:szCs w:val="11"/>
          <w:color w:val="auto"/>
        </w:rPr>
        <w:t>the Face Value of the Bank Guarantee (or $125 whichever is greater), payable on the relevant Funding Date of the Bank Guarantee.</w:t>
      </w:r>
    </w:p>
    <w:p>
      <w:pPr>
        <w:spacing w:after="0" w:line="4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9.2</w:t>
      </w:r>
      <w:r>
        <w:rPr>
          <w:sz w:val="20"/>
          <w:szCs w:val="20"/>
          <w:color w:val="auto"/>
        </w:rPr>
        <w:tab/>
      </w:r>
      <w:r>
        <w:rPr>
          <w:rFonts w:ascii="Arial" w:cs="Arial" w:eastAsia="Arial" w:hAnsi="Arial"/>
          <w:sz w:val="11"/>
          <w:szCs w:val="11"/>
          <w:b w:val="1"/>
          <w:bCs w:val="1"/>
          <w:color w:val="auto"/>
        </w:rPr>
        <w:t>Records</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Borrower must ensure that each Transaction Party:</w:t>
      </w:r>
    </w:p>
    <w:p>
      <w:pPr>
        <w:spacing w:after="0" w:line="69" w:lineRule="exact"/>
        <w:rPr>
          <w:sz w:val="20"/>
          <w:szCs w:val="20"/>
          <w:color w:val="auto"/>
        </w:rPr>
      </w:pPr>
    </w:p>
    <w:p>
      <w:pPr>
        <w:ind w:left="1080" w:hanging="280"/>
        <w:spacing w:after="0"/>
        <w:tabs>
          <w:tab w:leader="none" w:pos="1080" w:val="left"/>
        </w:tabs>
        <w:numPr>
          <w:ilvl w:val="0"/>
          <w:numId w:val="138"/>
        </w:numPr>
        <w:rPr>
          <w:rFonts w:ascii="Arial" w:cs="Arial" w:eastAsia="Arial" w:hAnsi="Arial"/>
          <w:sz w:val="11"/>
          <w:szCs w:val="11"/>
          <w:color w:val="auto"/>
        </w:rPr>
      </w:pPr>
      <w:r>
        <w:rPr>
          <w:rFonts w:ascii="Arial" w:cs="Arial" w:eastAsia="Arial" w:hAnsi="Arial"/>
          <w:sz w:val="11"/>
          <w:szCs w:val="11"/>
          <w:color w:val="auto"/>
        </w:rPr>
        <w:t>prepares and keeps books, accounts and other records in accordance with the law and Accounting Standards; and</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138"/>
        </w:numPr>
        <w:rPr>
          <w:rFonts w:ascii="Arial" w:cs="Arial" w:eastAsia="Arial" w:hAnsi="Arial"/>
          <w:sz w:val="11"/>
          <w:szCs w:val="11"/>
          <w:color w:val="auto"/>
        </w:rPr>
      </w:pPr>
      <w:r>
        <w:rPr>
          <w:rFonts w:ascii="Arial" w:cs="Arial" w:eastAsia="Arial" w:hAnsi="Arial"/>
          <w:sz w:val="11"/>
          <w:szCs w:val="11"/>
          <w:color w:val="auto"/>
        </w:rPr>
        <w:t>on demand, makes the same available for inspection and copying by the Bank.</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9.3</w:t>
      </w:r>
      <w:r>
        <w:rPr>
          <w:sz w:val="20"/>
          <w:szCs w:val="20"/>
          <w:color w:val="auto"/>
        </w:rPr>
        <w:tab/>
      </w:r>
      <w:r>
        <w:rPr>
          <w:rFonts w:ascii="Arial" w:cs="Arial" w:eastAsia="Arial" w:hAnsi="Arial"/>
          <w:sz w:val="11"/>
          <w:szCs w:val="11"/>
          <w:b w:val="1"/>
          <w:bCs w:val="1"/>
          <w:color w:val="auto"/>
        </w:rPr>
        <w:t>Financial Statements and other financial information</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Borrower must give to the Bank:</w:t>
      </w:r>
    </w:p>
    <w:p>
      <w:pPr>
        <w:spacing w:after="0" w:line="63" w:lineRule="exact"/>
        <w:rPr>
          <w:sz w:val="20"/>
          <w:szCs w:val="20"/>
          <w:color w:val="auto"/>
        </w:rPr>
      </w:pPr>
    </w:p>
    <w:p>
      <w:pPr>
        <w:ind w:left="1080" w:right="680" w:hanging="280"/>
        <w:spacing w:after="0" w:line="268" w:lineRule="auto"/>
        <w:tabs>
          <w:tab w:leader="none" w:pos="1080" w:val="left"/>
        </w:tabs>
        <w:numPr>
          <w:ilvl w:val="0"/>
          <w:numId w:val="139"/>
        </w:numPr>
        <w:rPr>
          <w:rFonts w:ascii="Arial" w:cs="Arial" w:eastAsia="Arial" w:hAnsi="Arial"/>
          <w:sz w:val="11"/>
          <w:szCs w:val="11"/>
          <w:color w:val="auto"/>
        </w:rPr>
      </w:pPr>
      <w:r>
        <w:rPr>
          <w:rFonts w:ascii="Arial" w:cs="Arial" w:eastAsia="Arial" w:hAnsi="Arial"/>
          <w:sz w:val="11"/>
          <w:szCs w:val="11"/>
          <w:b w:val="1"/>
          <w:bCs w:val="1"/>
          <w:color w:val="B5082D"/>
          <w:strike w:val="1"/>
        </w:rPr>
        <w:t>a</w:t>
      </w:r>
      <w:r>
        <w:rPr>
          <w:rFonts w:ascii="Arial" w:cs="Arial" w:eastAsia="Arial" w:hAnsi="Arial"/>
          <w:sz w:val="11"/>
          <w:szCs w:val="11"/>
          <w:b w:val="1"/>
          <w:bCs w:val="1"/>
          <w:u w:val="single" w:color="auto"/>
          <w:color w:val="2D96D2"/>
        </w:rPr>
        <w:t>A</w:t>
      </w:r>
      <w:r>
        <w:rPr>
          <w:rFonts w:ascii="Arial" w:cs="Arial" w:eastAsia="Arial" w:hAnsi="Arial"/>
          <w:sz w:val="11"/>
          <w:szCs w:val="11"/>
          <w:b w:val="1"/>
          <w:bCs w:val="1"/>
          <w:color w:val="000000"/>
        </w:rPr>
        <w:t>nnual Financial Statements:</w:t>
      </w:r>
      <w:r>
        <w:rPr>
          <w:rFonts w:ascii="Arial" w:cs="Arial" w:eastAsia="Arial" w:hAnsi="Arial"/>
          <w:sz w:val="11"/>
          <w:szCs w:val="11"/>
          <w:b w:val="1"/>
          <w:bCs w:val="1"/>
          <w:color w:val="B5082D"/>
        </w:rPr>
        <w:t xml:space="preserve"> </w:t>
      </w:r>
      <w:r>
        <w:rPr>
          <w:rFonts w:ascii="Arial" w:cs="Arial" w:eastAsia="Arial" w:hAnsi="Arial"/>
          <w:sz w:val="11"/>
          <w:szCs w:val="11"/>
          <w:color w:val="000000"/>
        </w:rPr>
        <w:t>as soon as practicable, and in any event within 120 days after the end of each Financial Year the consolidated audited</w:t>
      </w:r>
      <w:r>
        <w:rPr>
          <w:rFonts w:ascii="Arial" w:cs="Arial" w:eastAsia="Arial" w:hAnsi="Arial"/>
          <w:sz w:val="11"/>
          <w:szCs w:val="11"/>
          <w:b w:val="1"/>
          <w:bCs w:val="1"/>
          <w:color w:val="B5082D"/>
        </w:rPr>
        <w:t xml:space="preserve"> </w:t>
      </w:r>
      <w:r>
        <w:rPr>
          <w:rFonts w:ascii="Arial" w:cs="Arial" w:eastAsia="Arial" w:hAnsi="Arial"/>
          <w:sz w:val="11"/>
          <w:szCs w:val="11"/>
          <w:color w:val="000000"/>
        </w:rPr>
        <w:t>Financial Statements of the Reading Entertainment Australia Group for that Financial Year;</w:t>
      </w:r>
    </w:p>
    <w:p>
      <w:pPr>
        <w:spacing w:after="0" w:line="10" w:lineRule="exact"/>
        <w:rPr>
          <w:rFonts w:ascii="Arial" w:cs="Arial" w:eastAsia="Arial" w:hAnsi="Arial"/>
          <w:sz w:val="11"/>
          <w:szCs w:val="11"/>
          <w:color w:val="auto"/>
        </w:rPr>
      </w:pPr>
    </w:p>
    <w:p>
      <w:pPr>
        <w:ind w:left="1080" w:right="580" w:hanging="280"/>
        <w:spacing w:after="0" w:line="247" w:lineRule="auto"/>
        <w:tabs>
          <w:tab w:leader="none" w:pos="1080" w:val="left"/>
        </w:tabs>
        <w:numPr>
          <w:ilvl w:val="0"/>
          <w:numId w:val="139"/>
        </w:numPr>
        <w:rPr>
          <w:rFonts w:ascii="Arial" w:cs="Arial" w:eastAsia="Arial" w:hAnsi="Arial"/>
          <w:sz w:val="11"/>
          <w:szCs w:val="11"/>
          <w:color w:val="auto"/>
        </w:rPr>
      </w:pPr>
      <w:r>
        <w:rPr>
          <w:rFonts w:ascii="Arial" w:cs="Arial" w:eastAsia="Arial" w:hAnsi="Arial"/>
          <w:sz w:val="11"/>
          <w:szCs w:val="11"/>
          <w:b w:val="1"/>
          <w:bCs w:val="1"/>
          <w:color w:val="auto"/>
        </w:rPr>
        <w:t xml:space="preserve">Quarterly Financial Statements: </w:t>
      </w:r>
      <w:r>
        <w:rPr>
          <w:rFonts w:ascii="Arial" w:cs="Arial" w:eastAsia="Arial" w:hAnsi="Arial"/>
          <w:sz w:val="11"/>
          <w:szCs w:val="11"/>
          <w:color w:val="auto"/>
        </w:rPr>
        <w:t>as soon as practicable, and in any event within 45 days after the end of each Quarter (other than the Quarter ending 31</w:t>
      </w:r>
      <w:r>
        <w:rPr>
          <w:rFonts w:ascii="Arial" w:cs="Arial" w:eastAsia="Arial" w:hAnsi="Arial"/>
          <w:sz w:val="11"/>
          <w:szCs w:val="11"/>
          <w:b w:val="1"/>
          <w:bCs w:val="1"/>
          <w:color w:val="auto"/>
        </w:rPr>
        <w:t xml:space="preserve"> </w:t>
      </w:r>
      <w:r>
        <w:rPr>
          <w:rFonts w:ascii="Arial" w:cs="Arial" w:eastAsia="Arial" w:hAnsi="Arial"/>
          <w:sz w:val="11"/>
          <w:szCs w:val="11"/>
          <w:color w:val="auto"/>
        </w:rPr>
        <w:t>December) the consolidated unaudited Financial Statements of the Reading Entertainment Australia Group for that Quarter (showing both actual and budget figures);</w:t>
      </w:r>
    </w:p>
    <w:p>
      <w:pPr>
        <w:spacing w:after="0" w:line="21" w:lineRule="exact"/>
        <w:rPr>
          <w:rFonts w:ascii="Arial" w:cs="Arial" w:eastAsia="Arial" w:hAnsi="Arial"/>
          <w:sz w:val="11"/>
          <w:szCs w:val="11"/>
          <w:color w:val="auto"/>
        </w:rPr>
      </w:pPr>
    </w:p>
    <w:p>
      <w:pPr>
        <w:ind w:left="1080" w:right="460" w:hanging="280"/>
        <w:spacing w:after="0" w:line="247" w:lineRule="auto"/>
        <w:tabs>
          <w:tab w:leader="none" w:pos="1080" w:val="left"/>
        </w:tabs>
        <w:numPr>
          <w:ilvl w:val="0"/>
          <w:numId w:val="139"/>
        </w:numPr>
        <w:rPr>
          <w:rFonts w:ascii="Arial" w:cs="Arial" w:eastAsia="Arial" w:hAnsi="Arial"/>
          <w:sz w:val="11"/>
          <w:szCs w:val="11"/>
          <w:color w:val="auto"/>
        </w:rPr>
      </w:pPr>
      <w:r>
        <w:rPr>
          <w:rFonts w:ascii="Arial" w:cs="Arial" w:eastAsia="Arial" w:hAnsi="Arial"/>
          <w:sz w:val="11"/>
          <w:szCs w:val="11"/>
          <w:b w:val="1"/>
          <w:bCs w:val="1"/>
          <w:color w:val="auto"/>
        </w:rPr>
        <w:t>group structure diagram</w:t>
      </w:r>
      <w:r>
        <w:rPr>
          <w:rFonts w:ascii="Arial" w:cs="Arial" w:eastAsia="Arial" w:hAnsi="Arial"/>
          <w:sz w:val="11"/>
          <w:szCs w:val="11"/>
          <w:color w:val="auto"/>
        </w:rPr>
        <w:t>: within 120 days after the end of each Financial Year, a group structure diagram in relation to Reading International Inc. and the</w:t>
      </w:r>
      <w:r>
        <w:rPr>
          <w:rFonts w:ascii="Arial" w:cs="Arial" w:eastAsia="Arial" w:hAnsi="Arial"/>
          <w:sz w:val="11"/>
          <w:szCs w:val="11"/>
          <w:b w:val="1"/>
          <w:bCs w:val="1"/>
          <w:color w:val="auto"/>
        </w:rPr>
        <w:t xml:space="preserve"> </w:t>
      </w:r>
      <w:r>
        <w:rPr>
          <w:rFonts w:ascii="Arial" w:cs="Arial" w:eastAsia="Arial" w:hAnsi="Arial"/>
          <w:sz w:val="11"/>
          <w:szCs w:val="11"/>
          <w:color w:val="auto"/>
        </w:rPr>
        <w:t>Reading Entertainment Australia Group which lists all the then Group Members and which contains such other information in relation to the legal relationship between Reading International Inc. and the Reading Entertainment Australia Group Members as the Bank reasonably requires;</w:t>
      </w:r>
    </w:p>
    <w:p>
      <w:pPr>
        <w:spacing w:after="0" w:line="21" w:lineRule="exact"/>
        <w:rPr>
          <w:rFonts w:ascii="Arial" w:cs="Arial" w:eastAsia="Arial" w:hAnsi="Arial"/>
          <w:sz w:val="11"/>
          <w:szCs w:val="11"/>
          <w:color w:val="auto"/>
        </w:rPr>
      </w:pPr>
    </w:p>
    <w:p>
      <w:pPr>
        <w:ind w:left="1080" w:right="260" w:hanging="280"/>
        <w:spacing w:after="0" w:line="247" w:lineRule="auto"/>
        <w:tabs>
          <w:tab w:leader="none" w:pos="1080" w:val="left"/>
        </w:tabs>
        <w:numPr>
          <w:ilvl w:val="0"/>
          <w:numId w:val="139"/>
        </w:numPr>
        <w:rPr>
          <w:rFonts w:ascii="Arial" w:cs="Arial" w:eastAsia="Arial" w:hAnsi="Arial"/>
          <w:sz w:val="11"/>
          <w:szCs w:val="11"/>
          <w:color w:val="auto"/>
        </w:rPr>
      </w:pPr>
      <w:r>
        <w:rPr>
          <w:rFonts w:ascii="Arial" w:cs="Arial" w:eastAsia="Arial" w:hAnsi="Arial"/>
          <w:sz w:val="11"/>
          <w:szCs w:val="11"/>
          <w:b w:val="1"/>
          <w:bCs w:val="1"/>
          <w:color w:val="auto"/>
        </w:rPr>
        <w:t>budget</w:t>
      </w:r>
      <w:r>
        <w:rPr>
          <w:rFonts w:ascii="Arial" w:cs="Arial" w:eastAsia="Arial" w:hAnsi="Arial"/>
          <w:sz w:val="11"/>
          <w:szCs w:val="11"/>
          <w:color w:val="auto"/>
        </w:rPr>
        <w:t>: as soon as practicable, and in any event before 31 March for each Financial Year, a consolidated budget for the Reading Entertainment Australia</w:t>
      </w:r>
      <w:r>
        <w:rPr>
          <w:rFonts w:ascii="Arial" w:cs="Arial" w:eastAsia="Arial" w:hAnsi="Arial"/>
          <w:sz w:val="11"/>
          <w:szCs w:val="11"/>
          <w:b w:val="1"/>
          <w:bCs w:val="1"/>
          <w:color w:val="auto"/>
        </w:rPr>
        <w:t xml:space="preserve"> </w:t>
      </w:r>
      <w:r>
        <w:rPr>
          <w:rFonts w:ascii="Arial" w:cs="Arial" w:eastAsia="Arial" w:hAnsi="Arial"/>
          <w:sz w:val="11"/>
          <w:szCs w:val="11"/>
          <w:color w:val="auto"/>
        </w:rPr>
        <w:t>Group for the current Financial Year showing the budgeted profit and loss, balance sheet and cash flow for the Reading Entertainment Australia Group and such other matters customarily dealt with in such budgets;</w:t>
      </w:r>
    </w:p>
    <w:p>
      <w:pPr>
        <w:spacing w:after="0" w:line="22" w:lineRule="exact"/>
        <w:rPr>
          <w:sz w:val="20"/>
          <w:szCs w:val="20"/>
          <w:color w:val="auto"/>
        </w:rPr>
      </w:pPr>
    </w:p>
    <w:p>
      <w:pPr>
        <w:ind w:left="1080" w:right="200" w:hanging="279"/>
        <w:spacing w:after="0" w:line="268" w:lineRule="auto"/>
        <w:tabs>
          <w:tab w:leader="none" w:pos="1060" w:val="left"/>
        </w:tabs>
        <w:rPr>
          <w:sz w:val="20"/>
          <w:szCs w:val="20"/>
          <w:color w:val="auto"/>
        </w:rPr>
      </w:pPr>
      <w:r>
        <w:rPr>
          <w:rFonts w:ascii="Arial" w:cs="Arial" w:eastAsia="Arial" w:hAnsi="Arial"/>
          <w:sz w:val="11"/>
          <w:szCs w:val="11"/>
          <w:color w:val="auto"/>
        </w:rPr>
        <w:t>(e)</w:t>
      </w:r>
      <w:r>
        <w:rPr>
          <w:sz w:val="20"/>
          <w:szCs w:val="20"/>
          <w:color w:val="auto"/>
        </w:rPr>
        <w:tab/>
      </w:r>
      <w:r>
        <w:rPr>
          <w:rFonts w:ascii="Arial" w:cs="Arial" w:eastAsia="Arial" w:hAnsi="Arial"/>
          <w:sz w:val="11"/>
          <w:szCs w:val="11"/>
          <w:b w:val="1"/>
          <w:bCs w:val="1"/>
          <w:u w:val="single" w:color="auto"/>
          <w:color w:val="2D96D2"/>
        </w:rPr>
        <w:t>Parent Subordination Agreement</w:t>
      </w:r>
      <w:r>
        <w:rPr>
          <w:rFonts w:ascii="Arial" w:cs="Arial" w:eastAsia="Arial" w:hAnsi="Arial"/>
          <w:sz w:val="11"/>
          <w:szCs w:val="11"/>
          <w:u w:val="single" w:color="auto"/>
          <w:color w:val="2D96D2"/>
        </w:rPr>
        <w:t>: as soon as practicable, and in any event by no later than 30 November 2023 (or such later date as agreed by the Bank</w:t>
      </w:r>
      <w:r>
        <w:rPr>
          <w:rFonts w:ascii="Arial" w:cs="Arial" w:eastAsia="Arial" w:hAnsi="Arial"/>
          <w:sz w:val="11"/>
          <w:szCs w:val="11"/>
          <w:b w:val="1"/>
          <w:bCs w:val="1"/>
          <w:u w:val="single" w:color="auto"/>
          <w:color w:val="2D96D2"/>
        </w:rPr>
        <w:t xml:space="preserve"> </w:t>
      </w:r>
      <w:r>
        <w:rPr>
          <w:rFonts w:ascii="Arial" w:cs="Arial" w:eastAsia="Arial" w:hAnsi="Arial"/>
          <w:sz w:val="11"/>
          <w:szCs w:val="11"/>
          <w:u w:val="single" w:color="auto"/>
          <w:color w:val="2D96D2"/>
        </w:rPr>
        <w:t>in writing in its absolute discretion):</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40</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08" w:name="page109"/>
    <w:bookmarkEnd w:id="108"/>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0" w:hanging="285"/>
        <w:spacing w:after="0"/>
        <w:tabs>
          <w:tab w:leader="none" w:pos="1400" w:val="left"/>
        </w:tabs>
        <w:numPr>
          <w:ilvl w:val="0"/>
          <w:numId w:val="140"/>
        </w:numPr>
        <w:rPr>
          <w:rFonts w:ascii="Arial" w:cs="Arial" w:eastAsia="Arial" w:hAnsi="Arial"/>
          <w:sz w:val="11"/>
          <w:szCs w:val="11"/>
          <w:color w:val="auto"/>
        </w:rPr>
      </w:pPr>
      <w:r>
        <w:rPr>
          <w:rFonts w:ascii="Arial" w:cs="Arial" w:eastAsia="Arial" w:hAnsi="Arial"/>
          <w:sz w:val="11"/>
          <w:szCs w:val="11"/>
          <w:u w:val="single" w:color="auto"/>
          <w:color w:val="2D96D2"/>
        </w:rPr>
        <w:t>a fully executed original copy of the Parent Subordination Agreement, duly executed by the Borrower and the Parent; and</w:t>
      </w:r>
    </w:p>
    <w:p>
      <w:pPr>
        <w:spacing w:after="0" w:line="46" w:lineRule="exact"/>
        <w:rPr>
          <w:rFonts w:ascii="Arial" w:cs="Arial" w:eastAsia="Arial" w:hAnsi="Arial"/>
          <w:sz w:val="11"/>
          <w:szCs w:val="11"/>
          <w:color w:val="auto"/>
        </w:rPr>
      </w:pPr>
    </w:p>
    <w:p>
      <w:pPr>
        <w:ind w:left="1400" w:right="380" w:hanging="285"/>
        <w:spacing w:after="0" w:line="256" w:lineRule="auto"/>
        <w:tabs>
          <w:tab w:leader="none" w:pos="1400" w:val="left"/>
        </w:tabs>
        <w:numPr>
          <w:ilvl w:val="0"/>
          <w:numId w:val="140"/>
        </w:numPr>
        <w:rPr>
          <w:rFonts w:ascii="Arial" w:cs="Arial" w:eastAsia="Arial" w:hAnsi="Arial"/>
          <w:sz w:val="11"/>
          <w:szCs w:val="11"/>
          <w:color w:val="auto"/>
        </w:rPr>
      </w:pPr>
      <w:r>
        <w:rPr>
          <w:rFonts w:ascii="Arial" w:cs="Arial" w:eastAsia="Arial" w:hAnsi="Arial"/>
          <w:sz w:val="11"/>
          <w:szCs w:val="11"/>
          <w:u w:val="single" w:color="auto"/>
          <w:color w:val="2D96D2"/>
        </w:rPr>
        <w:t>a legal opinion from the Borrower’s US counsel, addressed to the Lender, in relation to the due execution of the Parent Subordination Agreement by the Parent,</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1"/>
          <w:szCs w:val="11"/>
          <w:u w:val="single" w:color="auto"/>
          <w:color w:val="2D96D2"/>
        </w:rPr>
        <w:t>each in a form and substance which is acceptable to the Lender in its absolute discretion.</w:t>
      </w:r>
    </w:p>
    <w:p>
      <w:pPr>
        <w:spacing w:after="0" w:line="40" w:lineRule="exact"/>
        <w:rPr>
          <w:sz w:val="20"/>
          <w:szCs w:val="20"/>
          <w:color w:val="auto"/>
        </w:rPr>
      </w:pPr>
    </w:p>
    <w:p>
      <w:pPr>
        <w:ind w:left="1100" w:right="380" w:hanging="277"/>
        <w:spacing w:after="0" w:line="268" w:lineRule="auto"/>
        <w:rPr>
          <w:sz w:val="20"/>
          <w:szCs w:val="20"/>
          <w:color w:val="auto"/>
        </w:rPr>
      </w:pPr>
      <w:r>
        <w:rPr>
          <w:rFonts w:ascii="Arial" w:cs="Arial" w:eastAsia="Arial" w:hAnsi="Arial"/>
          <w:sz w:val="11"/>
          <w:szCs w:val="11"/>
          <w:color w:val="B5082D"/>
          <w:strike w:val="1"/>
        </w:rPr>
        <w:t>(d)</w:t>
      </w:r>
      <w:r>
        <w:rPr>
          <w:rFonts w:ascii="Arial" w:cs="Arial" w:eastAsia="Arial" w:hAnsi="Arial"/>
          <w:sz w:val="11"/>
          <w:szCs w:val="11"/>
          <w:u w:val="single" w:color="auto"/>
          <w:color w:val="2D96D2"/>
        </w:rPr>
        <w:t>(f)</w:t>
      </w:r>
      <w:r>
        <w:rPr>
          <w:rFonts w:ascii="Arial" w:cs="Arial" w:eastAsia="Arial" w:hAnsi="Arial"/>
          <w:sz w:val="11"/>
          <w:szCs w:val="11"/>
          <w:color w:val="B5082D"/>
        </w:rPr>
        <w:t xml:space="preserve"> </w:t>
      </w:r>
      <w:r>
        <w:rPr>
          <w:rFonts w:ascii="Arial" w:cs="Arial" w:eastAsia="Arial" w:hAnsi="Arial"/>
          <w:sz w:val="11"/>
          <w:szCs w:val="11"/>
          <w:b w:val="1"/>
          <w:bCs w:val="1"/>
          <w:color w:val="000000"/>
        </w:rPr>
        <w:t>other financial information:</w:t>
      </w:r>
      <w:r>
        <w:rPr>
          <w:rFonts w:ascii="Arial" w:cs="Arial" w:eastAsia="Arial" w:hAnsi="Arial"/>
          <w:sz w:val="11"/>
          <w:szCs w:val="11"/>
          <w:color w:val="B5082D"/>
        </w:rPr>
        <w:t xml:space="preserve"> </w:t>
      </w:r>
      <w:r>
        <w:rPr>
          <w:rFonts w:ascii="Arial" w:cs="Arial" w:eastAsia="Arial" w:hAnsi="Arial"/>
          <w:sz w:val="11"/>
          <w:szCs w:val="11"/>
          <w:color w:val="000000"/>
        </w:rPr>
        <w:t>promptly on reasonable notice from the Bank, such additional information in relation to the financial condition and the operations</w:t>
      </w:r>
      <w:r>
        <w:rPr>
          <w:rFonts w:ascii="Arial" w:cs="Arial" w:eastAsia="Arial" w:hAnsi="Arial"/>
          <w:sz w:val="11"/>
          <w:szCs w:val="11"/>
          <w:color w:val="B5082D"/>
        </w:rPr>
        <w:t xml:space="preserve"> </w:t>
      </w:r>
      <w:r>
        <w:rPr>
          <w:rFonts w:ascii="Arial" w:cs="Arial" w:eastAsia="Arial" w:hAnsi="Arial"/>
          <w:sz w:val="11"/>
          <w:szCs w:val="11"/>
          <w:color w:val="000000"/>
        </w:rPr>
        <w:t>of the Borrower and each other Transaction Party as the Bank reasonably requests from time to time.</w:t>
      </w:r>
    </w:p>
    <w:p>
      <w:pPr>
        <w:spacing w:after="0" w:line="16" w:lineRule="exact"/>
        <w:rPr>
          <w:sz w:val="20"/>
          <w:szCs w:val="20"/>
          <w:color w:val="auto"/>
        </w:rPr>
      </w:pPr>
    </w:p>
    <w:p>
      <w:pPr>
        <w:ind w:left="840" w:right="160"/>
        <w:spacing w:after="0" w:line="256" w:lineRule="auto"/>
        <w:rPr>
          <w:sz w:val="20"/>
          <w:szCs w:val="20"/>
          <w:color w:val="auto"/>
        </w:rPr>
      </w:pPr>
      <w:r>
        <w:rPr>
          <w:rFonts w:ascii="Arial" w:cs="Arial" w:eastAsia="Arial" w:hAnsi="Arial"/>
          <w:sz w:val="11"/>
          <w:szCs w:val="11"/>
          <w:color w:val="auto"/>
        </w:rPr>
        <w:t>The Borrower must ensure that all Financial Statements given to the Bank under the Transaction Documents are prepared in accordance with the Corporations Act and the Accounting Standards.</w:t>
      </w:r>
    </w:p>
    <w:p>
      <w:pPr>
        <w:spacing w:after="0" w:line="23" w:lineRule="exact"/>
        <w:rPr>
          <w:sz w:val="20"/>
          <w:szCs w:val="20"/>
          <w:color w:val="auto"/>
        </w:rPr>
      </w:pPr>
    </w:p>
    <w:p>
      <w:pPr>
        <w:ind w:left="840" w:right="160"/>
        <w:spacing w:after="0" w:line="238" w:lineRule="auto"/>
        <w:rPr>
          <w:sz w:val="20"/>
          <w:szCs w:val="20"/>
          <w:color w:val="auto"/>
        </w:rPr>
      </w:pPr>
      <w:r>
        <w:rPr>
          <w:rFonts w:ascii="Arial" w:cs="Arial" w:eastAsia="Arial" w:hAnsi="Arial"/>
          <w:sz w:val="11"/>
          <w:szCs w:val="11"/>
          <w:color w:val="auto"/>
        </w:rPr>
        <w:t xml:space="preserve">If after the date of this document there is a change in the accounting principles or practices referred to in the definition of 'Accounting Standards' and the Bank or the Borrower reasonably considers that, if the change were to apply for the purposes of this document, the change would have a material effect on the Financial Statements or the calculation of the financial ratios in </w:t>
      </w:r>
      <w:r>
        <w:rPr>
          <w:rFonts w:ascii="Arial" w:cs="Arial" w:eastAsia="Arial" w:hAnsi="Arial"/>
          <w:sz w:val="11"/>
          <w:szCs w:val="11"/>
          <w:b w:val="1"/>
          <w:bCs w:val="1"/>
          <w:color w:val="auto"/>
        </w:rPr>
        <w:t>clause 9.8</w:t>
      </w:r>
      <w:r>
        <w:rPr>
          <w:rFonts w:ascii="Arial" w:cs="Arial" w:eastAsia="Arial" w:hAnsi="Arial"/>
          <w:sz w:val="11"/>
          <w:szCs w:val="11"/>
          <w:color w:val="auto"/>
        </w:rPr>
        <w:t xml:space="preserve"> , the Bank and the Borrower shall endeavour to agree mutually acceptable changes to this document so that the accounting change can be adopted for the purposes of this document.</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9.4</w:t>
      </w:r>
      <w:r>
        <w:rPr>
          <w:sz w:val="20"/>
          <w:szCs w:val="20"/>
          <w:color w:val="auto"/>
        </w:rPr>
        <w:tab/>
      </w:r>
      <w:r>
        <w:rPr>
          <w:rFonts w:ascii="Arial" w:cs="Arial" w:eastAsia="Arial" w:hAnsi="Arial"/>
          <w:sz w:val="11"/>
          <w:szCs w:val="11"/>
          <w:b w:val="1"/>
          <w:bCs w:val="1"/>
          <w:color w:val="auto"/>
        </w:rPr>
        <w:t>Adjustments for AASB 16</w:t>
      </w:r>
    </w:p>
    <w:p>
      <w:pPr>
        <w:spacing w:after="0" w:line="55" w:lineRule="exact"/>
        <w:rPr>
          <w:sz w:val="20"/>
          <w:szCs w:val="20"/>
          <w:color w:val="auto"/>
        </w:rPr>
      </w:pPr>
    </w:p>
    <w:p>
      <w:pPr>
        <w:ind w:left="1080" w:hanging="280"/>
        <w:spacing w:after="0"/>
        <w:tabs>
          <w:tab w:leader="none" w:pos="1080" w:val="left"/>
        </w:tabs>
        <w:numPr>
          <w:ilvl w:val="0"/>
          <w:numId w:val="141"/>
        </w:numPr>
        <w:rPr>
          <w:rFonts w:ascii="Arial" w:cs="Arial" w:eastAsia="Arial" w:hAnsi="Arial"/>
          <w:sz w:val="11"/>
          <w:szCs w:val="11"/>
          <w:color w:val="auto"/>
        </w:rPr>
      </w:pPr>
      <w:r>
        <w:rPr>
          <w:rFonts w:ascii="Arial" w:cs="Arial" w:eastAsia="Arial" w:hAnsi="Arial"/>
          <w:sz w:val="11"/>
          <w:szCs w:val="11"/>
          <w:color w:val="auto"/>
        </w:rPr>
        <w:t>The parties acknowledge that:</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141"/>
        </w:numPr>
        <w:rPr>
          <w:rFonts w:ascii="Arial" w:cs="Arial" w:eastAsia="Arial" w:hAnsi="Arial"/>
          <w:sz w:val="11"/>
          <w:szCs w:val="11"/>
          <w:color w:val="auto"/>
        </w:rPr>
      </w:pPr>
      <w:r>
        <w:rPr>
          <w:rFonts w:ascii="Arial" w:cs="Arial" w:eastAsia="Arial" w:hAnsi="Arial"/>
          <w:sz w:val="11"/>
          <w:szCs w:val="11"/>
          <w:color w:val="auto"/>
        </w:rPr>
        <w:t>AASB 16 took effect on and from 1 January 2019, which changed or eliminated the distinction between operating leases and finance leases; and</w:t>
      </w:r>
    </w:p>
    <w:p>
      <w:pPr>
        <w:spacing w:after="0" w:line="40" w:lineRule="exact"/>
        <w:rPr>
          <w:rFonts w:ascii="Arial" w:cs="Arial" w:eastAsia="Arial" w:hAnsi="Arial"/>
          <w:sz w:val="11"/>
          <w:szCs w:val="11"/>
          <w:color w:val="auto"/>
        </w:rPr>
      </w:pPr>
    </w:p>
    <w:p>
      <w:pPr>
        <w:ind w:left="1400" w:right="1560" w:hanging="285"/>
        <w:spacing w:after="0" w:line="301" w:lineRule="auto"/>
        <w:tabs>
          <w:tab w:leader="none" w:pos="1385" w:val="left"/>
        </w:tabs>
        <w:numPr>
          <w:ilvl w:val="1"/>
          <w:numId w:val="141"/>
        </w:numPr>
        <w:rPr>
          <w:rFonts w:ascii="Arial" w:cs="Arial" w:eastAsia="Arial" w:hAnsi="Arial"/>
          <w:sz w:val="11"/>
          <w:szCs w:val="11"/>
          <w:color w:val="auto"/>
        </w:rPr>
      </w:pPr>
      <w:r>
        <w:rPr>
          <w:rFonts w:ascii="Arial" w:cs="Arial" w:eastAsia="Arial" w:hAnsi="Arial"/>
          <w:sz w:val="11"/>
          <w:szCs w:val="11"/>
          <w:color w:val="auto"/>
        </w:rPr>
        <w:t xml:space="preserve">the parties are continuing to assess the potential effect of AASB 16 on the calculation of the financial ratios referred to in </w:t>
      </w:r>
      <w:r>
        <w:rPr>
          <w:rFonts w:ascii="Arial" w:cs="Arial" w:eastAsia="Arial" w:hAnsi="Arial"/>
          <w:sz w:val="11"/>
          <w:szCs w:val="11"/>
          <w:b w:val="1"/>
          <w:bCs w:val="1"/>
          <w:color w:val="auto"/>
        </w:rPr>
        <w:t>clause</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9.8 </w:t>
      </w:r>
      <w:r>
        <w:rPr>
          <w:rFonts w:ascii="Arial" w:cs="Arial" w:eastAsia="Arial" w:hAnsi="Arial"/>
          <w:sz w:val="11"/>
          <w:szCs w:val="11"/>
          <w:color w:val="auto"/>
        </w:rPr>
        <w:t>and the related definitions.</w:t>
      </w:r>
    </w:p>
    <w:p>
      <w:pPr>
        <w:spacing w:after="0" w:line="18" w:lineRule="exact"/>
        <w:rPr>
          <w:rFonts w:ascii="Arial" w:cs="Arial" w:eastAsia="Arial" w:hAnsi="Arial"/>
          <w:sz w:val="11"/>
          <w:szCs w:val="11"/>
          <w:color w:val="auto"/>
        </w:rPr>
      </w:pPr>
    </w:p>
    <w:p>
      <w:pPr>
        <w:ind w:left="1080" w:hanging="280"/>
        <w:spacing w:after="0"/>
        <w:tabs>
          <w:tab w:leader="none" w:pos="1080" w:val="left"/>
        </w:tabs>
        <w:numPr>
          <w:ilvl w:val="0"/>
          <w:numId w:val="141"/>
        </w:numPr>
        <w:rPr>
          <w:rFonts w:ascii="Arial" w:cs="Arial" w:eastAsia="Arial" w:hAnsi="Arial"/>
          <w:sz w:val="11"/>
          <w:szCs w:val="11"/>
          <w:color w:val="auto"/>
        </w:rPr>
      </w:pPr>
      <w:r>
        <w:rPr>
          <w:rFonts w:ascii="Arial" w:cs="Arial" w:eastAsia="Arial" w:hAnsi="Arial"/>
          <w:sz w:val="11"/>
          <w:szCs w:val="11"/>
          <w:color w:val="auto"/>
        </w:rPr>
        <w:t>For each Calculation Date occurring on or prior to 31 December 2021:</w:t>
      </w:r>
    </w:p>
    <w:p>
      <w:pPr>
        <w:spacing w:after="0" w:line="62" w:lineRule="exact"/>
        <w:rPr>
          <w:rFonts w:ascii="Arial" w:cs="Arial" w:eastAsia="Arial" w:hAnsi="Arial"/>
          <w:sz w:val="11"/>
          <w:szCs w:val="11"/>
          <w:color w:val="auto"/>
        </w:rPr>
      </w:pPr>
    </w:p>
    <w:p>
      <w:pPr>
        <w:ind w:left="1400" w:right="620" w:hanging="285"/>
        <w:spacing w:after="0" w:line="268" w:lineRule="auto"/>
        <w:tabs>
          <w:tab w:leader="none" w:pos="1400" w:val="left"/>
        </w:tabs>
        <w:numPr>
          <w:ilvl w:val="1"/>
          <w:numId w:val="141"/>
        </w:numPr>
        <w:rPr>
          <w:rFonts w:ascii="Arial" w:cs="Arial" w:eastAsia="Arial" w:hAnsi="Arial"/>
          <w:sz w:val="11"/>
          <w:szCs w:val="11"/>
          <w:color w:val="auto"/>
        </w:rPr>
      </w:pPr>
      <w:r>
        <w:rPr>
          <w:rFonts w:ascii="Arial" w:cs="Arial" w:eastAsia="Arial" w:hAnsi="Arial"/>
          <w:sz w:val="11"/>
          <w:szCs w:val="11"/>
          <w:color w:val="auto"/>
        </w:rPr>
        <w:t xml:space="preserve">the financial ratios referred to in </w:t>
      </w:r>
      <w:r>
        <w:rPr>
          <w:rFonts w:ascii="Arial" w:cs="Arial" w:eastAsia="Arial" w:hAnsi="Arial"/>
          <w:sz w:val="11"/>
          <w:szCs w:val="11"/>
          <w:b w:val="1"/>
          <w:bCs w:val="1"/>
          <w:color w:val="auto"/>
        </w:rPr>
        <w:t>clause 9.8</w:t>
      </w:r>
      <w:r>
        <w:rPr>
          <w:rFonts w:ascii="Arial" w:cs="Arial" w:eastAsia="Arial" w:hAnsi="Arial"/>
          <w:sz w:val="11"/>
          <w:szCs w:val="11"/>
          <w:color w:val="auto"/>
        </w:rPr>
        <w:t xml:space="preserve"> and the related definitions will be calculated ignoring any changes following AASB 16 taking effect on 1 January 2019; and</w:t>
      </w:r>
    </w:p>
    <w:p>
      <w:pPr>
        <w:spacing w:after="0" w:line="16" w:lineRule="exact"/>
        <w:rPr>
          <w:rFonts w:ascii="Arial" w:cs="Arial" w:eastAsia="Arial" w:hAnsi="Arial"/>
          <w:sz w:val="11"/>
          <w:szCs w:val="11"/>
          <w:color w:val="auto"/>
        </w:rPr>
      </w:pPr>
    </w:p>
    <w:p>
      <w:pPr>
        <w:ind w:left="1400" w:hanging="285"/>
        <w:spacing w:after="0"/>
        <w:tabs>
          <w:tab w:leader="none" w:pos="1400" w:val="left"/>
        </w:tabs>
        <w:numPr>
          <w:ilvl w:val="1"/>
          <w:numId w:val="141"/>
        </w:numPr>
        <w:rPr>
          <w:rFonts w:ascii="Arial" w:cs="Arial" w:eastAsia="Arial" w:hAnsi="Arial"/>
          <w:sz w:val="11"/>
          <w:szCs w:val="11"/>
          <w:color w:val="auto"/>
        </w:rPr>
      </w:pPr>
      <w:r>
        <w:rPr>
          <w:rFonts w:ascii="Arial" w:cs="Arial" w:eastAsia="Arial" w:hAnsi="Arial"/>
          <w:sz w:val="11"/>
          <w:szCs w:val="11"/>
          <w:color w:val="auto"/>
        </w:rPr>
        <w:t>the Company must provide with its Financial Statements and other financial information any reconciliation statements</w:t>
      </w:r>
    </w:p>
    <w:p>
      <w:pPr>
        <w:spacing w:after="0" w:line="1" w:lineRule="exact"/>
        <w:rPr>
          <w:rFonts w:ascii="Arial" w:cs="Arial" w:eastAsia="Arial" w:hAnsi="Arial"/>
          <w:sz w:val="11"/>
          <w:szCs w:val="11"/>
          <w:color w:val="auto"/>
        </w:rPr>
      </w:pPr>
    </w:p>
    <w:p>
      <w:pPr>
        <w:ind w:left="1400" w:right="420"/>
        <w:spacing w:after="0" w:line="260" w:lineRule="auto"/>
        <w:rPr>
          <w:rFonts w:ascii="Arial" w:cs="Arial" w:eastAsia="Arial" w:hAnsi="Arial"/>
          <w:sz w:val="11"/>
          <w:szCs w:val="11"/>
          <w:color w:val="auto"/>
        </w:rPr>
      </w:pPr>
      <w:r>
        <w:rPr>
          <w:rFonts w:ascii="Arial" w:cs="Arial" w:eastAsia="Arial" w:hAnsi="Arial"/>
          <w:sz w:val="11"/>
          <w:szCs w:val="11"/>
          <w:color w:val="auto"/>
        </w:rPr>
        <w:t xml:space="preserve">(audited, where applicable) necessary to enable the financial ratios in </w:t>
      </w:r>
      <w:r>
        <w:rPr>
          <w:rFonts w:ascii="Arial" w:cs="Arial" w:eastAsia="Arial" w:hAnsi="Arial"/>
          <w:sz w:val="11"/>
          <w:szCs w:val="11"/>
          <w:b w:val="1"/>
          <w:bCs w:val="1"/>
          <w:color w:val="auto"/>
        </w:rPr>
        <w:t>clause 9.8</w:t>
      </w:r>
      <w:r>
        <w:rPr>
          <w:rFonts w:ascii="Arial" w:cs="Arial" w:eastAsia="Arial" w:hAnsi="Arial"/>
          <w:sz w:val="11"/>
          <w:szCs w:val="11"/>
          <w:color w:val="auto"/>
        </w:rPr>
        <w:t xml:space="preserve"> and the related definitions to be calculated in accordance with </w:t>
      </w:r>
      <w:r>
        <w:rPr>
          <w:rFonts w:ascii="Arial" w:cs="Arial" w:eastAsia="Arial" w:hAnsi="Arial"/>
          <w:sz w:val="11"/>
          <w:szCs w:val="11"/>
          <w:b w:val="1"/>
          <w:bCs w:val="1"/>
          <w:color w:val="auto"/>
        </w:rPr>
        <w:t>clause</w:t>
      </w:r>
      <w:r>
        <w:rPr>
          <w:rFonts w:ascii="Arial" w:cs="Arial" w:eastAsia="Arial" w:hAnsi="Arial"/>
          <w:sz w:val="11"/>
          <w:szCs w:val="11"/>
          <w:color w:val="auto"/>
        </w:rPr>
        <w:t xml:space="preserve"> </w:t>
      </w:r>
      <w:r>
        <w:rPr>
          <w:rFonts w:ascii="Arial" w:cs="Arial" w:eastAsia="Arial" w:hAnsi="Arial"/>
          <w:sz w:val="11"/>
          <w:szCs w:val="11"/>
          <w:b w:val="1"/>
          <w:bCs w:val="1"/>
          <w:color w:val="auto"/>
        </w:rPr>
        <w:t>9.4(b)(i)</w:t>
      </w:r>
      <w:r>
        <w:rPr>
          <w:rFonts w:ascii="Arial" w:cs="Arial" w:eastAsia="Arial" w:hAnsi="Arial"/>
          <w:sz w:val="11"/>
          <w:szCs w:val="11"/>
          <w:color w:val="auto"/>
        </w:rPr>
        <w:t>.</w:t>
      </w:r>
    </w:p>
    <w:p>
      <w:pPr>
        <w:spacing w:after="0" w:line="10" w:lineRule="exact"/>
        <w:rPr>
          <w:rFonts w:ascii="Arial" w:cs="Arial" w:eastAsia="Arial" w:hAnsi="Arial"/>
          <w:sz w:val="11"/>
          <w:szCs w:val="11"/>
          <w:color w:val="auto"/>
        </w:rPr>
      </w:pPr>
    </w:p>
    <w:p>
      <w:pPr>
        <w:ind w:left="1080" w:right="420" w:hanging="280"/>
        <w:spacing w:after="0" w:line="275" w:lineRule="auto"/>
        <w:tabs>
          <w:tab w:leader="none" w:pos="1080" w:val="left"/>
        </w:tabs>
        <w:numPr>
          <w:ilvl w:val="0"/>
          <w:numId w:val="141"/>
        </w:numPr>
        <w:rPr>
          <w:rFonts w:ascii="Arial" w:cs="Arial" w:eastAsia="Arial" w:hAnsi="Arial"/>
          <w:sz w:val="11"/>
          <w:szCs w:val="11"/>
          <w:color w:val="auto"/>
        </w:rPr>
      </w:pPr>
      <w:r>
        <w:rPr>
          <w:rFonts w:ascii="Arial" w:cs="Arial" w:eastAsia="Arial" w:hAnsi="Arial"/>
          <w:sz w:val="11"/>
          <w:szCs w:val="11"/>
          <w:color w:val="auto"/>
        </w:rPr>
        <w:t xml:space="preserve">If, in the reasonable opinion of the Borrower or the Bank, at any time after 31 December 2021, taking into account the AASB 16 changes when calculating the financial ratios referred to in </w:t>
      </w:r>
      <w:r>
        <w:rPr>
          <w:rFonts w:ascii="Arial" w:cs="Arial" w:eastAsia="Arial" w:hAnsi="Arial"/>
          <w:sz w:val="11"/>
          <w:szCs w:val="11"/>
          <w:b w:val="1"/>
          <w:bCs w:val="1"/>
          <w:color w:val="auto"/>
        </w:rPr>
        <w:t>clause 9.8</w:t>
      </w:r>
      <w:r>
        <w:rPr>
          <w:rFonts w:ascii="Arial" w:cs="Arial" w:eastAsia="Arial" w:hAnsi="Arial"/>
          <w:sz w:val="11"/>
          <w:szCs w:val="11"/>
          <w:color w:val="auto"/>
        </w:rPr>
        <w:t xml:space="preserve"> and the related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41</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09" w:name="page110"/>
    <w:bookmarkEnd w:id="109"/>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right="100"/>
        <w:spacing w:after="0" w:line="256" w:lineRule="auto"/>
        <w:rPr>
          <w:sz w:val="20"/>
          <w:szCs w:val="20"/>
          <w:color w:val="auto"/>
        </w:rPr>
      </w:pPr>
      <w:r>
        <w:rPr>
          <w:rFonts w:ascii="Arial" w:cs="Arial" w:eastAsia="Arial" w:hAnsi="Arial"/>
          <w:sz w:val="11"/>
          <w:szCs w:val="11"/>
          <w:color w:val="auto"/>
        </w:rPr>
        <w:t>definitions would materially alter the effect of, or the calculation of, those financial ratios or related definitions, the Borrower and the Bank will negotiate in good faith to amend the relevant undertakings and definitions so that they have an effect comparable to that as if the AASB 16 changes did not apply.</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9.5</w:t>
      </w:r>
      <w:r>
        <w:rPr>
          <w:sz w:val="20"/>
          <w:szCs w:val="20"/>
          <w:color w:val="auto"/>
        </w:rPr>
        <w:tab/>
      </w:r>
      <w:r>
        <w:rPr>
          <w:rFonts w:ascii="Arial" w:cs="Arial" w:eastAsia="Arial" w:hAnsi="Arial"/>
          <w:sz w:val="12"/>
          <w:szCs w:val="12"/>
          <w:b w:val="1"/>
          <w:bCs w:val="1"/>
          <w:color w:val="auto"/>
        </w:rPr>
        <w:t>Other information</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1"/>
          <w:szCs w:val="11"/>
          <w:color w:val="auto"/>
        </w:rPr>
        <w:t>The Borrower must give to the Bank:</w:t>
      </w:r>
    </w:p>
    <w:p>
      <w:pPr>
        <w:spacing w:after="0" w:line="63" w:lineRule="exact"/>
        <w:rPr>
          <w:sz w:val="20"/>
          <w:szCs w:val="20"/>
          <w:color w:val="auto"/>
        </w:rPr>
      </w:pPr>
    </w:p>
    <w:p>
      <w:pPr>
        <w:ind w:left="1080" w:right="320" w:hanging="280"/>
        <w:spacing w:after="0" w:line="268" w:lineRule="auto"/>
        <w:tabs>
          <w:tab w:leader="none" w:pos="1080" w:val="left"/>
        </w:tabs>
        <w:numPr>
          <w:ilvl w:val="0"/>
          <w:numId w:val="142"/>
        </w:numPr>
        <w:rPr>
          <w:rFonts w:ascii="Arial" w:cs="Arial" w:eastAsia="Arial" w:hAnsi="Arial"/>
          <w:sz w:val="11"/>
          <w:szCs w:val="11"/>
          <w:color w:val="auto"/>
        </w:rPr>
      </w:pPr>
      <w:r>
        <w:rPr>
          <w:rFonts w:ascii="Arial" w:cs="Arial" w:eastAsia="Arial" w:hAnsi="Arial"/>
          <w:sz w:val="11"/>
          <w:szCs w:val="11"/>
          <w:b w:val="1"/>
          <w:bCs w:val="1"/>
          <w:color w:val="auto"/>
        </w:rPr>
        <w:t xml:space="preserve">other information: </w:t>
      </w:r>
      <w:r>
        <w:rPr>
          <w:rFonts w:ascii="Arial" w:cs="Arial" w:eastAsia="Arial" w:hAnsi="Arial"/>
          <w:sz w:val="11"/>
          <w:szCs w:val="11"/>
          <w:color w:val="auto"/>
        </w:rPr>
        <w:t>on reasonable notice from the Bank, any other information in the possession or under the control of a Transaction Party which in the Bank’s</w:t>
      </w:r>
      <w:r>
        <w:rPr>
          <w:rFonts w:ascii="Arial" w:cs="Arial" w:eastAsia="Arial" w:hAnsi="Arial"/>
          <w:sz w:val="11"/>
          <w:szCs w:val="11"/>
          <w:b w:val="1"/>
          <w:bCs w:val="1"/>
          <w:color w:val="auto"/>
        </w:rPr>
        <w:t xml:space="preserve"> </w:t>
      </w:r>
      <w:r>
        <w:rPr>
          <w:rFonts w:ascii="Arial" w:cs="Arial" w:eastAsia="Arial" w:hAnsi="Arial"/>
          <w:sz w:val="11"/>
          <w:szCs w:val="11"/>
          <w:color w:val="auto"/>
        </w:rPr>
        <w:t>reasonable opinion is necessary to verify the Borrower’s compliance with any Transaction Document;</w:t>
      </w:r>
    </w:p>
    <w:p>
      <w:pPr>
        <w:spacing w:after="0" w:line="10" w:lineRule="exact"/>
        <w:rPr>
          <w:rFonts w:ascii="Arial" w:cs="Arial" w:eastAsia="Arial" w:hAnsi="Arial"/>
          <w:sz w:val="11"/>
          <w:szCs w:val="11"/>
          <w:color w:val="auto"/>
        </w:rPr>
      </w:pPr>
    </w:p>
    <w:p>
      <w:pPr>
        <w:ind w:left="1080" w:right="720" w:hanging="280"/>
        <w:spacing w:after="0" w:line="268" w:lineRule="auto"/>
        <w:tabs>
          <w:tab w:leader="none" w:pos="1080" w:val="left"/>
        </w:tabs>
        <w:numPr>
          <w:ilvl w:val="0"/>
          <w:numId w:val="142"/>
        </w:numPr>
        <w:rPr>
          <w:rFonts w:ascii="Arial" w:cs="Arial" w:eastAsia="Arial" w:hAnsi="Arial"/>
          <w:sz w:val="11"/>
          <w:szCs w:val="11"/>
          <w:color w:val="auto"/>
        </w:rPr>
      </w:pPr>
      <w:r>
        <w:rPr>
          <w:rFonts w:ascii="Arial" w:cs="Arial" w:eastAsia="Arial" w:hAnsi="Arial"/>
          <w:sz w:val="11"/>
          <w:szCs w:val="11"/>
          <w:b w:val="1"/>
          <w:bCs w:val="1"/>
          <w:color w:val="auto"/>
        </w:rPr>
        <w:t>Annual Compliance Certificate</w:t>
      </w:r>
      <w:r>
        <w:rPr>
          <w:rFonts w:ascii="Arial" w:cs="Arial" w:eastAsia="Arial" w:hAnsi="Arial"/>
          <w:sz w:val="11"/>
          <w:szCs w:val="11"/>
          <w:color w:val="auto"/>
        </w:rPr>
        <w:t>: as soon as practicable, and in any event within 120 days after the end of each Financial Year, an Annual Compliance</w:t>
      </w:r>
      <w:r>
        <w:rPr>
          <w:rFonts w:ascii="Arial" w:cs="Arial" w:eastAsia="Arial" w:hAnsi="Arial"/>
          <w:sz w:val="11"/>
          <w:szCs w:val="11"/>
          <w:b w:val="1"/>
          <w:bCs w:val="1"/>
          <w:color w:val="auto"/>
        </w:rPr>
        <w:t xml:space="preserve"> </w:t>
      </w:r>
      <w:r>
        <w:rPr>
          <w:rFonts w:ascii="Arial" w:cs="Arial" w:eastAsia="Arial" w:hAnsi="Arial"/>
          <w:sz w:val="11"/>
          <w:szCs w:val="11"/>
          <w:color w:val="auto"/>
        </w:rPr>
        <w:t>Certificate for that Financial Year signed by at least one director of the Borrower;</w:t>
      </w:r>
    </w:p>
    <w:p>
      <w:pPr>
        <w:spacing w:after="0" w:line="10" w:lineRule="exact"/>
        <w:rPr>
          <w:rFonts w:ascii="Arial" w:cs="Arial" w:eastAsia="Arial" w:hAnsi="Arial"/>
          <w:sz w:val="11"/>
          <w:szCs w:val="11"/>
          <w:color w:val="auto"/>
        </w:rPr>
      </w:pPr>
    </w:p>
    <w:p>
      <w:pPr>
        <w:ind w:left="1080" w:right="620" w:hanging="280"/>
        <w:spacing w:after="0" w:line="268" w:lineRule="auto"/>
        <w:tabs>
          <w:tab w:leader="none" w:pos="1080" w:val="left"/>
        </w:tabs>
        <w:numPr>
          <w:ilvl w:val="0"/>
          <w:numId w:val="142"/>
        </w:numPr>
        <w:rPr>
          <w:rFonts w:ascii="Arial" w:cs="Arial" w:eastAsia="Arial" w:hAnsi="Arial"/>
          <w:sz w:val="11"/>
          <w:szCs w:val="11"/>
          <w:color w:val="auto"/>
        </w:rPr>
      </w:pPr>
      <w:r>
        <w:rPr>
          <w:rFonts w:ascii="Arial" w:cs="Arial" w:eastAsia="Arial" w:hAnsi="Arial"/>
          <w:sz w:val="11"/>
          <w:szCs w:val="11"/>
          <w:b w:val="1"/>
          <w:bCs w:val="1"/>
          <w:color w:val="auto"/>
        </w:rPr>
        <w:t xml:space="preserve">Interim Compliance Certificate: </w:t>
      </w:r>
      <w:r>
        <w:rPr>
          <w:rFonts w:ascii="Arial" w:cs="Arial" w:eastAsia="Arial" w:hAnsi="Arial"/>
          <w:sz w:val="11"/>
          <w:szCs w:val="11"/>
          <w:color w:val="auto"/>
        </w:rPr>
        <w:t>as soon as practicable, and in any event within 45 days after the end of each Quarter (other than the Quarter ending 31</w:t>
      </w:r>
      <w:r>
        <w:rPr>
          <w:rFonts w:ascii="Arial" w:cs="Arial" w:eastAsia="Arial" w:hAnsi="Arial"/>
          <w:sz w:val="11"/>
          <w:szCs w:val="11"/>
          <w:b w:val="1"/>
          <w:bCs w:val="1"/>
          <w:color w:val="auto"/>
        </w:rPr>
        <w:t xml:space="preserve"> </w:t>
      </w:r>
      <w:r>
        <w:rPr>
          <w:rFonts w:ascii="Arial" w:cs="Arial" w:eastAsia="Arial" w:hAnsi="Arial"/>
          <w:sz w:val="11"/>
          <w:szCs w:val="11"/>
          <w:color w:val="auto"/>
        </w:rPr>
        <w:t>December) an Interim Compliance Certificate for the previous 12 months signed by at least one director of the Borrower;</w:t>
      </w:r>
    </w:p>
    <w:p>
      <w:pPr>
        <w:spacing w:after="0" w:line="10" w:lineRule="exact"/>
        <w:rPr>
          <w:rFonts w:ascii="Arial" w:cs="Arial" w:eastAsia="Arial" w:hAnsi="Arial"/>
          <w:sz w:val="11"/>
          <w:szCs w:val="11"/>
          <w:color w:val="auto"/>
        </w:rPr>
      </w:pPr>
    </w:p>
    <w:p>
      <w:pPr>
        <w:ind w:left="1080" w:right="340" w:hanging="280"/>
        <w:spacing w:after="0" w:line="268" w:lineRule="auto"/>
        <w:tabs>
          <w:tab w:leader="none" w:pos="1080" w:val="left"/>
        </w:tabs>
        <w:numPr>
          <w:ilvl w:val="0"/>
          <w:numId w:val="142"/>
        </w:numPr>
        <w:rPr>
          <w:rFonts w:ascii="Arial" w:cs="Arial" w:eastAsia="Arial" w:hAnsi="Arial"/>
          <w:sz w:val="11"/>
          <w:szCs w:val="11"/>
          <w:color w:val="auto"/>
        </w:rPr>
      </w:pPr>
      <w:r>
        <w:rPr>
          <w:rFonts w:ascii="Arial" w:cs="Arial" w:eastAsia="Arial" w:hAnsi="Arial"/>
          <w:sz w:val="11"/>
          <w:szCs w:val="11"/>
          <w:b w:val="1"/>
          <w:bCs w:val="1"/>
          <w:color w:val="auto"/>
        </w:rPr>
        <w:t>tenancy schedule</w:t>
      </w:r>
      <w:r>
        <w:rPr>
          <w:rFonts w:ascii="Arial" w:cs="Arial" w:eastAsia="Arial" w:hAnsi="Arial"/>
          <w:sz w:val="11"/>
          <w:szCs w:val="11"/>
          <w:color w:val="auto"/>
        </w:rPr>
        <w:t>: as soon as practicable, and in any event within 120 days of the end of each Financial Year an updated tenancy schedule for each Freehold</w:t>
      </w:r>
      <w:r>
        <w:rPr>
          <w:rFonts w:ascii="Arial" w:cs="Arial" w:eastAsia="Arial" w:hAnsi="Arial"/>
          <w:sz w:val="11"/>
          <w:szCs w:val="11"/>
          <w:b w:val="1"/>
          <w:bCs w:val="1"/>
          <w:color w:val="auto"/>
        </w:rPr>
        <w:t xml:space="preserve"> </w:t>
      </w:r>
      <w:r>
        <w:rPr>
          <w:rFonts w:ascii="Arial" w:cs="Arial" w:eastAsia="Arial" w:hAnsi="Arial"/>
          <w:sz w:val="11"/>
          <w:szCs w:val="11"/>
          <w:color w:val="auto"/>
        </w:rPr>
        <w:t>Property, including (without limitation) the following details:</w:t>
      </w:r>
    </w:p>
    <w:p>
      <w:pPr>
        <w:spacing w:after="0" w:line="31" w:lineRule="exact"/>
        <w:rPr>
          <w:rFonts w:ascii="Arial" w:cs="Arial" w:eastAsia="Arial" w:hAnsi="Arial"/>
          <w:sz w:val="11"/>
          <w:szCs w:val="11"/>
          <w:color w:val="auto"/>
        </w:rPr>
      </w:pPr>
    </w:p>
    <w:p>
      <w:pPr>
        <w:ind w:left="1400" w:hanging="292"/>
        <w:spacing w:after="0"/>
        <w:tabs>
          <w:tab w:leader="none" w:pos="1400" w:val="left"/>
        </w:tabs>
        <w:numPr>
          <w:ilvl w:val="1"/>
          <w:numId w:val="142"/>
        </w:numPr>
        <w:rPr>
          <w:rFonts w:ascii="Arial" w:cs="Arial" w:eastAsia="Arial" w:hAnsi="Arial"/>
          <w:sz w:val="11"/>
          <w:szCs w:val="11"/>
          <w:color w:val="auto"/>
        </w:rPr>
      </w:pPr>
      <w:r>
        <w:rPr>
          <w:rFonts w:ascii="Arial" w:cs="Arial" w:eastAsia="Arial" w:hAnsi="Arial"/>
          <w:sz w:val="11"/>
          <w:szCs w:val="11"/>
          <w:color w:val="auto"/>
        </w:rPr>
        <w:t>the name of each tenant;</w:t>
      </w:r>
    </w:p>
    <w:p>
      <w:pPr>
        <w:spacing w:after="0" w:line="76" w:lineRule="exact"/>
        <w:rPr>
          <w:rFonts w:ascii="Arial" w:cs="Arial" w:eastAsia="Arial" w:hAnsi="Arial"/>
          <w:sz w:val="11"/>
          <w:szCs w:val="11"/>
          <w:color w:val="auto"/>
        </w:rPr>
      </w:pPr>
    </w:p>
    <w:p>
      <w:pPr>
        <w:ind w:left="1400" w:hanging="292"/>
        <w:spacing w:after="0"/>
        <w:tabs>
          <w:tab w:leader="none" w:pos="1400" w:val="left"/>
        </w:tabs>
        <w:numPr>
          <w:ilvl w:val="1"/>
          <w:numId w:val="142"/>
        </w:numPr>
        <w:rPr>
          <w:rFonts w:ascii="Arial" w:cs="Arial" w:eastAsia="Arial" w:hAnsi="Arial"/>
          <w:sz w:val="11"/>
          <w:szCs w:val="11"/>
          <w:color w:val="auto"/>
        </w:rPr>
      </w:pPr>
      <w:r>
        <w:rPr>
          <w:rFonts w:ascii="Arial" w:cs="Arial" w:eastAsia="Arial" w:hAnsi="Arial"/>
          <w:sz w:val="11"/>
          <w:szCs w:val="11"/>
          <w:color w:val="auto"/>
        </w:rPr>
        <w:t>area let by each tenant;</w:t>
      </w:r>
    </w:p>
    <w:p>
      <w:pPr>
        <w:spacing w:after="0" w:line="76" w:lineRule="exact"/>
        <w:rPr>
          <w:rFonts w:ascii="Arial" w:cs="Arial" w:eastAsia="Arial" w:hAnsi="Arial"/>
          <w:sz w:val="11"/>
          <w:szCs w:val="11"/>
          <w:color w:val="auto"/>
        </w:rPr>
      </w:pPr>
    </w:p>
    <w:p>
      <w:pPr>
        <w:ind w:left="1400" w:hanging="292"/>
        <w:spacing w:after="0"/>
        <w:tabs>
          <w:tab w:leader="none" w:pos="1400" w:val="left"/>
        </w:tabs>
        <w:numPr>
          <w:ilvl w:val="1"/>
          <w:numId w:val="142"/>
        </w:numPr>
        <w:rPr>
          <w:rFonts w:ascii="Arial" w:cs="Arial" w:eastAsia="Arial" w:hAnsi="Arial"/>
          <w:sz w:val="11"/>
          <w:szCs w:val="11"/>
          <w:color w:val="auto"/>
        </w:rPr>
      </w:pPr>
      <w:r>
        <w:rPr>
          <w:rFonts w:ascii="Arial" w:cs="Arial" w:eastAsia="Arial" w:hAnsi="Arial"/>
          <w:sz w:val="11"/>
          <w:szCs w:val="11"/>
          <w:color w:val="auto"/>
        </w:rPr>
        <w:t>current passing rent paid by each tenant;</w:t>
      </w:r>
    </w:p>
    <w:p>
      <w:pPr>
        <w:spacing w:after="0" w:line="76" w:lineRule="exact"/>
        <w:rPr>
          <w:rFonts w:ascii="Arial" w:cs="Arial" w:eastAsia="Arial" w:hAnsi="Arial"/>
          <w:sz w:val="11"/>
          <w:szCs w:val="11"/>
          <w:color w:val="auto"/>
        </w:rPr>
      </w:pPr>
    </w:p>
    <w:p>
      <w:pPr>
        <w:ind w:left="1400" w:hanging="292"/>
        <w:spacing w:after="0"/>
        <w:tabs>
          <w:tab w:leader="none" w:pos="1400" w:val="left"/>
        </w:tabs>
        <w:numPr>
          <w:ilvl w:val="1"/>
          <w:numId w:val="142"/>
        </w:numPr>
        <w:rPr>
          <w:rFonts w:ascii="Arial" w:cs="Arial" w:eastAsia="Arial" w:hAnsi="Arial"/>
          <w:sz w:val="11"/>
          <w:szCs w:val="11"/>
          <w:color w:val="auto"/>
        </w:rPr>
      </w:pPr>
      <w:r>
        <w:rPr>
          <w:rFonts w:ascii="Arial" w:cs="Arial" w:eastAsia="Arial" w:hAnsi="Arial"/>
          <w:sz w:val="11"/>
          <w:szCs w:val="11"/>
          <w:color w:val="auto"/>
        </w:rPr>
        <w:t>the lease start date;</w:t>
      </w:r>
    </w:p>
    <w:p>
      <w:pPr>
        <w:spacing w:after="0" w:line="76" w:lineRule="exact"/>
        <w:rPr>
          <w:rFonts w:ascii="Arial" w:cs="Arial" w:eastAsia="Arial" w:hAnsi="Arial"/>
          <w:sz w:val="11"/>
          <w:szCs w:val="11"/>
          <w:color w:val="auto"/>
        </w:rPr>
      </w:pPr>
    </w:p>
    <w:p>
      <w:pPr>
        <w:ind w:left="1400" w:hanging="292"/>
        <w:spacing w:after="0"/>
        <w:tabs>
          <w:tab w:leader="none" w:pos="1400" w:val="left"/>
        </w:tabs>
        <w:numPr>
          <w:ilvl w:val="1"/>
          <w:numId w:val="142"/>
        </w:numPr>
        <w:rPr>
          <w:rFonts w:ascii="Arial" w:cs="Arial" w:eastAsia="Arial" w:hAnsi="Arial"/>
          <w:sz w:val="11"/>
          <w:szCs w:val="11"/>
          <w:color w:val="auto"/>
        </w:rPr>
      </w:pPr>
      <w:r>
        <w:rPr>
          <w:rFonts w:ascii="Arial" w:cs="Arial" w:eastAsia="Arial" w:hAnsi="Arial"/>
          <w:sz w:val="11"/>
          <w:szCs w:val="11"/>
          <w:color w:val="auto"/>
        </w:rPr>
        <w:t>the lease term;</w:t>
      </w:r>
    </w:p>
    <w:p>
      <w:pPr>
        <w:spacing w:after="0" w:line="76" w:lineRule="exact"/>
        <w:rPr>
          <w:rFonts w:ascii="Arial" w:cs="Arial" w:eastAsia="Arial" w:hAnsi="Arial"/>
          <w:sz w:val="11"/>
          <w:szCs w:val="11"/>
          <w:color w:val="auto"/>
        </w:rPr>
      </w:pPr>
    </w:p>
    <w:p>
      <w:pPr>
        <w:ind w:left="1400" w:hanging="292"/>
        <w:spacing w:after="0"/>
        <w:tabs>
          <w:tab w:leader="none" w:pos="1400" w:val="left"/>
        </w:tabs>
        <w:numPr>
          <w:ilvl w:val="1"/>
          <w:numId w:val="142"/>
        </w:numPr>
        <w:rPr>
          <w:rFonts w:ascii="Arial" w:cs="Arial" w:eastAsia="Arial" w:hAnsi="Arial"/>
          <w:sz w:val="11"/>
          <w:szCs w:val="11"/>
          <w:color w:val="auto"/>
        </w:rPr>
      </w:pPr>
      <w:r>
        <w:rPr>
          <w:rFonts w:ascii="Arial" w:cs="Arial" w:eastAsia="Arial" w:hAnsi="Arial"/>
          <w:sz w:val="11"/>
          <w:szCs w:val="11"/>
          <w:color w:val="auto"/>
        </w:rPr>
        <w:t>the lease maturity date;</w:t>
      </w:r>
    </w:p>
    <w:p>
      <w:pPr>
        <w:spacing w:after="0" w:line="83" w:lineRule="exact"/>
        <w:rPr>
          <w:rFonts w:ascii="Arial" w:cs="Arial" w:eastAsia="Arial" w:hAnsi="Arial"/>
          <w:sz w:val="11"/>
          <w:szCs w:val="11"/>
          <w:color w:val="auto"/>
        </w:rPr>
      </w:pPr>
    </w:p>
    <w:p>
      <w:pPr>
        <w:ind w:left="1400" w:hanging="292"/>
        <w:spacing w:after="0"/>
        <w:tabs>
          <w:tab w:leader="none" w:pos="1400" w:val="left"/>
        </w:tabs>
        <w:numPr>
          <w:ilvl w:val="1"/>
          <w:numId w:val="142"/>
        </w:numPr>
        <w:rPr>
          <w:rFonts w:ascii="Arial" w:cs="Arial" w:eastAsia="Arial" w:hAnsi="Arial"/>
          <w:sz w:val="11"/>
          <w:szCs w:val="11"/>
          <w:color w:val="auto"/>
        </w:rPr>
      </w:pPr>
      <w:r>
        <w:rPr>
          <w:rFonts w:ascii="Arial" w:cs="Arial" w:eastAsia="Arial" w:hAnsi="Arial"/>
          <w:sz w:val="11"/>
          <w:szCs w:val="11"/>
          <w:color w:val="auto"/>
        </w:rPr>
        <w:t>the option term (if any);</w:t>
      </w:r>
    </w:p>
    <w:p>
      <w:pPr>
        <w:spacing w:after="0" w:line="76" w:lineRule="exact"/>
        <w:rPr>
          <w:rFonts w:ascii="Arial" w:cs="Arial" w:eastAsia="Arial" w:hAnsi="Arial"/>
          <w:sz w:val="11"/>
          <w:szCs w:val="11"/>
          <w:color w:val="auto"/>
        </w:rPr>
      </w:pPr>
    </w:p>
    <w:p>
      <w:pPr>
        <w:ind w:left="1400" w:hanging="292"/>
        <w:spacing w:after="0"/>
        <w:tabs>
          <w:tab w:leader="none" w:pos="1400" w:val="left"/>
        </w:tabs>
        <w:numPr>
          <w:ilvl w:val="1"/>
          <w:numId w:val="142"/>
        </w:numPr>
        <w:rPr>
          <w:rFonts w:ascii="Arial" w:cs="Arial" w:eastAsia="Arial" w:hAnsi="Arial"/>
          <w:sz w:val="11"/>
          <w:szCs w:val="11"/>
          <w:color w:val="auto"/>
        </w:rPr>
      </w:pPr>
      <w:r>
        <w:rPr>
          <w:rFonts w:ascii="Arial" w:cs="Arial" w:eastAsia="Arial" w:hAnsi="Arial"/>
          <w:sz w:val="11"/>
          <w:szCs w:val="11"/>
          <w:color w:val="auto"/>
        </w:rPr>
        <w:t>rent review details; and</w:t>
      </w:r>
    </w:p>
    <w:p>
      <w:pPr>
        <w:spacing w:after="0" w:line="76" w:lineRule="exact"/>
        <w:rPr>
          <w:rFonts w:ascii="Arial" w:cs="Arial" w:eastAsia="Arial" w:hAnsi="Arial"/>
          <w:sz w:val="11"/>
          <w:szCs w:val="11"/>
          <w:color w:val="auto"/>
        </w:rPr>
      </w:pPr>
    </w:p>
    <w:p>
      <w:pPr>
        <w:ind w:left="1400" w:hanging="292"/>
        <w:spacing w:after="0"/>
        <w:tabs>
          <w:tab w:leader="none" w:pos="1400" w:val="left"/>
        </w:tabs>
        <w:numPr>
          <w:ilvl w:val="1"/>
          <w:numId w:val="142"/>
        </w:numPr>
        <w:rPr>
          <w:rFonts w:ascii="Arial" w:cs="Arial" w:eastAsia="Arial" w:hAnsi="Arial"/>
          <w:sz w:val="11"/>
          <w:szCs w:val="11"/>
          <w:color w:val="auto"/>
        </w:rPr>
      </w:pPr>
      <w:r>
        <w:rPr>
          <w:rFonts w:ascii="Arial" w:cs="Arial" w:eastAsia="Arial" w:hAnsi="Arial"/>
          <w:sz w:val="11"/>
          <w:szCs w:val="11"/>
          <w:color w:val="auto"/>
        </w:rPr>
        <w:t>any other material or special clauses or conditions;</w:t>
      </w:r>
    </w:p>
    <w:p>
      <w:pPr>
        <w:spacing w:after="0" w:line="62" w:lineRule="exact"/>
        <w:rPr>
          <w:rFonts w:ascii="Arial" w:cs="Arial" w:eastAsia="Arial" w:hAnsi="Arial"/>
          <w:sz w:val="11"/>
          <w:szCs w:val="11"/>
          <w:color w:val="auto"/>
        </w:rPr>
      </w:pPr>
    </w:p>
    <w:p>
      <w:pPr>
        <w:ind w:left="1080" w:right="180" w:hanging="280"/>
        <w:spacing w:after="0"/>
        <w:tabs>
          <w:tab w:leader="none" w:pos="1080" w:val="left"/>
        </w:tabs>
        <w:numPr>
          <w:ilvl w:val="0"/>
          <w:numId w:val="142"/>
        </w:numPr>
        <w:rPr>
          <w:rFonts w:ascii="Arial" w:cs="Arial" w:eastAsia="Arial" w:hAnsi="Arial"/>
          <w:sz w:val="11"/>
          <w:szCs w:val="11"/>
          <w:color w:val="auto"/>
        </w:rPr>
      </w:pPr>
      <w:r>
        <w:rPr>
          <w:rFonts w:ascii="Arial" w:cs="Arial" w:eastAsia="Arial" w:hAnsi="Arial"/>
          <w:sz w:val="11"/>
          <w:szCs w:val="11"/>
          <w:b w:val="1"/>
          <w:bCs w:val="1"/>
          <w:color w:val="auto"/>
        </w:rPr>
        <w:t xml:space="preserve">Valuations: </w:t>
      </w:r>
      <w:r>
        <w:rPr>
          <w:rFonts w:ascii="Arial" w:cs="Arial" w:eastAsia="Arial" w:hAnsi="Arial"/>
          <w:sz w:val="11"/>
          <w:szCs w:val="11"/>
          <w:color w:val="auto"/>
        </w:rPr>
        <w:t>on demand (provided that no more than one demand is made in a Financial Year and the Bank reasonably considers that there has been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 material devaluation of the freehold and leasehold interests subject to the Collateral Security), </w:t>
      </w:r>
      <w:r>
        <w:rPr>
          <w:rFonts w:ascii="Arial" w:cs="Arial" w:eastAsia="Arial" w:hAnsi="Arial"/>
          <w:sz w:val="11"/>
          <w:szCs w:val="11"/>
          <w:color w:val="B5082D"/>
          <w:strike w:val="1"/>
        </w:rPr>
        <w:t>and in any event by 31 July 2021 and every 36 months</w:t>
      </w:r>
      <w:r>
        <w:rPr>
          <w:rFonts w:ascii="Arial" w:cs="Arial" w:eastAsia="Arial" w:hAnsi="Arial"/>
          <w:sz w:val="11"/>
          <w:szCs w:val="11"/>
          <w:color w:val="auto"/>
        </w:rPr>
        <w:t xml:space="preserve"> </w:t>
      </w:r>
      <w:r>
        <w:rPr>
          <w:rFonts w:ascii="Arial" w:cs="Arial" w:eastAsia="Arial" w:hAnsi="Arial"/>
          <w:sz w:val="11"/>
          <w:szCs w:val="11"/>
          <w:color w:val="B5082D"/>
          <w:strike w:val="1"/>
        </w:rPr>
        <w:t>thereafter</w:t>
      </w:r>
      <w:r>
        <w:rPr>
          <w:rFonts w:ascii="Arial" w:cs="Arial" w:eastAsia="Arial" w:hAnsi="Arial"/>
          <w:sz w:val="11"/>
          <w:szCs w:val="11"/>
          <w:color w:val="000000"/>
        </w:rPr>
        <w:t>, a Valuation in respect of each Freehold Property and leasehold interest that is subject to the Collateral Security. Each Valuation is to be at the</w:t>
      </w:r>
      <w:r>
        <w:rPr>
          <w:rFonts w:ascii="Arial" w:cs="Arial" w:eastAsia="Arial" w:hAnsi="Arial"/>
          <w:sz w:val="11"/>
          <w:szCs w:val="11"/>
          <w:color w:val="B5082D"/>
        </w:rPr>
        <w:t xml:space="preserve"> </w:t>
      </w:r>
      <w:r>
        <w:rPr>
          <w:rFonts w:ascii="Arial" w:cs="Arial" w:eastAsia="Arial" w:hAnsi="Arial"/>
          <w:sz w:val="11"/>
          <w:szCs w:val="11"/>
          <w:color w:val="000000"/>
        </w:rPr>
        <w:t>Borrower’s expense, addressed to the Bank, conducted by an Approved Valuer and in a form and substance (other than as to value) reasonably satisfactory to the Bank;</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42</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10" w:name="page111"/>
    <w:bookmarkEnd w:id="110"/>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80" w:right="120" w:hanging="280"/>
        <w:spacing w:after="0" w:line="247" w:lineRule="auto"/>
        <w:tabs>
          <w:tab w:leader="none" w:pos="1080" w:val="left"/>
        </w:tabs>
        <w:numPr>
          <w:ilvl w:val="0"/>
          <w:numId w:val="143"/>
        </w:numPr>
        <w:rPr>
          <w:rFonts w:ascii="Arial" w:cs="Arial" w:eastAsia="Arial" w:hAnsi="Arial"/>
          <w:sz w:val="11"/>
          <w:szCs w:val="11"/>
          <w:color w:val="auto"/>
        </w:rPr>
      </w:pPr>
      <w:r>
        <w:rPr>
          <w:rFonts w:ascii="Arial" w:cs="Arial" w:eastAsia="Arial" w:hAnsi="Arial"/>
          <w:sz w:val="11"/>
          <w:szCs w:val="11"/>
          <w:b w:val="1"/>
          <w:bCs w:val="1"/>
          <w:color w:val="auto"/>
        </w:rPr>
        <w:t xml:space="preserve">details of any proceeding: </w:t>
      </w:r>
      <w:r>
        <w:rPr>
          <w:rFonts w:ascii="Arial" w:cs="Arial" w:eastAsia="Arial" w:hAnsi="Arial"/>
          <w:sz w:val="11"/>
          <w:szCs w:val="11"/>
          <w:color w:val="auto"/>
        </w:rPr>
        <w:t>full details of any litigation, arbitration, administrative proceeding or native title claim which affects a Transaction Party and which has or</w:t>
      </w:r>
      <w:r>
        <w:rPr>
          <w:rFonts w:ascii="Arial" w:cs="Arial" w:eastAsia="Arial" w:hAnsi="Arial"/>
          <w:sz w:val="11"/>
          <w:szCs w:val="11"/>
          <w:b w:val="1"/>
          <w:bCs w:val="1"/>
          <w:color w:val="auto"/>
        </w:rPr>
        <w:t xml:space="preserve"> </w:t>
      </w:r>
      <w:r>
        <w:rPr>
          <w:rFonts w:ascii="Arial" w:cs="Arial" w:eastAsia="Arial" w:hAnsi="Arial"/>
          <w:sz w:val="11"/>
          <w:szCs w:val="11"/>
          <w:color w:val="auto"/>
        </w:rPr>
        <w:t>the adverse determination of which would be likely to have a Material Adverse Effect, as soon as it is commenced or to the knowledge of the Borrower is threatened; and</w:t>
      </w:r>
    </w:p>
    <w:p>
      <w:pPr>
        <w:spacing w:after="0" w:line="21" w:lineRule="exact"/>
        <w:rPr>
          <w:rFonts w:ascii="Arial" w:cs="Arial" w:eastAsia="Arial" w:hAnsi="Arial"/>
          <w:sz w:val="11"/>
          <w:szCs w:val="11"/>
          <w:color w:val="auto"/>
        </w:rPr>
      </w:pPr>
    </w:p>
    <w:p>
      <w:pPr>
        <w:ind w:left="1080" w:hanging="280"/>
        <w:spacing w:after="0"/>
        <w:tabs>
          <w:tab w:leader="none" w:pos="1080" w:val="left"/>
        </w:tabs>
        <w:numPr>
          <w:ilvl w:val="0"/>
          <w:numId w:val="143"/>
        </w:numPr>
        <w:rPr>
          <w:rFonts w:ascii="Arial" w:cs="Arial" w:eastAsia="Arial" w:hAnsi="Arial"/>
          <w:sz w:val="11"/>
          <w:szCs w:val="11"/>
          <w:color w:val="auto"/>
        </w:rPr>
      </w:pPr>
      <w:r>
        <w:rPr>
          <w:rFonts w:ascii="Arial" w:cs="Arial" w:eastAsia="Arial" w:hAnsi="Arial"/>
          <w:sz w:val="11"/>
          <w:szCs w:val="11"/>
          <w:b w:val="1"/>
          <w:bCs w:val="1"/>
          <w:color w:val="auto"/>
        </w:rPr>
        <w:t xml:space="preserve">claims: </w:t>
      </w:r>
      <w:r>
        <w:rPr>
          <w:rFonts w:ascii="Arial" w:cs="Arial" w:eastAsia="Arial" w:hAnsi="Arial"/>
          <w:sz w:val="11"/>
          <w:szCs w:val="11"/>
          <w:color w:val="auto"/>
        </w:rPr>
        <w:t>on being notified of it, full details of any event which entitles the Borrower or the Bank to claim more than $1,000,000 under the Insurances.</w:t>
      </w:r>
    </w:p>
    <w:p>
      <w:pPr>
        <w:spacing w:after="0" w:line="84"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9.6</w:t>
      </w:r>
      <w:r>
        <w:rPr>
          <w:sz w:val="20"/>
          <w:szCs w:val="20"/>
          <w:color w:val="auto"/>
        </w:rPr>
        <w:tab/>
      </w:r>
      <w:r>
        <w:rPr>
          <w:rFonts w:ascii="Arial" w:cs="Arial" w:eastAsia="Arial" w:hAnsi="Arial"/>
          <w:sz w:val="11"/>
          <w:szCs w:val="11"/>
          <w:b w:val="1"/>
          <w:bCs w:val="1"/>
          <w:color w:val="auto"/>
        </w:rPr>
        <w:t>Other financial undertakings</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1"/>
          <w:szCs w:val="11"/>
          <w:color w:val="auto"/>
        </w:rPr>
        <w:t>Each Transaction Party must ensure that:</w:t>
      </w:r>
    </w:p>
    <w:p>
      <w:pPr>
        <w:spacing w:after="0" w:line="63" w:lineRule="exact"/>
        <w:rPr>
          <w:sz w:val="20"/>
          <w:szCs w:val="20"/>
          <w:color w:val="auto"/>
        </w:rPr>
      </w:pPr>
    </w:p>
    <w:p>
      <w:pPr>
        <w:ind w:left="1080" w:hanging="280"/>
        <w:spacing w:after="0"/>
        <w:tabs>
          <w:tab w:leader="none" w:pos="1080" w:val="left"/>
        </w:tabs>
        <w:numPr>
          <w:ilvl w:val="0"/>
          <w:numId w:val="144"/>
        </w:numPr>
        <w:rPr>
          <w:rFonts w:ascii="Arial" w:cs="Arial" w:eastAsia="Arial" w:hAnsi="Arial"/>
          <w:sz w:val="11"/>
          <w:szCs w:val="11"/>
          <w:color w:val="auto"/>
        </w:rPr>
      </w:pPr>
      <w:r>
        <w:rPr>
          <w:rFonts w:ascii="Arial" w:cs="Arial" w:eastAsia="Arial" w:hAnsi="Arial"/>
          <w:sz w:val="11"/>
          <w:szCs w:val="11"/>
          <w:b w:val="1"/>
          <w:bCs w:val="1"/>
          <w:color w:val="auto"/>
        </w:rPr>
        <w:t xml:space="preserve">negative pledge: </w:t>
      </w:r>
      <w:r>
        <w:rPr>
          <w:rFonts w:ascii="Arial" w:cs="Arial" w:eastAsia="Arial" w:hAnsi="Arial"/>
          <w:sz w:val="11"/>
          <w:szCs w:val="11"/>
          <w:color w:val="auto"/>
        </w:rPr>
        <w:t>no Encumbrances exist on its property, except Permitted Encumbrances;</w:t>
      </w:r>
    </w:p>
    <w:p>
      <w:pPr>
        <w:spacing w:after="0" w:line="47" w:lineRule="exact"/>
        <w:rPr>
          <w:rFonts w:ascii="Arial" w:cs="Arial" w:eastAsia="Arial" w:hAnsi="Arial"/>
          <w:sz w:val="11"/>
          <w:szCs w:val="11"/>
          <w:color w:val="auto"/>
        </w:rPr>
      </w:pPr>
    </w:p>
    <w:p>
      <w:pPr>
        <w:ind w:left="1080" w:hanging="280"/>
        <w:spacing w:after="0"/>
        <w:tabs>
          <w:tab w:leader="none" w:pos="1080" w:val="left"/>
        </w:tabs>
        <w:numPr>
          <w:ilvl w:val="0"/>
          <w:numId w:val="144"/>
        </w:numPr>
        <w:rPr>
          <w:rFonts w:ascii="Arial" w:cs="Arial" w:eastAsia="Arial" w:hAnsi="Arial"/>
          <w:sz w:val="11"/>
          <w:szCs w:val="11"/>
          <w:color w:val="auto"/>
        </w:rPr>
      </w:pPr>
      <w:r>
        <w:rPr>
          <w:rFonts w:ascii="Arial" w:cs="Arial" w:eastAsia="Arial" w:hAnsi="Arial"/>
          <w:sz w:val="11"/>
          <w:szCs w:val="11"/>
          <w:b w:val="1"/>
          <w:bCs w:val="1"/>
          <w:color w:val="auto"/>
        </w:rPr>
        <w:t xml:space="preserve">permitted financial transactions: </w:t>
      </w:r>
      <w:r>
        <w:rPr>
          <w:rFonts w:ascii="Arial" w:cs="Arial" w:eastAsia="Arial" w:hAnsi="Arial"/>
          <w:sz w:val="11"/>
          <w:szCs w:val="11"/>
          <w:color w:val="auto"/>
        </w:rPr>
        <w:t>it does not, without the prior written consent of the Bank:</w:t>
      </w:r>
    </w:p>
    <w:p>
      <w:pPr>
        <w:spacing w:after="0" w:line="43" w:lineRule="exact"/>
        <w:rPr>
          <w:rFonts w:ascii="Arial" w:cs="Arial" w:eastAsia="Arial" w:hAnsi="Arial"/>
          <w:sz w:val="11"/>
          <w:szCs w:val="11"/>
          <w:color w:val="auto"/>
        </w:rPr>
      </w:pPr>
    </w:p>
    <w:p>
      <w:pPr>
        <w:ind w:left="1400" w:hanging="285"/>
        <w:spacing w:after="0"/>
        <w:tabs>
          <w:tab w:leader="none" w:pos="1400" w:val="left"/>
        </w:tabs>
        <w:numPr>
          <w:ilvl w:val="1"/>
          <w:numId w:val="144"/>
        </w:numPr>
        <w:rPr>
          <w:rFonts w:ascii="Arial" w:cs="Arial" w:eastAsia="Arial" w:hAnsi="Arial"/>
          <w:sz w:val="11"/>
          <w:szCs w:val="11"/>
          <w:color w:val="auto"/>
        </w:rPr>
      </w:pPr>
      <w:r>
        <w:rPr>
          <w:rFonts w:ascii="Arial" w:cs="Arial" w:eastAsia="Arial" w:hAnsi="Arial"/>
          <w:sz w:val="11"/>
          <w:szCs w:val="11"/>
          <w:color w:val="auto"/>
        </w:rPr>
        <w:t>incur any Financial Indebtedness except Permitted Financial Indebtedness;</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44"/>
        </w:numPr>
        <w:rPr>
          <w:rFonts w:ascii="Arial" w:cs="Arial" w:eastAsia="Arial" w:hAnsi="Arial"/>
          <w:sz w:val="11"/>
          <w:szCs w:val="11"/>
          <w:color w:val="auto"/>
        </w:rPr>
      </w:pPr>
      <w:r>
        <w:rPr>
          <w:rFonts w:ascii="Arial" w:cs="Arial" w:eastAsia="Arial" w:hAnsi="Arial"/>
          <w:sz w:val="11"/>
          <w:szCs w:val="11"/>
          <w:color w:val="auto"/>
        </w:rPr>
        <w:t>provide any financial accommodation (excluding trade credit in the ordinary course of business) except Permitted Financial Accommodation;</w:t>
      </w:r>
    </w:p>
    <w:p>
      <w:pPr>
        <w:sectPr>
          <w:pgSz w:w="11900" w:h="16840" w:orient="portrait"/>
          <w:cols w:equalWidth="0" w:num="1">
            <w:col w:w="9280"/>
          </w:cols>
          <w:pgMar w:left="1360" w:top="565" w:right="1260" w:bottom="1440" w:gutter="0" w:footer="0" w:header="0"/>
        </w:sectPr>
      </w:pPr>
    </w:p>
    <w:p>
      <w:pPr>
        <w:spacing w:after="0" w:line="40" w:lineRule="exact"/>
        <w:rPr>
          <w:sz w:val="20"/>
          <w:szCs w:val="20"/>
          <w:color w:val="auto"/>
        </w:rPr>
      </w:pPr>
    </w:p>
    <w:p>
      <w:pPr>
        <w:ind w:left="800"/>
        <w:spacing w:after="0"/>
        <w:tabs>
          <w:tab w:leader="none" w:pos="1060" w:val="left"/>
          <w:tab w:leader="none" w:pos="1720" w:val="left"/>
          <w:tab w:leader="none" w:pos="2080" w:val="left"/>
          <w:tab w:leader="none" w:pos="2340" w:val="left"/>
          <w:tab w:leader="none" w:pos="3060" w:val="left"/>
          <w:tab w:leader="none" w:pos="3340" w:val="left"/>
          <w:tab w:leader="none" w:pos="3540" w:val="left"/>
          <w:tab w:leader="none" w:pos="3780" w:val="left"/>
          <w:tab w:leader="none" w:pos="4240" w:val="left"/>
          <w:tab w:leader="none" w:pos="4620" w:val="left"/>
        </w:tabs>
        <w:rPr>
          <w:sz w:val="20"/>
          <w:szCs w:val="20"/>
          <w:color w:val="auto"/>
        </w:rPr>
      </w:pPr>
      <w:r>
        <w:rPr>
          <w:rFonts w:ascii="Arial" w:cs="Arial" w:eastAsia="Arial" w:hAnsi="Arial"/>
          <w:sz w:val="11"/>
          <w:szCs w:val="11"/>
          <w:color w:val="auto"/>
        </w:rPr>
        <w:t>(c)</w:t>
      </w:r>
      <w:r>
        <w:rPr>
          <w:sz w:val="20"/>
          <w:szCs w:val="20"/>
          <w:color w:val="auto"/>
        </w:rPr>
        <w:tab/>
      </w:r>
      <w:r>
        <w:rPr>
          <w:rFonts w:ascii="Arial" w:cs="Arial" w:eastAsia="Arial" w:hAnsi="Arial"/>
          <w:sz w:val="11"/>
          <w:szCs w:val="11"/>
          <w:b w:val="1"/>
          <w:bCs w:val="1"/>
          <w:color w:val="auto"/>
        </w:rPr>
        <w:t>disposals:</w:t>
      </w:r>
      <w:r>
        <w:rPr>
          <w:sz w:val="20"/>
          <w:szCs w:val="20"/>
          <w:color w:val="auto"/>
        </w:rPr>
        <w:tab/>
      </w:r>
      <w:r>
        <w:rPr>
          <w:rFonts w:ascii="Arial" w:cs="Arial" w:eastAsia="Arial" w:hAnsi="Arial"/>
          <w:sz w:val="11"/>
          <w:szCs w:val="11"/>
          <w:color w:val="auto"/>
        </w:rPr>
        <w:t>must</w:t>
        <w:tab/>
        <w:t>not</w:t>
        <w:tab/>
        <w:t>dispose of</w:t>
        <w:tab/>
        <w:t>any</w:t>
        <w:tab/>
        <w:t>of</w:t>
        <w:tab/>
        <w:t>its</w:t>
        <w:tab/>
        <w:t>assets,</w:t>
        <w:tab/>
        <w:t>either</w:t>
        <w:tab/>
        <w:t>in</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spacing w:after="0"/>
        <w:tabs>
          <w:tab w:leader="none" w:pos="80" w:val="left"/>
        </w:tabs>
        <w:rPr>
          <w:sz w:val="20"/>
          <w:szCs w:val="20"/>
          <w:color w:val="auto"/>
        </w:rPr>
      </w:pPr>
      <w:r>
        <w:rPr>
          <w:rFonts w:ascii="Arial" w:cs="Arial" w:eastAsia="Arial" w:hAnsi="Arial"/>
          <w:sz w:val="11"/>
          <w:szCs w:val="11"/>
          <w:color w:val="auto"/>
        </w:rPr>
        <w:t>a</w:t>
        <w:tab/>
        <w:t>single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transaction or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in</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a</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series of</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transactions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whether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related</w:t>
      </w:r>
    </w:p>
    <w:p>
      <w:pPr>
        <w:spacing w:after="0" w:line="9" w:lineRule="exact"/>
        <w:rPr>
          <w:sz w:val="20"/>
          <w:szCs w:val="20"/>
          <w:color w:val="auto"/>
        </w:rPr>
      </w:pPr>
    </w:p>
    <w:p>
      <w:pPr>
        <w:sectPr>
          <w:pgSz w:w="11900" w:h="16840" w:orient="portrait"/>
          <w:cols w:equalWidth="0" w:num="9">
            <w:col w:w="4740" w:space="120"/>
            <w:col w:w="460" w:space="100"/>
            <w:col w:w="760" w:space="120"/>
            <w:col w:w="80" w:space="120"/>
            <w:col w:w="60" w:space="200"/>
            <w:col w:w="420" w:space="120"/>
            <w:col w:w="600" w:space="120"/>
            <w:col w:w="400" w:space="120"/>
            <w:col w:w="740"/>
          </w:cols>
          <w:pgMar w:left="1360" w:top="565" w:right="1260" w:bottom="1440" w:gutter="0" w:footer="0" w:header="0"/>
          <w:type w:val="continuous"/>
        </w:sectPr>
      </w:pPr>
    </w:p>
    <w:p>
      <w:pPr>
        <w:ind w:left="1080"/>
        <w:spacing w:after="0"/>
        <w:rPr>
          <w:sz w:val="20"/>
          <w:szCs w:val="20"/>
          <w:color w:val="auto"/>
        </w:rPr>
      </w:pPr>
      <w:r>
        <w:rPr>
          <w:rFonts w:ascii="Arial" w:cs="Arial" w:eastAsia="Arial" w:hAnsi="Arial"/>
          <w:sz w:val="11"/>
          <w:szCs w:val="11"/>
          <w:color w:val="auto"/>
        </w:rPr>
        <w:t>or not and whether voluntary or involuntary, except Permitted Disposals;</w:t>
      </w:r>
    </w:p>
    <w:p>
      <w:pPr>
        <w:sectPr>
          <w:pgSz w:w="11900" w:h="16840" w:orient="portrait"/>
          <w:cols w:equalWidth="0" w:num="1">
            <w:col w:w="9280"/>
          </w:cols>
          <w:pgMar w:left="1360" w:top="565" w:right="1260" w:bottom="1440" w:gutter="0" w:footer="0" w:header="0"/>
          <w:type w:val="continuous"/>
        </w:sectPr>
      </w:pPr>
    </w:p>
    <w:p>
      <w:pPr>
        <w:spacing w:after="0" w:line="41" w:lineRule="exact"/>
        <w:rPr>
          <w:sz w:val="20"/>
          <w:szCs w:val="20"/>
          <w:color w:val="auto"/>
        </w:rPr>
      </w:pPr>
    </w:p>
    <w:p>
      <w:pPr>
        <w:ind w:left="1080" w:hanging="280"/>
        <w:spacing w:after="0"/>
        <w:tabs>
          <w:tab w:leader="none" w:pos="1080" w:val="left"/>
        </w:tabs>
        <w:numPr>
          <w:ilvl w:val="0"/>
          <w:numId w:val="145"/>
        </w:numPr>
        <w:rPr>
          <w:rFonts w:ascii="Arial" w:cs="Arial" w:eastAsia="Arial" w:hAnsi="Arial"/>
          <w:sz w:val="11"/>
          <w:szCs w:val="11"/>
          <w:color w:val="auto"/>
        </w:rPr>
      </w:pPr>
      <w:r>
        <w:rPr>
          <w:rFonts w:ascii="Arial" w:cs="Arial" w:eastAsia="Arial" w:hAnsi="Arial"/>
          <w:sz w:val="11"/>
          <w:szCs w:val="11"/>
          <w:b w:val="1"/>
          <w:bCs w:val="1"/>
          <w:color w:val="auto"/>
        </w:rPr>
        <w:t xml:space="preserve">mergers: </w:t>
      </w:r>
      <w:r>
        <w:rPr>
          <w:rFonts w:ascii="Arial" w:cs="Arial" w:eastAsia="Arial" w:hAnsi="Arial"/>
          <w:sz w:val="11"/>
          <w:szCs w:val="11"/>
          <w:color w:val="auto"/>
        </w:rPr>
        <w:t>a Transaction Party does not:</w:t>
      </w:r>
    </w:p>
    <w:p>
      <w:pPr>
        <w:spacing w:after="0" w:line="65" w:lineRule="exact"/>
        <w:rPr>
          <w:rFonts w:ascii="Arial" w:cs="Arial" w:eastAsia="Arial" w:hAnsi="Arial"/>
          <w:sz w:val="11"/>
          <w:szCs w:val="11"/>
          <w:color w:val="auto"/>
        </w:rPr>
      </w:pPr>
    </w:p>
    <w:p>
      <w:pPr>
        <w:ind w:left="1400" w:hanging="285"/>
        <w:spacing w:after="0"/>
        <w:tabs>
          <w:tab w:leader="none" w:pos="1400" w:val="left"/>
        </w:tabs>
        <w:numPr>
          <w:ilvl w:val="1"/>
          <w:numId w:val="145"/>
        </w:numPr>
        <w:rPr>
          <w:rFonts w:ascii="Arial" w:cs="Arial" w:eastAsia="Arial" w:hAnsi="Arial"/>
          <w:sz w:val="11"/>
          <w:szCs w:val="11"/>
          <w:color w:val="auto"/>
        </w:rPr>
      </w:pPr>
      <w:r>
        <w:rPr>
          <w:rFonts w:ascii="Arial" w:cs="Arial" w:eastAsia="Arial" w:hAnsi="Arial"/>
          <w:sz w:val="11"/>
          <w:szCs w:val="11"/>
          <w:color w:val="auto"/>
        </w:rPr>
        <w:t>enter into any merger, reconstruction or amalgamation; or</w:t>
      </w:r>
    </w:p>
    <w:p>
      <w:pPr>
        <w:spacing w:after="0" w:line="68" w:lineRule="exact"/>
        <w:rPr>
          <w:rFonts w:ascii="Arial" w:cs="Arial" w:eastAsia="Arial" w:hAnsi="Arial"/>
          <w:sz w:val="11"/>
          <w:szCs w:val="11"/>
          <w:color w:val="auto"/>
        </w:rPr>
      </w:pPr>
    </w:p>
    <w:p>
      <w:pPr>
        <w:ind w:left="1100" w:right="260" w:firstLine="15"/>
        <w:spacing w:after="0" w:line="350" w:lineRule="auto"/>
        <w:tabs>
          <w:tab w:leader="none" w:pos="1385" w:val="left"/>
        </w:tabs>
        <w:numPr>
          <w:ilvl w:val="1"/>
          <w:numId w:val="145"/>
        </w:numPr>
        <w:rPr>
          <w:rFonts w:ascii="Arial" w:cs="Arial" w:eastAsia="Arial" w:hAnsi="Arial"/>
          <w:sz w:val="11"/>
          <w:szCs w:val="11"/>
          <w:color w:val="auto"/>
        </w:rPr>
      </w:pPr>
      <w:r>
        <w:rPr>
          <w:rFonts w:ascii="Arial" w:cs="Arial" w:eastAsia="Arial" w:hAnsi="Arial"/>
          <w:sz w:val="11"/>
          <w:szCs w:val="11"/>
          <w:color w:val="auto"/>
        </w:rPr>
        <w:t>acquire any property or business or make any investment if the property, business or investment is substantial in relation to the relevant Transaction Party, if it would have or be likely to have a Material Adverse Effect;</w:t>
      </w:r>
    </w:p>
    <w:p>
      <w:pPr>
        <w:ind w:left="1080" w:hanging="280"/>
        <w:spacing w:after="0"/>
        <w:tabs>
          <w:tab w:leader="none" w:pos="1080" w:val="left"/>
        </w:tabs>
        <w:numPr>
          <w:ilvl w:val="0"/>
          <w:numId w:val="145"/>
        </w:numPr>
        <w:rPr>
          <w:rFonts w:ascii="Arial" w:cs="Arial" w:eastAsia="Arial" w:hAnsi="Arial"/>
          <w:sz w:val="11"/>
          <w:szCs w:val="11"/>
          <w:color w:val="auto"/>
        </w:rPr>
      </w:pPr>
      <w:r>
        <w:rPr>
          <w:rFonts w:ascii="Arial" w:cs="Arial" w:eastAsia="Arial" w:hAnsi="Arial"/>
          <w:sz w:val="11"/>
          <w:szCs w:val="11"/>
          <w:b w:val="1"/>
          <w:bCs w:val="1"/>
          <w:color w:val="auto"/>
        </w:rPr>
        <w:t xml:space="preserve">maintain status: </w:t>
      </w:r>
      <w:r>
        <w:rPr>
          <w:rFonts w:ascii="Arial" w:cs="Arial" w:eastAsia="Arial" w:hAnsi="Arial"/>
          <w:sz w:val="11"/>
          <w:szCs w:val="11"/>
          <w:color w:val="auto"/>
        </w:rPr>
        <w:t>it does everything necessary to maintain its corporate existence in good standing and:</w:t>
      </w:r>
    </w:p>
    <w:p>
      <w:pPr>
        <w:spacing w:after="0" w:line="52" w:lineRule="exact"/>
        <w:rPr>
          <w:rFonts w:ascii="Arial" w:cs="Arial" w:eastAsia="Arial" w:hAnsi="Arial"/>
          <w:sz w:val="11"/>
          <w:szCs w:val="11"/>
          <w:color w:val="auto"/>
        </w:rPr>
      </w:pPr>
    </w:p>
    <w:p>
      <w:pPr>
        <w:ind w:left="1400" w:hanging="285"/>
        <w:spacing w:after="0"/>
        <w:tabs>
          <w:tab w:leader="none" w:pos="1400" w:val="left"/>
        </w:tabs>
        <w:numPr>
          <w:ilvl w:val="1"/>
          <w:numId w:val="145"/>
        </w:numPr>
        <w:rPr>
          <w:rFonts w:ascii="Arial" w:cs="Arial" w:eastAsia="Arial" w:hAnsi="Arial"/>
          <w:sz w:val="11"/>
          <w:szCs w:val="11"/>
          <w:color w:val="auto"/>
        </w:rPr>
      </w:pPr>
      <w:r>
        <w:rPr>
          <w:rFonts w:ascii="Arial" w:cs="Arial" w:eastAsia="Arial" w:hAnsi="Arial"/>
          <w:sz w:val="11"/>
          <w:szCs w:val="11"/>
          <w:color w:val="auto"/>
        </w:rPr>
        <w:t>ensures that it has the right and is properly qualified to conduct its business in all relevant jurisdictions; and</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45"/>
        </w:numPr>
        <w:rPr>
          <w:rFonts w:ascii="Arial" w:cs="Arial" w:eastAsia="Arial" w:hAnsi="Arial"/>
          <w:sz w:val="11"/>
          <w:szCs w:val="11"/>
          <w:color w:val="auto"/>
        </w:rPr>
      </w:pPr>
      <w:r>
        <w:rPr>
          <w:rFonts w:ascii="Arial" w:cs="Arial" w:eastAsia="Arial" w:hAnsi="Arial"/>
          <w:sz w:val="11"/>
          <w:szCs w:val="11"/>
          <w:color w:val="auto"/>
        </w:rPr>
        <w:t>obtains and maintains all Authorisations necessary for the conduct of its business;</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45"/>
        </w:numPr>
        <w:rPr>
          <w:rFonts w:ascii="Arial" w:cs="Arial" w:eastAsia="Arial" w:hAnsi="Arial"/>
          <w:sz w:val="11"/>
          <w:szCs w:val="11"/>
          <w:color w:val="auto"/>
        </w:rPr>
      </w:pPr>
      <w:r>
        <w:rPr>
          <w:rFonts w:ascii="Arial" w:cs="Arial" w:eastAsia="Arial" w:hAnsi="Arial"/>
          <w:sz w:val="11"/>
          <w:szCs w:val="11"/>
          <w:color w:val="auto"/>
        </w:rPr>
        <w:t>comply with all laws affecting it or its business in all relevant jurisdictions</w:t>
      </w:r>
    </w:p>
    <w:p>
      <w:pPr>
        <w:spacing w:after="0" w:line="40" w:lineRule="exact"/>
        <w:rPr>
          <w:rFonts w:ascii="Arial" w:cs="Arial" w:eastAsia="Arial" w:hAnsi="Arial"/>
          <w:sz w:val="11"/>
          <w:szCs w:val="11"/>
          <w:color w:val="auto"/>
        </w:rPr>
      </w:pPr>
    </w:p>
    <w:p>
      <w:pPr>
        <w:ind w:left="1080" w:hanging="280"/>
        <w:spacing w:after="0"/>
        <w:tabs>
          <w:tab w:leader="none" w:pos="1080" w:val="left"/>
        </w:tabs>
        <w:numPr>
          <w:ilvl w:val="0"/>
          <w:numId w:val="145"/>
        </w:numPr>
        <w:rPr>
          <w:rFonts w:ascii="Arial" w:cs="Arial" w:eastAsia="Arial" w:hAnsi="Arial"/>
          <w:sz w:val="11"/>
          <w:szCs w:val="11"/>
          <w:color w:val="auto"/>
        </w:rPr>
      </w:pPr>
      <w:r>
        <w:rPr>
          <w:rFonts w:ascii="Arial" w:cs="Arial" w:eastAsia="Arial" w:hAnsi="Arial"/>
          <w:sz w:val="11"/>
          <w:szCs w:val="11"/>
          <w:b w:val="1"/>
          <w:bCs w:val="1"/>
          <w:color w:val="auto"/>
        </w:rPr>
        <w:t xml:space="preserve">Distributions: </w:t>
      </w:r>
      <w:r>
        <w:rPr>
          <w:rFonts w:ascii="Arial" w:cs="Arial" w:eastAsia="Arial" w:hAnsi="Arial"/>
          <w:sz w:val="11"/>
          <w:szCs w:val="11"/>
          <w:color w:val="auto"/>
        </w:rPr>
        <w:t>it must not make any Distribution except a Permitted Distribution;</w:t>
      </w:r>
    </w:p>
    <w:p>
      <w:pPr>
        <w:spacing w:after="0" w:line="62" w:lineRule="exact"/>
        <w:rPr>
          <w:rFonts w:ascii="Arial" w:cs="Arial" w:eastAsia="Arial" w:hAnsi="Arial"/>
          <w:sz w:val="11"/>
          <w:szCs w:val="11"/>
          <w:color w:val="auto"/>
        </w:rPr>
      </w:pPr>
    </w:p>
    <w:p>
      <w:pPr>
        <w:ind w:left="1080" w:hanging="280"/>
        <w:spacing w:after="0"/>
        <w:tabs>
          <w:tab w:leader="none" w:pos="1080" w:val="left"/>
        </w:tabs>
        <w:numPr>
          <w:ilvl w:val="0"/>
          <w:numId w:val="145"/>
        </w:numPr>
        <w:rPr>
          <w:rFonts w:ascii="Arial" w:cs="Arial" w:eastAsia="Arial" w:hAnsi="Arial"/>
          <w:sz w:val="11"/>
          <w:szCs w:val="11"/>
          <w:color w:val="auto"/>
        </w:rPr>
      </w:pPr>
      <w:r>
        <w:rPr>
          <w:rFonts w:ascii="Arial" w:cs="Arial" w:eastAsia="Arial" w:hAnsi="Arial"/>
          <w:sz w:val="11"/>
          <w:szCs w:val="11"/>
          <w:b w:val="1"/>
          <w:bCs w:val="1"/>
          <w:color w:val="auto"/>
        </w:rPr>
        <w:t xml:space="preserve">Taxes: </w:t>
      </w:r>
      <w:r>
        <w:rPr>
          <w:rFonts w:ascii="Arial" w:cs="Arial" w:eastAsia="Arial" w:hAnsi="Arial"/>
          <w:sz w:val="11"/>
          <w:szCs w:val="11"/>
          <w:color w:val="auto"/>
        </w:rPr>
        <w:t>must</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43</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0" w:right="340" w:hanging="285"/>
        <w:spacing w:after="0" w:line="256" w:lineRule="auto"/>
        <w:tabs>
          <w:tab w:leader="none" w:pos="1400" w:val="left"/>
        </w:tabs>
        <w:numPr>
          <w:ilvl w:val="1"/>
          <w:numId w:val="146"/>
        </w:numPr>
        <w:rPr>
          <w:rFonts w:ascii="Arial" w:cs="Arial" w:eastAsia="Arial" w:hAnsi="Arial"/>
          <w:sz w:val="11"/>
          <w:szCs w:val="11"/>
          <w:color w:val="auto"/>
        </w:rPr>
      </w:pPr>
      <w:r>
        <w:rPr>
          <w:rFonts w:ascii="Arial" w:cs="Arial" w:eastAsia="Arial" w:hAnsi="Arial"/>
          <w:sz w:val="11"/>
          <w:szCs w:val="11"/>
          <w:color w:val="auto"/>
        </w:rPr>
        <w:t>promptly pay when they become due for payment (or reimburse the Bank on demand for) all Taxes payable by it from time to time other than Taxes being contested in good faith where it has made adequate provisioning;</w:t>
      </w:r>
    </w:p>
    <w:p>
      <w:pPr>
        <w:spacing w:after="0" w:line="22" w:lineRule="exact"/>
        <w:rPr>
          <w:rFonts w:ascii="Arial" w:cs="Arial" w:eastAsia="Arial" w:hAnsi="Arial"/>
          <w:sz w:val="11"/>
          <w:szCs w:val="11"/>
          <w:color w:val="auto"/>
        </w:rPr>
      </w:pPr>
    </w:p>
    <w:p>
      <w:pPr>
        <w:ind w:left="1400" w:right="580" w:hanging="285"/>
        <w:spacing w:after="0" w:line="256" w:lineRule="auto"/>
        <w:tabs>
          <w:tab w:leader="none" w:pos="1400" w:val="left"/>
        </w:tabs>
        <w:numPr>
          <w:ilvl w:val="1"/>
          <w:numId w:val="146"/>
        </w:numPr>
        <w:rPr>
          <w:rFonts w:ascii="Arial" w:cs="Arial" w:eastAsia="Arial" w:hAnsi="Arial"/>
          <w:sz w:val="11"/>
          <w:szCs w:val="11"/>
          <w:color w:val="auto"/>
        </w:rPr>
      </w:pPr>
      <w:r>
        <w:rPr>
          <w:rFonts w:ascii="Arial" w:cs="Arial" w:eastAsia="Arial" w:hAnsi="Arial"/>
          <w:sz w:val="11"/>
          <w:szCs w:val="11"/>
          <w:color w:val="auto"/>
        </w:rPr>
        <w:t>not transfer any Tax losses to any person other than to the Borrower in connection with the preparation of consolidated annual Financial Statements or in connection with the Reading Entertainment Australia Group's tax consolidation arrangements; and</w:t>
      </w:r>
    </w:p>
    <w:p>
      <w:pPr>
        <w:spacing w:after="0" w:line="19" w:lineRule="exact"/>
        <w:rPr>
          <w:rFonts w:ascii="Arial" w:cs="Arial" w:eastAsia="Arial" w:hAnsi="Arial"/>
          <w:sz w:val="11"/>
          <w:szCs w:val="11"/>
          <w:color w:val="auto"/>
        </w:rPr>
      </w:pPr>
    </w:p>
    <w:p>
      <w:pPr>
        <w:ind w:left="1400" w:right="380" w:hanging="285"/>
        <w:spacing w:after="0" w:line="208" w:lineRule="auto"/>
        <w:tabs>
          <w:tab w:leader="none" w:pos="1400" w:val="left"/>
        </w:tabs>
        <w:numPr>
          <w:ilvl w:val="1"/>
          <w:numId w:val="146"/>
        </w:numPr>
        <w:rPr>
          <w:rFonts w:ascii="Arial" w:cs="Arial" w:eastAsia="Arial" w:hAnsi="Arial"/>
          <w:sz w:val="11"/>
          <w:szCs w:val="11"/>
          <w:color w:val="auto"/>
        </w:rPr>
      </w:pPr>
      <w:r>
        <w:rPr>
          <w:rFonts w:ascii="Arial" w:cs="Arial" w:eastAsia="Arial" w:hAnsi="Arial"/>
          <w:sz w:val="11"/>
          <w:szCs w:val="11"/>
          <w:color w:val="auto"/>
        </w:rPr>
        <w:t xml:space="preserve">not become a member of a consolidated group for the purposes of Part 3-90 of the Income </w:t>
      </w:r>
      <w:r>
        <w:rPr>
          <w:rFonts w:ascii="Arial" w:cs="Arial" w:eastAsia="Arial" w:hAnsi="Arial"/>
          <w:sz w:val="11"/>
          <w:szCs w:val="11"/>
          <w:i w:val="1"/>
          <w:iCs w:val="1"/>
          <w:color w:val="auto"/>
        </w:rPr>
        <w:t>Tax Assessment Act 1936</w:t>
      </w:r>
      <w:r>
        <w:rPr>
          <w:rFonts w:ascii="Arial" w:cs="Arial" w:eastAsia="Arial" w:hAnsi="Arial"/>
          <w:sz w:val="11"/>
          <w:szCs w:val="11"/>
          <w:color w:val="auto"/>
        </w:rPr>
        <w:t xml:space="preserve"> and the </w:t>
      </w:r>
      <w:r>
        <w:rPr>
          <w:rFonts w:ascii="Arial" w:cs="Arial" w:eastAsia="Arial" w:hAnsi="Arial"/>
          <w:sz w:val="11"/>
          <w:szCs w:val="11"/>
          <w:i w:val="1"/>
          <w:iCs w:val="1"/>
          <w:color w:val="auto"/>
        </w:rPr>
        <w:t>Income Tax Act 1997</w:t>
      </w:r>
      <w:r>
        <w:rPr>
          <w:rFonts w:ascii="Arial" w:cs="Arial" w:eastAsia="Arial" w:hAnsi="Arial"/>
          <w:sz w:val="11"/>
          <w:szCs w:val="11"/>
          <w:color w:val="auto"/>
        </w:rPr>
        <w:t xml:space="preserve"> including any amendments thereto (including any amendments made by the </w:t>
      </w:r>
      <w:r>
        <w:rPr>
          <w:rFonts w:ascii="Arial" w:cs="Arial" w:eastAsia="Arial" w:hAnsi="Arial"/>
          <w:sz w:val="11"/>
          <w:szCs w:val="11"/>
          <w:i w:val="1"/>
          <w:iCs w:val="1"/>
          <w:color w:val="auto"/>
        </w:rPr>
        <w:t>New Business Tax (Consolidation Act (No. 1)) 2002</w:t>
      </w:r>
      <w:r>
        <w:rPr>
          <w:rFonts w:ascii="Arial" w:cs="Arial" w:eastAsia="Arial" w:hAnsi="Arial"/>
          <w:sz w:val="11"/>
          <w:szCs w:val="11"/>
          <w:color w:val="auto"/>
        </w:rPr>
        <w:t xml:space="preserve"> and</w:t>
      </w:r>
    </w:p>
    <w:p>
      <w:pPr>
        <w:ind w:left="1400" w:right="280"/>
        <w:spacing w:after="0" w:line="218" w:lineRule="auto"/>
        <w:rPr>
          <w:rFonts w:ascii="Arial" w:cs="Arial" w:eastAsia="Arial" w:hAnsi="Arial"/>
          <w:sz w:val="11"/>
          <w:szCs w:val="11"/>
          <w:color w:val="auto"/>
        </w:rPr>
      </w:pPr>
      <w:r>
        <w:rPr>
          <w:rFonts w:ascii="Arial" w:cs="Arial" w:eastAsia="Arial" w:hAnsi="Arial"/>
          <w:sz w:val="11"/>
          <w:szCs w:val="11"/>
          <w:color w:val="auto"/>
        </w:rPr>
        <w:t xml:space="preserve">the </w:t>
      </w:r>
      <w:r>
        <w:rPr>
          <w:rFonts w:ascii="Arial" w:cs="Arial" w:eastAsia="Arial" w:hAnsi="Arial"/>
          <w:sz w:val="11"/>
          <w:szCs w:val="11"/>
          <w:i w:val="1"/>
          <w:iCs w:val="1"/>
          <w:color w:val="auto"/>
        </w:rPr>
        <w:t>New Business Tax System (Consolidation, Value Shifting, Damages and other Measures) Act 2002)</w:t>
      </w:r>
      <w:r>
        <w:rPr>
          <w:rFonts w:ascii="Arial" w:cs="Arial" w:eastAsia="Arial" w:hAnsi="Arial"/>
          <w:sz w:val="11"/>
          <w:szCs w:val="11"/>
          <w:color w:val="auto"/>
        </w:rPr>
        <w:t xml:space="preserve"> other than in accordance with a Tax Sharing Agreement or otherwise on terms approved by the Bank;</w:t>
      </w:r>
    </w:p>
    <w:p>
      <w:pPr>
        <w:spacing w:after="0" w:line="26" w:lineRule="exact"/>
        <w:rPr>
          <w:rFonts w:ascii="Arial" w:cs="Arial" w:eastAsia="Arial" w:hAnsi="Arial"/>
          <w:sz w:val="11"/>
          <w:szCs w:val="11"/>
          <w:color w:val="auto"/>
        </w:rPr>
      </w:pPr>
    </w:p>
    <w:p>
      <w:pPr>
        <w:ind w:left="1080" w:hanging="280"/>
        <w:spacing w:after="0"/>
        <w:tabs>
          <w:tab w:leader="none" w:pos="1080" w:val="left"/>
        </w:tabs>
        <w:numPr>
          <w:ilvl w:val="0"/>
          <w:numId w:val="147"/>
        </w:numPr>
        <w:rPr>
          <w:rFonts w:ascii="Arial" w:cs="Arial" w:eastAsia="Arial" w:hAnsi="Arial"/>
          <w:sz w:val="11"/>
          <w:szCs w:val="11"/>
          <w:b w:val="1"/>
          <w:bCs w:val="1"/>
          <w:color w:val="auto"/>
        </w:rPr>
      </w:pPr>
      <w:r>
        <w:rPr>
          <w:rFonts w:ascii="Arial" w:cs="Arial" w:eastAsia="Arial" w:hAnsi="Arial"/>
          <w:sz w:val="11"/>
          <w:szCs w:val="11"/>
          <w:b w:val="1"/>
          <w:bCs w:val="1"/>
          <w:color w:val="auto"/>
        </w:rPr>
        <w:t>Guarantor coverage</w:t>
      </w:r>
      <w:r>
        <w:rPr>
          <w:rFonts w:ascii="Arial" w:cs="Arial" w:eastAsia="Arial" w:hAnsi="Arial"/>
          <w:sz w:val="11"/>
          <w:szCs w:val="11"/>
          <w:color w:val="auto"/>
        </w:rPr>
        <w:t>:</w:t>
      </w:r>
    </w:p>
    <w:p>
      <w:pPr>
        <w:spacing w:after="0" w:line="74" w:lineRule="exact"/>
        <w:rPr>
          <w:rFonts w:ascii="Arial" w:cs="Arial" w:eastAsia="Arial" w:hAnsi="Arial"/>
          <w:sz w:val="11"/>
          <w:szCs w:val="11"/>
          <w:b w:val="1"/>
          <w:bCs w:val="1"/>
          <w:color w:val="auto"/>
        </w:rPr>
      </w:pPr>
    </w:p>
    <w:p>
      <w:pPr>
        <w:ind w:left="1380" w:hanging="272"/>
        <w:spacing w:after="0"/>
        <w:tabs>
          <w:tab w:leader="none" w:pos="1380" w:val="left"/>
        </w:tabs>
        <w:numPr>
          <w:ilvl w:val="1"/>
          <w:numId w:val="147"/>
        </w:numPr>
        <w:rPr>
          <w:rFonts w:ascii="Arial" w:cs="Arial" w:eastAsia="Arial" w:hAnsi="Arial"/>
          <w:sz w:val="11"/>
          <w:szCs w:val="11"/>
          <w:color w:val="auto"/>
        </w:rPr>
      </w:pPr>
      <w:r>
        <w:rPr>
          <w:rFonts w:ascii="Arial" w:cs="Arial" w:eastAsia="Arial" w:hAnsi="Arial"/>
          <w:sz w:val="11"/>
          <w:szCs w:val="11"/>
          <w:color w:val="auto"/>
        </w:rPr>
        <w:t>Subject to paragraph (ii), the Borrower shall ensure that at all times:</w:t>
      </w:r>
    </w:p>
    <w:p>
      <w:pPr>
        <w:spacing w:after="0" w:line="46" w:lineRule="exact"/>
        <w:rPr>
          <w:rFonts w:ascii="Arial" w:cs="Arial" w:eastAsia="Arial" w:hAnsi="Arial"/>
          <w:sz w:val="11"/>
          <w:szCs w:val="11"/>
          <w:color w:val="auto"/>
        </w:rPr>
      </w:pPr>
    </w:p>
    <w:p>
      <w:pPr>
        <w:ind w:left="1660" w:right="1320" w:hanging="275"/>
        <w:spacing w:after="0" w:line="256" w:lineRule="auto"/>
        <w:tabs>
          <w:tab w:leader="none" w:pos="1660" w:val="left"/>
        </w:tabs>
        <w:numPr>
          <w:ilvl w:val="2"/>
          <w:numId w:val="147"/>
        </w:numPr>
        <w:rPr>
          <w:rFonts w:ascii="Arial" w:cs="Arial" w:eastAsia="Arial" w:hAnsi="Arial"/>
          <w:sz w:val="11"/>
          <w:szCs w:val="11"/>
          <w:color w:val="auto"/>
        </w:rPr>
      </w:pPr>
      <w:r>
        <w:rPr>
          <w:rFonts w:ascii="Arial" w:cs="Arial" w:eastAsia="Arial" w:hAnsi="Arial"/>
          <w:sz w:val="11"/>
          <w:szCs w:val="11"/>
          <w:color w:val="auto"/>
        </w:rPr>
        <w:t>the aggregate of total assets (calculated on the same basis as total assets of the Reading Entertainment Australia Group) of the Guarantors represents at least 90 per cent of total assets of the Reading Entertainment Australia Group; and</w:t>
      </w:r>
    </w:p>
    <w:p>
      <w:pPr>
        <w:spacing w:after="0" w:line="22" w:lineRule="exact"/>
        <w:rPr>
          <w:rFonts w:ascii="Arial" w:cs="Arial" w:eastAsia="Arial" w:hAnsi="Arial"/>
          <w:sz w:val="11"/>
          <w:szCs w:val="11"/>
          <w:color w:val="auto"/>
        </w:rPr>
      </w:pPr>
    </w:p>
    <w:p>
      <w:pPr>
        <w:ind w:left="1660" w:right="600" w:hanging="275"/>
        <w:spacing w:after="0" w:line="256" w:lineRule="auto"/>
        <w:tabs>
          <w:tab w:leader="none" w:pos="1660" w:val="left"/>
        </w:tabs>
        <w:numPr>
          <w:ilvl w:val="2"/>
          <w:numId w:val="147"/>
        </w:numPr>
        <w:rPr>
          <w:rFonts w:ascii="Arial" w:cs="Arial" w:eastAsia="Arial" w:hAnsi="Arial"/>
          <w:sz w:val="11"/>
          <w:szCs w:val="11"/>
          <w:color w:val="auto"/>
        </w:rPr>
      </w:pPr>
      <w:r>
        <w:rPr>
          <w:rFonts w:ascii="Arial" w:cs="Arial" w:eastAsia="Arial" w:hAnsi="Arial"/>
          <w:sz w:val="11"/>
          <w:szCs w:val="11"/>
          <w:color w:val="auto"/>
        </w:rPr>
        <w:t>the aggregate EBITDA of the Guarantors (calculated on the same basis as EBITDA of the Reading Entertainment Australia Group) represents at least 90 per cent of EBITDA of the Reading Entertainment Australia Group;</w:t>
      </w:r>
    </w:p>
    <w:p>
      <w:pPr>
        <w:spacing w:after="0" w:line="22" w:lineRule="exact"/>
        <w:rPr>
          <w:rFonts w:ascii="Arial" w:cs="Arial" w:eastAsia="Arial" w:hAnsi="Arial"/>
          <w:sz w:val="11"/>
          <w:szCs w:val="11"/>
          <w:color w:val="auto"/>
        </w:rPr>
      </w:pPr>
    </w:p>
    <w:p>
      <w:pPr>
        <w:ind w:left="1660" w:right="380" w:hanging="275"/>
        <w:spacing w:after="0" w:line="256" w:lineRule="auto"/>
        <w:tabs>
          <w:tab w:leader="none" w:pos="1660" w:val="left"/>
        </w:tabs>
        <w:numPr>
          <w:ilvl w:val="2"/>
          <w:numId w:val="147"/>
        </w:numPr>
        <w:rPr>
          <w:rFonts w:ascii="Arial" w:cs="Arial" w:eastAsia="Arial" w:hAnsi="Arial"/>
          <w:sz w:val="11"/>
          <w:szCs w:val="11"/>
          <w:color w:val="auto"/>
        </w:rPr>
      </w:pPr>
      <w:r>
        <w:rPr>
          <w:rFonts w:ascii="Arial" w:cs="Arial" w:eastAsia="Arial" w:hAnsi="Arial"/>
          <w:sz w:val="11"/>
          <w:szCs w:val="11"/>
          <w:color w:val="auto"/>
        </w:rPr>
        <w:t>any member of the Reading Entertainment Australia Group which contributes 5 per cent of more of EBITDA of the Reading Entertainment Australia Group is a Guarantor; and</w:t>
      </w:r>
    </w:p>
    <w:p>
      <w:pPr>
        <w:spacing w:after="0" w:line="22" w:lineRule="exact"/>
        <w:rPr>
          <w:rFonts w:ascii="Arial" w:cs="Arial" w:eastAsia="Arial" w:hAnsi="Arial"/>
          <w:sz w:val="11"/>
          <w:szCs w:val="11"/>
          <w:color w:val="auto"/>
        </w:rPr>
      </w:pPr>
    </w:p>
    <w:p>
      <w:pPr>
        <w:ind w:left="1660" w:right="220" w:hanging="275"/>
        <w:spacing w:after="0" w:line="256" w:lineRule="auto"/>
        <w:tabs>
          <w:tab w:leader="none" w:pos="1660" w:val="left"/>
        </w:tabs>
        <w:numPr>
          <w:ilvl w:val="2"/>
          <w:numId w:val="147"/>
        </w:numPr>
        <w:rPr>
          <w:rFonts w:ascii="Arial" w:cs="Arial" w:eastAsia="Arial" w:hAnsi="Arial"/>
          <w:sz w:val="11"/>
          <w:szCs w:val="11"/>
          <w:color w:val="auto"/>
        </w:rPr>
      </w:pPr>
      <w:r>
        <w:rPr>
          <w:rFonts w:ascii="Arial" w:cs="Arial" w:eastAsia="Arial" w:hAnsi="Arial"/>
          <w:sz w:val="11"/>
          <w:szCs w:val="11"/>
          <w:color w:val="auto"/>
        </w:rPr>
        <w:t>any member of the Reading Entertainment Australia Group which holds intellectual property which the Bank considers to be material to the operations of the Reading Entertainment Australia Group is a Guarantor</w:t>
      </w:r>
    </w:p>
    <w:p>
      <w:pPr>
        <w:spacing w:after="0" w:line="23" w:lineRule="exact"/>
        <w:rPr>
          <w:sz w:val="20"/>
          <w:szCs w:val="20"/>
          <w:color w:val="auto"/>
        </w:rPr>
      </w:pPr>
    </w:p>
    <w:p>
      <w:pPr>
        <w:ind w:left="1400" w:right="480"/>
        <w:spacing w:after="0" w:line="256" w:lineRule="auto"/>
        <w:rPr>
          <w:sz w:val="20"/>
          <w:szCs w:val="20"/>
          <w:color w:val="auto"/>
        </w:rPr>
      </w:pPr>
      <w:r>
        <w:rPr>
          <w:rFonts w:ascii="Arial" w:cs="Arial" w:eastAsia="Arial" w:hAnsi="Arial"/>
          <w:sz w:val="11"/>
          <w:szCs w:val="11"/>
          <w:color w:val="auto"/>
        </w:rPr>
        <w:t>(and in each case the figures for the Guarantors will be calculated on an unconsolidated basis and excluding all intra-Reading Entertainment Australia Group items and investments in Subsidiaries); and</w:t>
      </w:r>
    </w:p>
    <w:p>
      <w:pPr>
        <w:spacing w:after="0" w:line="23" w:lineRule="exact"/>
        <w:rPr>
          <w:sz w:val="20"/>
          <w:szCs w:val="20"/>
          <w:color w:val="auto"/>
        </w:rPr>
      </w:pPr>
    </w:p>
    <w:p>
      <w:pPr>
        <w:ind w:left="1400" w:right="600" w:hanging="285"/>
        <w:spacing w:after="0" w:line="256" w:lineRule="auto"/>
        <w:tabs>
          <w:tab w:leader="none" w:pos="1400" w:val="left"/>
        </w:tabs>
        <w:numPr>
          <w:ilvl w:val="0"/>
          <w:numId w:val="148"/>
        </w:numPr>
        <w:rPr>
          <w:rFonts w:ascii="Arial" w:cs="Arial" w:eastAsia="Arial" w:hAnsi="Arial"/>
          <w:sz w:val="11"/>
          <w:szCs w:val="11"/>
          <w:color w:val="auto"/>
        </w:rPr>
      </w:pPr>
      <w:r>
        <w:rPr>
          <w:rFonts w:ascii="Arial" w:cs="Arial" w:eastAsia="Arial" w:hAnsi="Arial"/>
          <w:sz w:val="11"/>
          <w:szCs w:val="11"/>
          <w:color w:val="auto"/>
        </w:rPr>
        <w:t>where an entity becomes a member of the Reading Entertainment Australia and is required to become a Guarantor to comply with paragraph (i), the Borrower shall ensure: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44</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12" w:name="page113"/>
    <w:bookmarkEnd w:id="112"/>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60" w:hanging="275"/>
        <w:spacing w:after="0"/>
        <w:tabs>
          <w:tab w:leader="none" w:pos="1660" w:val="left"/>
        </w:tabs>
        <w:numPr>
          <w:ilvl w:val="0"/>
          <w:numId w:val="149"/>
        </w:numPr>
        <w:rPr>
          <w:rFonts w:ascii="Arial" w:cs="Arial" w:eastAsia="Arial" w:hAnsi="Arial"/>
          <w:sz w:val="11"/>
          <w:szCs w:val="11"/>
          <w:color w:val="auto"/>
        </w:rPr>
      </w:pPr>
      <w:r>
        <w:rPr>
          <w:rFonts w:ascii="Arial" w:cs="Arial" w:eastAsia="Arial" w:hAnsi="Arial"/>
          <w:sz w:val="11"/>
          <w:szCs w:val="11"/>
          <w:color w:val="auto"/>
        </w:rPr>
        <w:t>the entity becomes an Additional Guarantor by executing a Guarantor Accession Deed;</w:t>
      </w:r>
    </w:p>
    <w:p>
      <w:pPr>
        <w:spacing w:after="0" w:line="46" w:lineRule="exact"/>
        <w:rPr>
          <w:rFonts w:ascii="Arial" w:cs="Arial" w:eastAsia="Arial" w:hAnsi="Arial"/>
          <w:sz w:val="11"/>
          <w:szCs w:val="11"/>
          <w:color w:val="auto"/>
        </w:rPr>
      </w:pPr>
    </w:p>
    <w:p>
      <w:pPr>
        <w:ind w:left="1660" w:right="320" w:hanging="275"/>
        <w:spacing w:after="0" w:line="256" w:lineRule="auto"/>
        <w:tabs>
          <w:tab w:leader="none" w:pos="1660" w:val="left"/>
        </w:tabs>
        <w:numPr>
          <w:ilvl w:val="0"/>
          <w:numId w:val="149"/>
        </w:numPr>
        <w:rPr>
          <w:rFonts w:ascii="Arial" w:cs="Arial" w:eastAsia="Arial" w:hAnsi="Arial"/>
          <w:sz w:val="11"/>
          <w:szCs w:val="11"/>
          <w:color w:val="auto"/>
        </w:rPr>
      </w:pPr>
      <w:r>
        <w:rPr>
          <w:rFonts w:ascii="Arial" w:cs="Arial" w:eastAsia="Arial" w:hAnsi="Arial"/>
          <w:sz w:val="11"/>
          <w:szCs w:val="11"/>
          <w:color w:val="auto"/>
        </w:rPr>
        <w:t>the entity executes a general security agreement over all its assets in favour of the Bank, in form and substance consistent with the general security agreements previously executed by the other Guarantors; and</w:t>
      </w:r>
    </w:p>
    <w:p>
      <w:pPr>
        <w:spacing w:after="0" w:line="22" w:lineRule="exact"/>
        <w:rPr>
          <w:rFonts w:ascii="Arial" w:cs="Arial" w:eastAsia="Arial" w:hAnsi="Arial"/>
          <w:sz w:val="11"/>
          <w:szCs w:val="11"/>
          <w:color w:val="auto"/>
        </w:rPr>
      </w:pPr>
    </w:p>
    <w:p>
      <w:pPr>
        <w:ind w:left="1660" w:right="260" w:hanging="275"/>
        <w:spacing w:after="0" w:line="256" w:lineRule="auto"/>
        <w:tabs>
          <w:tab w:leader="none" w:pos="1660" w:val="left"/>
        </w:tabs>
        <w:numPr>
          <w:ilvl w:val="0"/>
          <w:numId w:val="149"/>
        </w:numPr>
        <w:rPr>
          <w:rFonts w:ascii="Arial" w:cs="Arial" w:eastAsia="Arial" w:hAnsi="Arial"/>
          <w:sz w:val="11"/>
          <w:szCs w:val="11"/>
          <w:color w:val="auto"/>
        </w:rPr>
      </w:pPr>
      <w:r>
        <w:rPr>
          <w:rFonts w:ascii="Arial" w:cs="Arial" w:eastAsia="Arial" w:hAnsi="Arial"/>
          <w:sz w:val="11"/>
          <w:szCs w:val="11"/>
          <w:color w:val="auto"/>
        </w:rPr>
        <w:t>provides the Bank with any documents or evidence in relation to the entity as the Bank may reasonably consider necessary in respect of the entering into, validity and enforceability of the accession documents,</w:t>
      </w:r>
    </w:p>
    <w:p>
      <w:pPr>
        <w:spacing w:after="0" w:line="38" w:lineRule="exact"/>
        <w:rPr>
          <w:sz w:val="20"/>
          <w:szCs w:val="20"/>
          <w:color w:val="auto"/>
        </w:rPr>
      </w:pPr>
    </w:p>
    <w:p>
      <w:pPr>
        <w:ind w:left="1400"/>
        <w:spacing w:after="0"/>
        <w:rPr>
          <w:sz w:val="20"/>
          <w:szCs w:val="20"/>
          <w:color w:val="auto"/>
        </w:rPr>
      </w:pPr>
      <w:r>
        <w:rPr>
          <w:rFonts w:ascii="Arial" w:cs="Arial" w:eastAsia="Arial" w:hAnsi="Arial"/>
          <w:sz w:val="11"/>
          <w:szCs w:val="11"/>
          <w:color w:val="auto"/>
        </w:rPr>
        <w:t>as soon as reasonably practicable and in any event within 45 days.</w:t>
      </w:r>
    </w:p>
    <w:p>
      <w:pPr>
        <w:spacing w:after="0" w:line="69" w:lineRule="exact"/>
        <w:rPr>
          <w:sz w:val="20"/>
          <w:szCs w:val="20"/>
          <w:color w:val="auto"/>
        </w:rPr>
      </w:pPr>
    </w:p>
    <w:p>
      <w:pPr>
        <w:ind w:left="1400"/>
        <w:spacing w:after="0"/>
        <w:rPr>
          <w:sz w:val="20"/>
          <w:szCs w:val="20"/>
          <w:color w:val="auto"/>
        </w:rPr>
      </w:pPr>
      <w:r>
        <w:rPr>
          <w:rFonts w:ascii="Arial" w:cs="Arial" w:eastAsia="Arial" w:hAnsi="Arial"/>
          <w:sz w:val="11"/>
          <w:szCs w:val="11"/>
          <w:color w:val="auto"/>
        </w:rPr>
        <w:t>Provided the Borrower complies with this paragraph (ii), the Borrower will not be in breach of paragraph (i) by reason only that the entity is not a Guarantor.</w:t>
      </w:r>
    </w:p>
    <w:p>
      <w:pPr>
        <w:spacing w:after="0" w:line="40" w:lineRule="exact"/>
        <w:rPr>
          <w:sz w:val="20"/>
          <w:szCs w:val="20"/>
          <w:color w:val="auto"/>
        </w:rPr>
      </w:pPr>
    </w:p>
    <w:p>
      <w:pPr>
        <w:ind w:left="1080" w:right="980" w:hanging="280"/>
        <w:spacing w:after="0" w:line="268" w:lineRule="auto"/>
        <w:tabs>
          <w:tab w:leader="none" w:pos="1080" w:val="left"/>
        </w:tabs>
        <w:numPr>
          <w:ilvl w:val="0"/>
          <w:numId w:val="150"/>
        </w:numPr>
        <w:rPr>
          <w:rFonts w:ascii="Arial" w:cs="Arial" w:eastAsia="Arial" w:hAnsi="Arial"/>
          <w:sz w:val="11"/>
          <w:szCs w:val="11"/>
          <w:color w:val="auto"/>
        </w:rPr>
      </w:pPr>
      <w:r>
        <w:rPr>
          <w:rFonts w:ascii="Arial" w:cs="Arial" w:eastAsia="Arial" w:hAnsi="Arial"/>
          <w:sz w:val="11"/>
          <w:szCs w:val="11"/>
          <w:b w:val="1"/>
          <w:bCs w:val="1"/>
          <w:color w:val="auto"/>
        </w:rPr>
        <w:t>Major developments</w:t>
      </w:r>
      <w:r>
        <w:rPr>
          <w:rFonts w:ascii="Arial" w:cs="Arial" w:eastAsia="Arial" w:hAnsi="Arial"/>
          <w:sz w:val="11"/>
          <w:szCs w:val="11"/>
          <w:color w:val="auto"/>
        </w:rPr>
        <w:t>: in respect of any major development projects to be undertaken by the Transaction Parties (that are outside of the budgeted</w:t>
      </w:r>
      <w:r>
        <w:rPr>
          <w:rFonts w:ascii="Arial" w:cs="Arial" w:eastAsia="Arial" w:hAnsi="Arial"/>
          <w:sz w:val="11"/>
          <w:szCs w:val="11"/>
          <w:b w:val="1"/>
          <w:bCs w:val="1"/>
          <w:color w:val="auto"/>
        </w:rPr>
        <w:t xml:space="preserve"> </w:t>
      </w:r>
      <w:r>
        <w:rPr>
          <w:rFonts w:ascii="Arial" w:cs="Arial" w:eastAsia="Arial" w:hAnsi="Arial"/>
          <w:sz w:val="11"/>
          <w:szCs w:val="11"/>
          <w:color w:val="auto"/>
        </w:rPr>
        <w:t>capital expenditure that has been disclosed to the Bank):</w:t>
      </w:r>
    </w:p>
    <w:p>
      <w:pPr>
        <w:spacing w:after="0" w:line="16" w:lineRule="exact"/>
        <w:rPr>
          <w:rFonts w:ascii="Arial" w:cs="Arial" w:eastAsia="Arial" w:hAnsi="Arial"/>
          <w:sz w:val="11"/>
          <w:szCs w:val="11"/>
          <w:color w:val="auto"/>
        </w:rPr>
      </w:pPr>
    </w:p>
    <w:p>
      <w:pPr>
        <w:ind w:left="1400" w:hanging="285"/>
        <w:spacing w:after="0"/>
        <w:tabs>
          <w:tab w:leader="none" w:pos="1400" w:val="left"/>
        </w:tabs>
        <w:numPr>
          <w:ilvl w:val="1"/>
          <w:numId w:val="150"/>
        </w:numPr>
        <w:rPr>
          <w:rFonts w:ascii="Arial" w:cs="Arial" w:eastAsia="Arial" w:hAnsi="Arial"/>
          <w:sz w:val="11"/>
          <w:szCs w:val="11"/>
          <w:color w:val="auto"/>
        </w:rPr>
      </w:pPr>
      <w:r>
        <w:rPr>
          <w:rFonts w:ascii="Arial" w:cs="Arial" w:eastAsia="Arial" w:hAnsi="Arial"/>
          <w:sz w:val="11"/>
          <w:szCs w:val="11"/>
          <w:color w:val="auto"/>
        </w:rPr>
        <w:t>the Bank is provided with development budgets and other information reasonably requested by the Bank; and</w:t>
      </w:r>
    </w:p>
    <w:p>
      <w:pPr>
        <w:spacing w:after="0" w:line="40" w:lineRule="exact"/>
        <w:rPr>
          <w:rFonts w:ascii="Arial" w:cs="Arial" w:eastAsia="Arial" w:hAnsi="Arial"/>
          <w:sz w:val="11"/>
          <w:szCs w:val="11"/>
          <w:color w:val="auto"/>
        </w:rPr>
      </w:pPr>
    </w:p>
    <w:p>
      <w:pPr>
        <w:ind w:left="1080" w:right="360" w:hanging="280"/>
        <w:spacing w:after="0" w:line="268" w:lineRule="auto"/>
        <w:tabs>
          <w:tab w:leader="none" w:pos="1080" w:val="left"/>
        </w:tabs>
        <w:numPr>
          <w:ilvl w:val="0"/>
          <w:numId w:val="150"/>
        </w:numPr>
        <w:rPr>
          <w:rFonts w:ascii="Arial" w:cs="Arial" w:eastAsia="Arial" w:hAnsi="Arial"/>
          <w:sz w:val="11"/>
          <w:szCs w:val="11"/>
          <w:color w:val="auto"/>
        </w:rPr>
      </w:pPr>
      <w:r>
        <w:rPr>
          <w:rFonts w:ascii="Arial" w:cs="Arial" w:eastAsia="Arial" w:hAnsi="Arial"/>
          <w:sz w:val="11"/>
          <w:szCs w:val="11"/>
          <w:b w:val="1"/>
          <w:bCs w:val="1"/>
          <w:color w:val="auto"/>
        </w:rPr>
        <w:t>Major acquisitions</w:t>
      </w:r>
      <w:r>
        <w:rPr>
          <w:rFonts w:ascii="Arial" w:cs="Arial" w:eastAsia="Arial" w:hAnsi="Arial"/>
          <w:sz w:val="11"/>
          <w:szCs w:val="11"/>
          <w:color w:val="auto"/>
        </w:rPr>
        <w:t>: in respect to any acquisitions or investments in assets to be undertaken by the Transaction Parties, the Bank’s written consent is obtained</w:t>
      </w:r>
      <w:r>
        <w:rPr>
          <w:rFonts w:ascii="Arial" w:cs="Arial" w:eastAsia="Arial" w:hAnsi="Arial"/>
          <w:sz w:val="11"/>
          <w:szCs w:val="11"/>
          <w:b w:val="1"/>
          <w:bCs w:val="1"/>
          <w:color w:val="auto"/>
        </w:rPr>
        <w:t xml:space="preserve"> </w:t>
      </w:r>
      <w:r>
        <w:rPr>
          <w:rFonts w:ascii="Arial" w:cs="Arial" w:eastAsia="Arial" w:hAnsi="Arial"/>
          <w:sz w:val="11"/>
          <w:szCs w:val="11"/>
          <w:color w:val="auto"/>
        </w:rPr>
        <w:t>for (and prior to) the purchase of:</w:t>
      </w:r>
    </w:p>
    <w:p>
      <w:pPr>
        <w:spacing w:after="0" w:line="16" w:lineRule="exact"/>
        <w:rPr>
          <w:rFonts w:ascii="Arial" w:cs="Arial" w:eastAsia="Arial" w:hAnsi="Arial"/>
          <w:sz w:val="11"/>
          <w:szCs w:val="11"/>
          <w:color w:val="auto"/>
        </w:rPr>
      </w:pPr>
    </w:p>
    <w:p>
      <w:pPr>
        <w:ind w:left="1400" w:hanging="285"/>
        <w:spacing w:after="0"/>
        <w:tabs>
          <w:tab w:leader="none" w:pos="1400" w:val="left"/>
        </w:tabs>
        <w:numPr>
          <w:ilvl w:val="1"/>
          <w:numId w:val="150"/>
        </w:numPr>
        <w:rPr>
          <w:rFonts w:ascii="Arial" w:cs="Arial" w:eastAsia="Arial" w:hAnsi="Arial"/>
          <w:sz w:val="11"/>
          <w:szCs w:val="11"/>
          <w:color w:val="auto"/>
        </w:rPr>
      </w:pPr>
      <w:r>
        <w:rPr>
          <w:rFonts w:ascii="Arial" w:cs="Arial" w:eastAsia="Arial" w:hAnsi="Arial"/>
          <w:sz w:val="11"/>
          <w:szCs w:val="11"/>
          <w:color w:val="auto"/>
        </w:rPr>
        <w:t>any freehold title or ground lease with a remaining tenor of 25 years or more and a consideration greater than $50,000,000; and</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50"/>
        </w:numPr>
        <w:rPr>
          <w:rFonts w:ascii="Arial" w:cs="Arial" w:eastAsia="Arial" w:hAnsi="Arial"/>
          <w:sz w:val="11"/>
          <w:szCs w:val="11"/>
          <w:color w:val="auto"/>
        </w:rPr>
      </w:pPr>
      <w:r>
        <w:rPr>
          <w:rFonts w:ascii="Arial" w:cs="Arial" w:eastAsia="Arial" w:hAnsi="Arial"/>
          <w:sz w:val="11"/>
          <w:szCs w:val="11"/>
          <w:color w:val="auto"/>
        </w:rPr>
        <w:t>the purchase of any other operating business assets with a consideration greater than $25,000,000.</w:t>
      </w:r>
    </w:p>
    <w:p>
      <w:pPr>
        <w:spacing w:after="0" w:line="56" w:lineRule="exact"/>
        <w:rPr>
          <w:rFonts w:ascii="Arial" w:cs="Arial" w:eastAsia="Arial" w:hAnsi="Arial"/>
          <w:sz w:val="11"/>
          <w:szCs w:val="11"/>
          <w:color w:val="auto"/>
        </w:rPr>
      </w:pPr>
    </w:p>
    <w:p>
      <w:pPr>
        <w:ind w:left="1080" w:hanging="280"/>
        <w:spacing w:after="0"/>
        <w:tabs>
          <w:tab w:leader="none" w:pos="1080" w:val="left"/>
        </w:tabs>
        <w:numPr>
          <w:ilvl w:val="0"/>
          <w:numId w:val="150"/>
        </w:numPr>
        <w:rPr>
          <w:rFonts w:ascii="Arial" w:cs="Arial" w:eastAsia="Arial" w:hAnsi="Arial"/>
          <w:sz w:val="11"/>
          <w:szCs w:val="11"/>
          <w:color w:val="auto"/>
        </w:rPr>
      </w:pPr>
      <w:r>
        <w:rPr>
          <w:rFonts w:ascii="Arial" w:cs="Arial" w:eastAsia="Arial" w:hAnsi="Arial"/>
          <w:sz w:val="11"/>
          <w:szCs w:val="11"/>
          <w:b w:val="1"/>
          <w:bCs w:val="1"/>
          <w:color w:val="auto"/>
        </w:rPr>
        <w:t xml:space="preserve">Management Fees: </w:t>
      </w:r>
      <w:r>
        <w:rPr>
          <w:rFonts w:ascii="Arial" w:cs="Arial" w:eastAsia="Arial" w:hAnsi="Arial"/>
          <w:sz w:val="11"/>
          <w:szCs w:val="11"/>
          <w:color w:val="auto"/>
        </w:rPr>
        <w:t>no Management Fees are paid except:</w:t>
      </w:r>
    </w:p>
    <w:p>
      <w:pPr>
        <w:spacing w:after="0" w:line="58" w:lineRule="exact"/>
        <w:rPr>
          <w:rFonts w:ascii="Arial" w:cs="Arial" w:eastAsia="Arial" w:hAnsi="Arial"/>
          <w:sz w:val="11"/>
          <w:szCs w:val="11"/>
          <w:color w:val="auto"/>
        </w:rPr>
      </w:pPr>
    </w:p>
    <w:p>
      <w:pPr>
        <w:ind w:left="1400" w:hanging="285"/>
        <w:spacing w:after="0"/>
        <w:tabs>
          <w:tab w:leader="none" w:pos="1400" w:val="left"/>
        </w:tabs>
        <w:numPr>
          <w:ilvl w:val="1"/>
          <w:numId w:val="150"/>
        </w:numPr>
        <w:rPr>
          <w:rFonts w:ascii="Arial" w:cs="Arial" w:eastAsia="Arial" w:hAnsi="Arial"/>
          <w:sz w:val="11"/>
          <w:szCs w:val="11"/>
          <w:color w:val="auto"/>
        </w:rPr>
      </w:pPr>
      <w:r>
        <w:rPr>
          <w:rFonts w:ascii="Arial" w:cs="Arial" w:eastAsia="Arial" w:hAnsi="Arial"/>
          <w:sz w:val="11"/>
          <w:szCs w:val="11"/>
          <w:color w:val="B5082D"/>
          <w:strike w:val="1"/>
        </w:rPr>
        <w:t>a once off payment of $2,000,000 paid on or before 31 December 2020;</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50"/>
        </w:numPr>
        <w:rPr>
          <w:rFonts w:ascii="Arial" w:cs="Arial" w:eastAsia="Arial" w:hAnsi="Arial"/>
          <w:sz w:val="11"/>
          <w:szCs w:val="11"/>
          <w:color w:val="auto"/>
        </w:rPr>
      </w:pPr>
      <w:r>
        <w:rPr>
          <w:rFonts w:ascii="Arial" w:cs="Arial" w:eastAsia="Arial" w:hAnsi="Arial"/>
          <w:sz w:val="11"/>
          <w:szCs w:val="11"/>
          <w:color w:val="B5082D"/>
          <w:strike w:val="1"/>
        </w:rPr>
        <w:t>a once off payment of $2,000,000 paid on or around 31 January 2021, subject to:</w:t>
      </w:r>
    </w:p>
    <w:p>
      <w:pPr>
        <w:spacing w:after="0" w:line="46" w:lineRule="exact"/>
        <w:rPr>
          <w:rFonts w:ascii="Arial" w:cs="Arial" w:eastAsia="Arial" w:hAnsi="Arial"/>
          <w:sz w:val="11"/>
          <w:szCs w:val="11"/>
          <w:color w:val="auto"/>
        </w:rPr>
      </w:pPr>
    </w:p>
    <w:p>
      <w:pPr>
        <w:ind w:left="1660" w:hanging="275"/>
        <w:spacing w:after="0"/>
        <w:tabs>
          <w:tab w:leader="none" w:pos="1660" w:val="left"/>
        </w:tabs>
        <w:numPr>
          <w:ilvl w:val="2"/>
          <w:numId w:val="150"/>
        </w:numPr>
        <w:rPr>
          <w:rFonts w:ascii="Arial" w:cs="Arial" w:eastAsia="Arial" w:hAnsi="Arial"/>
          <w:sz w:val="11"/>
          <w:szCs w:val="11"/>
          <w:color w:val="auto"/>
        </w:rPr>
      </w:pPr>
      <w:r>
        <w:rPr>
          <w:rFonts w:ascii="Arial" w:cs="Arial" w:eastAsia="Arial" w:hAnsi="Arial"/>
          <w:sz w:val="11"/>
          <w:szCs w:val="11"/>
          <w:color w:val="B5082D"/>
          <w:strike w:val="1"/>
        </w:rPr>
        <w:t>the Borrower providing consolidated unaudited financial forecast statements (including, profit and loss statements, balance sheets and</w:t>
      </w:r>
    </w:p>
    <w:p>
      <w:pPr>
        <w:spacing w:after="0" w:line="1" w:lineRule="exact"/>
        <w:rPr>
          <w:rFonts w:ascii="Arial" w:cs="Arial" w:eastAsia="Arial" w:hAnsi="Arial"/>
          <w:sz w:val="11"/>
          <w:szCs w:val="11"/>
          <w:color w:val="auto"/>
        </w:rPr>
      </w:pPr>
    </w:p>
    <w:p>
      <w:pPr>
        <w:ind w:left="1660" w:right="480"/>
        <w:spacing w:after="0" w:line="241" w:lineRule="auto"/>
        <w:rPr>
          <w:rFonts w:ascii="Arial" w:cs="Arial" w:eastAsia="Arial" w:hAnsi="Arial"/>
          <w:sz w:val="11"/>
          <w:szCs w:val="11"/>
          <w:color w:val="auto"/>
        </w:rPr>
      </w:pPr>
      <w:r>
        <w:rPr>
          <w:rFonts w:ascii="Arial" w:cs="Arial" w:eastAsia="Arial" w:hAnsi="Arial"/>
          <w:sz w:val="11"/>
          <w:szCs w:val="11"/>
          <w:color w:val="B5082D"/>
          <w:strike w:val="1"/>
        </w:rPr>
        <w:t>cashflow statements) for the Reading Entertainment Australia Group, for the quarters ending on 31 March 2021 and 30 June 2021, including any commentary on the following assumptions: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0" w:type="dxa"/>
            <w:vAlign w:val="bottom"/>
            <w:vMerge w:val="restart"/>
          </w:tcPr>
          <w:p>
            <w:pPr>
              <w:spacing w:after="0"/>
              <w:rPr>
                <w:sz w:val="20"/>
                <w:szCs w:val="20"/>
                <w:color w:val="auto"/>
              </w:rPr>
            </w:pPr>
            <w:r>
              <w:rPr>
                <w:rFonts w:ascii="Arial" w:cs="Arial" w:eastAsia="Arial" w:hAnsi="Arial"/>
                <w:sz w:val="8"/>
                <w:szCs w:val="8"/>
                <w:color w:val="8BD8FF"/>
                <w:w w:val="98"/>
              </w:rPr>
              <w:t>3468-7174-2245v7</w:t>
            </w:r>
          </w:p>
        </w:tc>
        <w:tc>
          <w:tcPr>
            <w:tcW w:w="700" w:type="dxa"/>
            <w:vAlign w:val="bottom"/>
            <w:vMerge w:val="restart"/>
          </w:tcPr>
          <w:p>
            <w:pPr>
              <w:spacing w:after="0"/>
              <w:rPr>
                <w:sz w:val="20"/>
                <w:szCs w:val="20"/>
                <w:color w:val="auto"/>
              </w:rPr>
            </w:pPr>
            <w:r>
              <w:rPr>
                <w:rFonts w:ascii="Arial" w:cs="Arial" w:eastAsia="Arial" w:hAnsi="Arial"/>
                <w:sz w:val="8"/>
                <w:szCs w:val="8"/>
                <w:color w:val="FF0000"/>
                <w:strike w:val="1"/>
              </w:rPr>
              <w:t>3468-7174-2245v2</w:t>
            </w:r>
          </w:p>
        </w:tc>
        <w:tc>
          <w:tcPr>
            <w:tcW w:w="820" w:type="dxa"/>
            <w:vAlign w:val="bottom"/>
          </w:tcPr>
          <w:p>
            <w:pPr>
              <w:jc w:val="right"/>
              <w:ind w:right="324"/>
              <w:spacing w:after="0"/>
              <w:rPr>
                <w:sz w:val="20"/>
                <w:szCs w:val="20"/>
                <w:color w:val="auto"/>
              </w:rPr>
            </w:pPr>
            <w:r>
              <w:rPr>
                <w:rFonts w:ascii="Arial" w:cs="Arial" w:eastAsia="Arial" w:hAnsi="Arial"/>
                <w:sz w:val="11"/>
                <w:szCs w:val="11"/>
                <w:color w:val="auto"/>
                <w:strike w:val="1"/>
              </w:rPr>
              <w:t>(1)</w:t>
            </w:r>
          </w:p>
        </w:tc>
        <w:tc>
          <w:tcPr>
            <w:tcW w:w="2880" w:type="dxa"/>
            <w:vAlign w:val="bottom"/>
          </w:tcPr>
          <w:p>
            <w:pPr>
              <w:spacing w:after="0"/>
              <w:rPr>
                <w:sz w:val="20"/>
                <w:szCs w:val="20"/>
                <w:color w:val="auto"/>
              </w:rPr>
            </w:pPr>
            <w:r>
              <w:rPr>
                <w:rFonts w:ascii="Arial" w:cs="Arial" w:eastAsia="Arial" w:hAnsi="Arial"/>
                <w:sz w:val="11"/>
                <w:szCs w:val="11"/>
                <w:color w:val="B5082D"/>
                <w:strike w:val="1"/>
              </w:rPr>
              <w:t>withdrawal of JobKeeper government support; and (2)</w:t>
            </w:r>
          </w:p>
        </w:tc>
        <w:tc>
          <w:tcPr>
            <w:tcW w:w="2800" w:type="dxa"/>
            <w:vAlign w:val="bottom"/>
          </w:tcPr>
          <w:p>
            <w:pPr>
              <w:ind w:left="240"/>
              <w:spacing w:after="0"/>
              <w:rPr>
                <w:sz w:val="20"/>
                <w:szCs w:val="20"/>
                <w:color w:val="auto"/>
              </w:rPr>
            </w:pPr>
            <w:r>
              <w:rPr>
                <w:rFonts w:ascii="Arial" w:cs="Arial" w:eastAsia="Arial" w:hAnsi="Arial"/>
                <w:sz w:val="11"/>
                <w:szCs w:val="11"/>
                <w:color w:val="B5082D"/>
                <w:strike w:val="1"/>
              </w:rPr>
              <w:t>rental payment relief provided by relevant landlords;</w:t>
            </w:r>
          </w:p>
        </w:tc>
        <w:tc>
          <w:tcPr>
            <w:tcW w:w="1400" w:type="dxa"/>
            <w:vAlign w:val="bottom"/>
            <w:vMerge w:val="restart"/>
          </w:tcPr>
          <w:p>
            <w:pPr>
              <w:ind w:left="1100"/>
              <w:spacing w:after="0"/>
              <w:rPr>
                <w:sz w:val="20"/>
                <w:szCs w:val="20"/>
                <w:color w:val="auto"/>
              </w:rPr>
            </w:pPr>
            <w:r>
              <w:rPr>
                <w:rFonts w:ascii="Arial" w:cs="Arial" w:eastAsia="Arial" w:hAnsi="Arial"/>
                <w:sz w:val="8"/>
                <w:szCs w:val="8"/>
                <w:color w:val="auto"/>
                <w:w w:val="96"/>
              </w:rPr>
              <w:t>page 45</w:t>
            </w:r>
          </w:p>
        </w:tc>
        <w:tc>
          <w:tcPr>
            <w:tcW w:w="0" w:type="dxa"/>
            <w:vAlign w:val="bottom"/>
          </w:tcPr>
          <w:p>
            <w:pPr>
              <w:spacing w:after="0"/>
              <w:rPr>
                <w:sz w:val="1"/>
                <w:szCs w:val="1"/>
                <w:color w:val="auto"/>
              </w:rPr>
            </w:pPr>
          </w:p>
        </w:tc>
      </w:tr>
      <w:tr>
        <w:trPr>
          <w:trHeight w:val="551"/>
        </w:trPr>
        <w:tc>
          <w:tcPr>
            <w:tcW w:w="680" w:type="dxa"/>
            <w:vAlign w:val="bottom"/>
            <w:tcBorders>
              <w:bottom w:val="single" w:sz="8" w:color="8BD8FF"/>
            </w:tcBorders>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200" w:type="dxa"/>
            <w:vAlign w:val="bottom"/>
            <w:gridSpan w:val="3"/>
          </w:tcPr>
          <w:p>
            <w:pPr>
              <w:spacing w:after="0"/>
              <w:rPr>
                <w:sz w:val="20"/>
                <w:szCs w:val="20"/>
                <w:color w:val="auto"/>
              </w:rPr>
            </w:pPr>
            <w:r>
              <w:rPr>
                <w:rFonts w:ascii="Arial" w:cs="Arial" w:eastAsia="Arial" w:hAnsi="Arial"/>
                <w:sz w:val="8"/>
                <w:szCs w:val="8"/>
                <w:color w:val="auto"/>
              </w:rPr>
              <w:t>Facility Agreement</w:t>
            </w:r>
          </w:p>
        </w:tc>
        <w:tc>
          <w:tcPr>
            <w:tcW w:w="28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70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2880" w:type="dxa"/>
            <w:vAlign w:val="bottom"/>
            <w:tcBorders>
              <w:bottom w:val="single" w:sz="8" w:color="EEEEEE"/>
            </w:tcBorders>
          </w:tcPr>
          <w:p>
            <w:pPr>
              <w:spacing w:after="0"/>
              <w:rPr>
                <w:sz w:val="18"/>
                <w:szCs w:val="18"/>
                <w:color w:val="auto"/>
              </w:rPr>
            </w:pPr>
          </w:p>
        </w:tc>
        <w:tc>
          <w:tcPr>
            <w:tcW w:w="2800" w:type="dxa"/>
            <w:vAlign w:val="bottom"/>
            <w:tcBorders>
              <w:bottom w:val="single" w:sz="8" w:color="EEEEEE"/>
            </w:tcBorders>
          </w:tcPr>
          <w:p>
            <w:pPr>
              <w:spacing w:after="0"/>
              <w:rPr>
                <w:sz w:val="18"/>
                <w:szCs w:val="18"/>
                <w:color w:val="auto"/>
              </w:rPr>
            </w:pPr>
          </w:p>
        </w:tc>
        <w:tc>
          <w:tcPr>
            <w:tcW w:w="14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13" w:name="page114"/>
    <w:bookmarkEnd w:id="113"/>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80" w:right="1820" w:hanging="295"/>
        <w:spacing w:after="0" w:line="271" w:lineRule="auto"/>
        <w:tabs>
          <w:tab w:leader="none" w:pos="1673" w:val="left"/>
        </w:tabs>
        <w:numPr>
          <w:ilvl w:val="0"/>
          <w:numId w:val="151"/>
        </w:numPr>
        <w:rPr>
          <w:rFonts w:ascii="Arial" w:cs="Arial" w:eastAsia="Arial" w:hAnsi="Arial"/>
          <w:sz w:val="11"/>
          <w:szCs w:val="11"/>
          <w:color w:val="auto"/>
        </w:rPr>
      </w:pPr>
      <w:r>
        <w:rPr>
          <w:rFonts w:ascii="Arial" w:cs="Arial" w:eastAsia="Arial" w:hAnsi="Arial"/>
          <w:sz w:val="11"/>
          <w:szCs w:val="11"/>
          <w:color w:val="B5082D"/>
          <w:strike w:val="1"/>
        </w:rPr>
        <w:t>the Borrower providing confirmation to the Bank that the minimum forecasted cash balance is equal to or greater than $6,000,000 for each month for the period to 30 June 2021;</w:t>
      </w:r>
    </w:p>
    <w:p>
      <w:pPr>
        <w:spacing w:after="0" w:line="36" w:lineRule="exact"/>
        <w:rPr>
          <w:rFonts w:ascii="Arial" w:cs="Arial" w:eastAsia="Arial" w:hAnsi="Arial"/>
          <w:sz w:val="11"/>
          <w:szCs w:val="11"/>
          <w:color w:val="auto"/>
        </w:rPr>
      </w:pPr>
    </w:p>
    <w:p>
      <w:pPr>
        <w:ind w:left="1660" w:right="300" w:hanging="275"/>
        <w:spacing w:after="0" w:line="256" w:lineRule="auto"/>
        <w:tabs>
          <w:tab w:leader="none" w:pos="1660" w:val="left"/>
        </w:tabs>
        <w:numPr>
          <w:ilvl w:val="0"/>
          <w:numId w:val="151"/>
        </w:numPr>
        <w:rPr>
          <w:rFonts w:ascii="Arial" w:cs="Arial" w:eastAsia="Arial" w:hAnsi="Arial"/>
          <w:sz w:val="11"/>
          <w:szCs w:val="11"/>
          <w:color w:val="auto"/>
        </w:rPr>
      </w:pPr>
      <w:r>
        <w:rPr>
          <w:rFonts w:ascii="Arial" w:cs="Arial" w:eastAsia="Arial" w:hAnsi="Arial"/>
          <w:sz w:val="11"/>
          <w:szCs w:val="11"/>
          <w:color w:val="B5082D"/>
          <w:strike w:val="1"/>
        </w:rPr>
        <w:t>the Borrower providing confirmation to the Bank that the forecasted monthly cashflow position is positive for each month for the period to 30 June 2021; and</w:t>
      </w:r>
    </w:p>
    <w:p>
      <w:pPr>
        <w:spacing w:after="0" w:line="37" w:lineRule="exact"/>
        <w:rPr>
          <w:rFonts w:ascii="Arial" w:cs="Arial" w:eastAsia="Arial" w:hAnsi="Arial"/>
          <w:sz w:val="11"/>
          <w:szCs w:val="11"/>
          <w:color w:val="auto"/>
        </w:rPr>
      </w:pPr>
    </w:p>
    <w:p>
      <w:pPr>
        <w:ind w:left="1620" w:hanging="235"/>
        <w:spacing w:after="0"/>
        <w:tabs>
          <w:tab w:leader="none" w:pos="1620" w:val="left"/>
        </w:tabs>
        <w:numPr>
          <w:ilvl w:val="0"/>
          <w:numId w:val="151"/>
        </w:numPr>
        <w:rPr>
          <w:rFonts w:ascii="Arial" w:cs="Arial" w:eastAsia="Arial" w:hAnsi="Arial"/>
          <w:sz w:val="11"/>
          <w:szCs w:val="11"/>
          <w:color w:val="auto"/>
        </w:rPr>
      </w:pPr>
      <w:r>
        <w:rPr>
          <w:rFonts w:ascii="Arial" w:cs="Arial" w:eastAsia="Arial" w:hAnsi="Arial"/>
          <w:sz w:val="11"/>
          <w:szCs w:val="11"/>
          <w:color w:val="B5082D"/>
          <w:strike w:val="1"/>
        </w:rPr>
        <w:t>no Event of Default subsisting;</w:t>
      </w:r>
    </w:p>
    <w:p>
      <w:pPr>
        <w:spacing w:after="0" w:line="69" w:lineRule="exact"/>
        <w:rPr>
          <w:sz w:val="20"/>
          <w:szCs w:val="20"/>
          <w:color w:val="auto"/>
        </w:rPr>
      </w:pPr>
    </w:p>
    <w:p>
      <w:pPr>
        <w:ind w:left="1140"/>
        <w:spacing w:after="0"/>
        <w:rPr>
          <w:sz w:val="20"/>
          <w:szCs w:val="20"/>
          <w:color w:val="auto"/>
        </w:rPr>
      </w:pPr>
      <w:r>
        <w:rPr>
          <w:rFonts w:ascii="Arial" w:cs="Arial" w:eastAsia="Arial" w:hAnsi="Arial"/>
          <w:sz w:val="11"/>
          <w:szCs w:val="11"/>
          <w:color w:val="B5082D"/>
          <w:strike w:val="1"/>
        </w:rPr>
        <w:t>(iii)</w:t>
      </w:r>
      <w:r>
        <w:rPr>
          <w:rFonts w:ascii="Arial" w:cs="Arial" w:eastAsia="Arial" w:hAnsi="Arial"/>
          <w:sz w:val="11"/>
          <w:szCs w:val="11"/>
          <w:u w:val="single" w:color="auto"/>
          <w:color w:val="2D96D2"/>
        </w:rPr>
        <w:t>(i)</w:t>
      </w:r>
      <w:r>
        <w:rPr>
          <w:rFonts w:ascii="Arial" w:cs="Arial" w:eastAsia="Arial" w:hAnsi="Arial"/>
          <w:sz w:val="11"/>
          <w:szCs w:val="11"/>
          <w:color w:val="B5082D"/>
        </w:rPr>
        <w:t xml:space="preserve"> </w:t>
      </w:r>
      <w:r>
        <w:rPr>
          <w:rFonts w:ascii="Arial" w:cs="Arial" w:eastAsia="Arial" w:hAnsi="Arial"/>
          <w:sz w:val="11"/>
          <w:szCs w:val="11"/>
          <w:color w:val="000000"/>
        </w:rPr>
        <w:t>at any time on or prior to the Relevant Date, with the Bank’s prior written consent; and</w:t>
      </w:r>
    </w:p>
    <w:p>
      <w:pPr>
        <w:spacing w:after="0" w:line="46" w:lineRule="exact"/>
        <w:rPr>
          <w:sz w:val="20"/>
          <w:szCs w:val="20"/>
          <w:color w:val="auto"/>
        </w:rPr>
      </w:pPr>
    </w:p>
    <w:p>
      <w:pPr>
        <w:ind w:left="1400" w:right="1220" w:hanging="277"/>
        <w:spacing w:after="0" w:line="256" w:lineRule="auto"/>
        <w:rPr>
          <w:sz w:val="20"/>
          <w:szCs w:val="20"/>
          <w:color w:val="auto"/>
        </w:rPr>
      </w:pPr>
      <w:r>
        <w:rPr>
          <w:rFonts w:ascii="Arial" w:cs="Arial" w:eastAsia="Arial" w:hAnsi="Arial"/>
          <w:sz w:val="11"/>
          <w:szCs w:val="11"/>
          <w:color w:val="B5082D"/>
          <w:strike w:val="1"/>
        </w:rPr>
        <w:t>(iv)</w:t>
      </w:r>
      <w:r>
        <w:rPr>
          <w:rFonts w:ascii="Arial" w:cs="Arial" w:eastAsia="Arial" w:hAnsi="Arial"/>
          <w:sz w:val="11"/>
          <w:szCs w:val="11"/>
          <w:u w:val="single" w:color="auto"/>
          <w:color w:val="2D96D2"/>
        </w:rPr>
        <w:t>(ii)</w:t>
      </w:r>
      <w:r>
        <w:rPr>
          <w:rFonts w:ascii="Arial" w:cs="Arial" w:eastAsia="Arial" w:hAnsi="Arial"/>
          <w:sz w:val="11"/>
          <w:szCs w:val="11"/>
          <w:color w:val="B5082D"/>
        </w:rPr>
        <w:t xml:space="preserve"> </w:t>
      </w:r>
      <w:r>
        <w:rPr>
          <w:rFonts w:ascii="Arial" w:cs="Arial" w:eastAsia="Arial" w:hAnsi="Arial"/>
          <w:sz w:val="11"/>
          <w:szCs w:val="11"/>
          <w:color w:val="000000"/>
        </w:rPr>
        <w:t>at any time after the Relevant Date, if no Event of Default subsists</w:t>
      </w:r>
      <w:r>
        <w:rPr>
          <w:rFonts w:ascii="Arial" w:cs="Arial" w:eastAsia="Arial" w:hAnsi="Arial"/>
          <w:sz w:val="11"/>
          <w:szCs w:val="11"/>
          <w:color w:val="B5082D"/>
        </w:rPr>
        <w:t xml:space="preserve"> </w:t>
      </w:r>
      <w:r>
        <w:rPr>
          <w:rFonts w:ascii="Arial" w:cs="Arial" w:eastAsia="Arial" w:hAnsi="Arial"/>
          <w:sz w:val="11"/>
          <w:szCs w:val="11"/>
          <w:u w:val="single" w:color="auto"/>
          <w:color w:val="2D96D2"/>
        </w:rPr>
        <w:t>and provided that the aggregate amount of Management Fees paid</w:t>
      </w:r>
      <w:r>
        <w:rPr>
          <w:rFonts w:ascii="Arial" w:cs="Arial" w:eastAsia="Arial" w:hAnsi="Arial"/>
          <w:sz w:val="11"/>
          <w:szCs w:val="11"/>
          <w:color w:val="B5082D"/>
        </w:rPr>
        <w:t xml:space="preserve"> </w:t>
      </w:r>
      <w:r>
        <w:rPr>
          <w:rFonts w:ascii="Arial" w:cs="Arial" w:eastAsia="Arial" w:hAnsi="Arial"/>
          <w:sz w:val="11"/>
          <w:szCs w:val="11"/>
          <w:u w:val="single" w:color="auto"/>
          <w:color w:val="2D96D2"/>
        </w:rPr>
        <w:t>per Financial Year does not exceed $5,000,000</w:t>
      </w:r>
      <w:r>
        <w:rPr>
          <w:rFonts w:ascii="Arial" w:cs="Arial" w:eastAsia="Arial" w:hAnsi="Arial"/>
          <w:sz w:val="11"/>
          <w:szCs w:val="11"/>
          <w:color w:val="000000"/>
        </w:rPr>
        <w:t>.</w:t>
      </w:r>
    </w:p>
    <w:p>
      <w:pPr>
        <w:spacing w:after="0" w:line="18" w:lineRule="exact"/>
        <w:rPr>
          <w:sz w:val="20"/>
          <w:szCs w:val="20"/>
          <w:color w:val="auto"/>
        </w:rPr>
      </w:pPr>
    </w:p>
    <w:p>
      <w:pPr>
        <w:ind w:left="1080" w:hanging="280"/>
        <w:spacing w:after="0"/>
        <w:tabs>
          <w:tab w:leader="none" w:pos="1080" w:val="left"/>
        </w:tabs>
        <w:numPr>
          <w:ilvl w:val="0"/>
          <w:numId w:val="152"/>
        </w:numPr>
        <w:rPr>
          <w:rFonts w:ascii="Arial" w:cs="Arial" w:eastAsia="Arial" w:hAnsi="Arial"/>
          <w:sz w:val="11"/>
          <w:szCs w:val="11"/>
          <w:color w:val="auto"/>
        </w:rPr>
      </w:pPr>
      <w:r>
        <w:rPr>
          <w:rFonts w:ascii="Arial" w:cs="Arial" w:eastAsia="Arial" w:hAnsi="Arial"/>
          <w:sz w:val="11"/>
          <w:szCs w:val="11"/>
          <w:b w:val="1"/>
          <w:bCs w:val="1"/>
          <w:color w:val="auto"/>
        </w:rPr>
        <w:t xml:space="preserve">Preservation and protection of Security: </w:t>
      </w:r>
      <w:r>
        <w:rPr>
          <w:rFonts w:ascii="Arial" w:cs="Arial" w:eastAsia="Arial" w:hAnsi="Arial"/>
          <w:sz w:val="11"/>
          <w:szCs w:val="11"/>
          <w:color w:val="auto"/>
        </w:rPr>
        <w:t>it does everything necessary or reasonably required by the Bank to:</w:t>
      </w:r>
    </w:p>
    <w:p>
      <w:pPr>
        <w:spacing w:after="0" w:line="43" w:lineRule="exact"/>
        <w:rPr>
          <w:rFonts w:ascii="Arial" w:cs="Arial" w:eastAsia="Arial" w:hAnsi="Arial"/>
          <w:sz w:val="11"/>
          <w:szCs w:val="11"/>
          <w:color w:val="auto"/>
        </w:rPr>
      </w:pPr>
    </w:p>
    <w:p>
      <w:pPr>
        <w:ind w:left="1400" w:hanging="285"/>
        <w:spacing w:after="0"/>
        <w:tabs>
          <w:tab w:leader="none" w:pos="1400" w:val="left"/>
        </w:tabs>
        <w:numPr>
          <w:ilvl w:val="1"/>
          <w:numId w:val="152"/>
        </w:numPr>
        <w:rPr>
          <w:rFonts w:ascii="Arial" w:cs="Arial" w:eastAsia="Arial" w:hAnsi="Arial"/>
          <w:sz w:val="11"/>
          <w:szCs w:val="11"/>
          <w:color w:val="auto"/>
        </w:rPr>
      </w:pPr>
      <w:r>
        <w:rPr>
          <w:rFonts w:ascii="Arial" w:cs="Arial" w:eastAsia="Arial" w:hAnsi="Arial"/>
          <w:sz w:val="11"/>
          <w:szCs w:val="11"/>
          <w:color w:val="auto"/>
        </w:rPr>
        <w:t>keep the Secured Property in good repair and in good working order;</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52"/>
        </w:numPr>
        <w:rPr>
          <w:rFonts w:ascii="Arial" w:cs="Arial" w:eastAsia="Arial" w:hAnsi="Arial"/>
          <w:sz w:val="11"/>
          <w:szCs w:val="11"/>
          <w:color w:val="auto"/>
        </w:rPr>
      </w:pPr>
      <w:r>
        <w:rPr>
          <w:rFonts w:ascii="Arial" w:cs="Arial" w:eastAsia="Arial" w:hAnsi="Arial"/>
          <w:sz w:val="11"/>
          <w:szCs w:val="11"/>
          <w:color w:val="auto"/>
        </w:rPr>
        <w:t>promptly pay when they become due for payment (or reimburse the Bank on demand for) all Taxes payable in respect of the Secured Property;</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52"/>
        </w:numPr>
        <w:rPr>
          <w:rFonts w:ascii="Arial" w:cs="Arial" w:eastAsia="Arial" w:hAnsi="Arial"/>
          <w:sz w:val="11"/>
          <w:szCs w:val="11"/>
          <w:color w:val="auto"/>
        </w:rPr>
      </w:pPr>
      <w:r>
        <w:rPr>
          <w:rFonts w:ascii="Arial" w:cs="Arial" w:eastAsia="Arial" w:hAnsi="Arial"/>
          <w:sz w:val="11"/>
          <w:szCs w:val="11"/>
          <w:color w:val="auto"/>
        </w:rPr>
        <w:t>preserve and protect the value of the Secured Property as a whole; and</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152"/>
        </w:numPr>
        <w:rPr>
          <w:rFonts w:ascii="Arial" w:cs="Arial" w:eastAsia="Arial" w:hAnsi="Arial"/>
          <w:sz w:val="11"/>
          <w:szCs w:val="11"/>
          <w:color w:val="auto"/>
        </w:rPr>
      </w:pPr>
      <w:r>
        <w:rPr>
          <w:rFonts w:ascii="Arial" w:cs="Arial" w:eastAsia="Arial" w:hAnsi="Arial"/>
          <w:sz w:val="11"/>
          <w:szCs w:val="11"/>
          <w:color w:val="auto"/>
        </w:rPr>
        <w:t>protect and enforce its title and the Bank’s title as mortgagee to the Secured Property.</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9.7</w:t>
      </w:r>
      <w:r>
        <w:rPr>
          <w:sz w:val="20"/>
          <w:szCs w:val="20"/>
          <w:color w:val="auto"/>
        </w:rPr>
        <w:tab/>
      </w:r>
      <w:r>
        <w:rPr>
          <w:rFonts w:ascii="Arial" w:cs="Arial" w:eastAsia="Arial" w:hAnsi="Arial"/>
          <w:sz w:val="12"/>
          <w:szCs w:val="12"/>
          <w:b w:val="1"/>
          <w:bCs w:val="1"/>
          <w:color w:val="auto"/>
        </w:rPr>
        <w:t>Insurance</w:t>
      </w:r>
    </w:p>
    <w:p>
      <w:pPr>
        <w:spacing w:after="0" w:line="47" w:lineRule="exact"/>
        <w:rPr>
          <w:sz w:val="20"/>
          <w:szCs w:val="20"/>
          <w:color w:val="auto"/>
        </w:rPr>
      </w:pPr>
    </w:p>
    <w:p>
      <w:pPr>
        <w:ind w:left="1080" w:right="400" w:hanging="280"/>
        <w:spacing w:after="0" w:line="256" w:lineRule="auto"/>
        <w:tabs>
          <w:tab w:leader="none" w:pos="1080" w:val="left"/>
        </w:tabs>
        <w:numPr>
          <w:ilvl w:val="0"/>
          <w:numId w:val="153"/>
        </w:numPr>
        <w:rPr>
          <w:rFonts w:ascii="Arial" w:cs="Arial" w:eastAsia="Arial" w:hAnsi="Arial"/>
          <w:sz w:val="11"/>
          <w:szCs w:val="11"/>
          <w:color w:val="auto"/>
        </w:rPr>
      </w:pPr>
      <w:r>
        <w:rPr>
          <w:rFonts w:ascii="Arial" w:cs="Arial" w:eastAsia="Arial" w:hAnsi="Arial"/>
          <w:sz w:val="11"/>
          <w:szCs w:val="11"/>
          <w:color w:val="auto"/>
        </w:rPr>
        <w:t>Subject to the provisions of the Transaction Documents, the Borrower must effect and maintain insurance over and in relation to the Secured Property, the business operations of the Group (including business interruption) and for public liability with insurers, for amounts, against risks and on terms and conditions:</w:t>
      </w:r>
    </w:p>
    <w:p>
      <w:pPr>
        <w:spacing w:after="0" w:line="30" w:lineRule="exact"/>
        <w:rPr>
          <w:rFonts w:ascii="Arial" w:cs="Arial" w:eastAsia="Arial" w:hAnsi="Arial"/>
          <w:sz w:val="11"/>
          <w:szCs w:val="11"/>
          <w:color w:val="auto"/>
        </w:rPr>
      </w:pPr>
    </w:p>
    <w:p>
      <w:pPr>
        <w:ind w:left="1400" w:hanging="285"/>
        <w:spacing w:after="0"/>
        <w:tabs>
          <w:tab w:leader="none" w:pos="1400" w:val="left"/>
        </w:tabs>
        <w:numPr>
          <w:ilvl w:val="1"/>
          <w:numId w:val="153"/>
        </w:numPr>
        <w:rPr>
          <w:rFonts w:ascii="Arial" w:cs="Arial" w:eastAsia="Arial" w:hAnsi="Arial"/>
          <w:sz w:val="11"/>
          <w:szCs w:val="11"/>
          <w:color w:val="auto"/>
        </w:rPr>
      </w:pPr>
      <w:r>
        <w:rPr>
          <w:rFonts w:ascii="Arial" w:cs="Arial" w:eastAsia="Arial" w:hAnsi="Arial"/>
          <w:sz w:val="11"/>
          <w:szCs w:val="11"/>
          <w:color w:val="auto"/>
        </w:rPr>
        <w:t>that the Bank reasonably requires; or</w:t>
      </w:r>
    </w:p>
    <w:p>
      <w:pPr>
        <w:spacing w:after="0" w:line="68" w:lineRule="exact"/>
        <w:rPr>
          <w:rFonts w:ascii="Arial" w:cs="Arial" w:eastAsia="Arial" w:hAnsi="Arial"/>
          <w:sz w:val="11"/>
          <w:szCs w:val="11"/>
          <w:color w:val="auto"/>
        </w:rPr>
      </w:pPr>
    </w:p>
    <w:p>
      <w:pPr>
        <w:ind w:left="1400" w:right="1020" w:hanging="285"/>
        <w:spacing w:after="0" w:line="256" w:lineRule="auto"/>
        <w:tabs>
          <w:tab w:leader="none" w:pos="1400" w:val="left"/>
        </w:tabs>
        <w:numPr>
          <w:ilvl w:val="1"/>
          <w:numId w:val="153"/>
        </w:numPr>
        <w:rPr>
          <w:rFonts w:ascii="Arial" w:cs="Arial" w:eastAsia="Arial" w:hAnsi="Arial"/>
          <w:sz w:val="11"/>
          <w:szCs w:val="11"/>
          <w:color w:val="auto"/>
        </w:rPr>
      </w:pPr>
      <w:r>
        <w:rPr>
          <w:rFonts w:ascii="Arial" w:cs="Arial" w:eastAsia="Arial" w:hAnsi="Arial"/>
          <w:sz w:val="11"/>
          <w:szCs w:val="11"/>
          <w:color w:val="auto"/>
        </w:rPr>
        <w:t>if the Bank does not notify the Borrower of its requirements, that a prudent and reasonable owner of the Secured Property would effect and maintain, including insurance for full replacement value on a reinstatement basis.</w:t>
      </w:r>
    </w:p>
    <w:p>
      <w:pPr>
        <w:spacing w:after="0" w:line="22" w:lineRule="exact"/>
        <w:rPr>
          <w:rFonts w:ascii="Arial" w:cs="Arial" w:eastAsia="Arial" w:hAnsi="Arial"/>
          <w:sz w:val="11"/>
          <w:szCs w:val="11"/>
          <w:color w:val="auto"/>
        </w:rPr>
      </w:pPr>
    </w:p>
    <w:p>
      <w:pPr>
        <w:ind w:left="1080" w:right="620" w:hanging="280"/>
        <w:spacing w:after="0" w:line="256" w:lineRule="auto"/>
        <w:tabs>
          <w:tab w:leader="none" w:pos="1080" w:val="left"/>
        </w:tabs>
        <w:numPr>
          <w:ilvl w:val="0"/>
          <w:numId w:val="153"/>
        </w:numPr>
        <w:rPr>
          <w:rFonts w:ascii="Arial" w:cs="Arial" w:eastAsia="Arial" w:hAnsi="Arial"/>
          <w:sz w:val="11"/>
          <w:szCs w:val="11"/>
          <w:color w:val="auto"/>
        </w:rPr>
      </w:pPr>
      <w:r>
        <w:rPr>
          <w:rFonts w:ascii="Arial" w:cs="Arial" w:eastAsia="Arial" w:hAnsi="Arial"/>
          <w:sz w:val="11"/>
          <w:szCs w:val="11"/>
          <w:color w:val="auto"/>
        </w:rPr>
        <w:t>Subject to the provisions of the Transaction Documents, the Borrower must give to the Bank on demand a certificate in form and substance satisfactory to the Bank from the insurer to the effect that the required Insurances are current and no premium is overdue.</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9.8</w:t>
      </w:r>
      <w:r>
        <w:rPr>
          <w:sz w:val="20"/>
          <w:szCs w:val="20"/>
          <w:color w:val="auto"/>
        </w:rPr>
        <w:tab/>
      </w:r>
      <w:r>
        <w:rPr>
          <w:rFonts w:ascii="Arial" w:cs="Arial" w:eastAsia="Arial" w:hAnsi="Arial"/>
          <w:sz w:val="11"/>
          <w:szCs w:val="11"/>
          <w:b w:val="1"/>
          <w:bCs w:val="1"/>
          <w:color w:val="auto"/>
        </w:rPr>
        <w:t>Financial ratios</w:t>
      </w:r>
    </w:p>
    <w:p>
      <w:pPr>
        <w:spacing w:after="0" w:line="55" w:lineRule="exact"/>
        <w:rPr>
          <w:sz w:val="20"/>
          <w:szCs w:val="20"/>
          <w:color w:val="auto"/>
        </w:rPr>
      </w:pPr>
    </w:p>
    <w:p>
      <w:pPr>
        <w:ind w:left="1100" w:hanging="300"/>
        <w:spacing w:after="0"/>
        <w:tabs>
          <w:tab w:leader="none" w:pos="1100" w:val="left"/>
        </w:tabs>
        <w:numPr>
          <w:ilvl w:val="0"/>
          <w:numId w:val="154"/>
        </w:numPr>
        <w:rPr>
          <w:rFonts w:ascii="Arial" w:cs="Arial" w:eastAsia="Arial" w:hAnsi="Arial"/>
          <w:sz w:val="11"/>
          <w:szCs w:val="11"/>
          <w:color w:val="auto"/>
        </w:rPr>
      </w:pPr>
      <w:r>
        <w:rPr>
          <w:rFonts w:ascii="Arial" w:cs="Arial" w:eastAsia="Arial" w:hAnsi="Arial"/>
          <w:sz w:val="11"/>
          <w:szCs w:val="11"/>
          <w:color w:val="auto"/>
        </w:rPr>
        <w:t>The Borrower must ensure that: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46</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14" w:name="page115"/>
    <w:bookmarkEnd w:id="114"/>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00" w:hanging="285"/>
        <w:spacing w:after="0"/>
        <w:tabs>
          <w:tab w:leader="none" w:pos="1400" w:val="left"/>
        </w:tabs>
        <w:numPr>
          <w:ilvl w:val="0"/>
          <w:numId w:val="155"/>
        </w:numPr>
        <w:rPr>
          <w:rFonts w:ascii="Arial" w:cs="Arial" w:eastAsia="Arial" w:hAnsi="Arial"/>
          <w:sz w:val="11"/>
          <w:szCs w:val="11"/>
          <w:b w:val="1"/>
          <w:bCs w:val="1"/>
          <w:color w:val="auto"/>
        </w:rPr>
      </w:pPr>
      <w:r>
        <w:rPr>
          <w:rFonts w:ascii="Arial" w:cs="Arial" w:eastAsia="Arial" w:hAnsi="Arial"/>
          <w:sz w:val="11"/>
          <w:szCs w:val="11"/>
          <w:b w:val="1"/>
          <w:bCs w:val="1"/>
          <w:color w:val="auto"/>
        </w:rPr>
        <w:t>Fixed Charges Cover Ratio:</w:t>
      </w:r>
    </w:p>
    <w:p>
      <w:pPr>
        <w:spacing w:after="0" w:line="75" w:lineRule="exact"/>
        <w:rPr>
          <w:sz w:val="20"/>
          <w:szCs w:val="20"/>
          <w:color w:val="auto"/>
        </w:rPr>
      </w:pPr>
    </w:p>
    <w:p>
      <w:pPr>
        <w:ind w:left="1660" w:hanging="275"/>
        <w:spacing w:after="0"/>
        <w:tabs>
          <w:tab w:leader="none" w:pos="1660" w:val="left"/>
        </w:tabs>
        <w:numPr>
          <w:ilvl w:val="0"/>
          <w:numId w:val="156"/>
        </w:numPr>
        <w:rPr>
          <w:rFonts w:ascii="Arial" w:cs="Arial" w:eastAsia="Arial" w:hAnsi="Arial"/>
          <w:sz w:val="11"/>
          <w:szCs w:val="11"/>
          <w:color w:val="auto"/>
        </w:rPr>
      </w:pPr>
      <w:r>
        <w:rPr>
          <w:rFonts w:ascii="Arial" w:cs="Arial" w:eastAsia="Arial" w:hAnsi="Arial"/>
          <w:sz w:val="11"/>
          <w:szCs w:val="11"/>
          <w:color w:val="B5082D"/>
          <w:strike w:val="1"/>
        </w:rPr>
        <w:t>at 30 September 2021, the Fixed Charges Cover Ratio for the Calculation Period ending on that date is not less than 2.0 times (provided that, for the</w:t>
      </w:r>
    </w:p>
    <w:p>
      <w:pPr>
        <w:spacing w:after="0" w:line="2" w:lineRule="exact"/>
        <w:rPr>
          <w:sz w:val="20"/>
          <w:szCs w:val="20"/>
          <w:color w:val="auto"/>
        </w:rPr>
      </w:pPr>
    </w:p>
    <w:p>
      <w:pPr>
        <w:ind w:left="1660"/>
        <w:spacing w:after="0"/>
        <w:rPr>
          <w:sz w:val="20"/>
          <w:szCs w:val="20"/>
          <w:color w:val="auto"/>
        </w:rPr>
      </w:pPr>
      <w:r>
        <w:rPr>
          <w:rFonts w:ascii="Arial" w:cs="Arial" w:eastAsia="Arial" w:hAnsi="Arial"/>
          <w:sz w:val="11"/>
          <w:szCs w:val="11"/>
          <w:color w:val="B5082D"/>
          <w:strike w:val="1"/>
        </w:rPr>
        <w:t xml:space="preserve">purposes of this </w:t>
      </w:r>
      <w:r>
        <w:rPr>
          <w:rFonts w:ascii="Arial" w:cs="Arial" w:eastAsia="Arial" w:hAnsi="Arial"/>
          <w:sz w:val="11"/>
          <w:szCs w:val="11"/>
          <w:b w:val="1"/>
          <w:bCs w:val="1"/>
          <w:color w:val="B5082D"/>
          <w:strike w:val="1"/>
        </w:rPr>
        <w:t>clause 9.8(a)(i)(A)</w:t>
      </w:r>
      <w:r>
        <w:rPr>
          <w:rFonts w:ascii="Arial" w:cs="Arial" w:eastAsia="Arial" w:hAnsi="Arial"/>
          <w:sz w:val="11"/>
          <w:szCs w:val="11"/>
          <w:color w:val="B5082D"/>
          <w:strike w:val="1"/>
        </w:rPr>
        <w:t xml:space="preserve"> onl y, “C alcul ati on Period” shall be the peri od of  nine (9) months ending on that date);</w:t>
      </w:r>
    </w:p>
    <w:p>
      <w:pPr>
        <w:spacing w:after="0" w:line="38" w:lineRule="exact"/>
        <w:rPr>
          <w:sz w:val="20"/>
          <w:szCs w:val="20"/>
          <w:color w:val="auto"/>
        </w:rPr>
      </w:pPr>
    </w:p>
    <w:p>
      <w:pPr>
        <w:ind w:left="1660" w:hanging="275"/>
        <w:spacing w:after="0"/>
        <w:tabs>
          <w:tab w:leader="none" w:pos="1660" w:val="left"/>
        </w:tabs>
        <w:numPr>
          <w:ilvl w:val="0"/>
          <w:numId w:val="157"/>
        </w:numPr>
        <w:rPr>
          <w:rFonts w:ascii="Arial" w:cs="Arial" w:eastAsia="Arial" w:hAnsi="Arial"/>
          <w:sz w:val="11"/>
          <w:szCs w:val="11"/>
          <w:color w:val="auto"/>
        </w:rPr>
      </w:pPr>
      <w:r>
        <w:rPr>
          <w:rFonts w:ascii="Arial" w:cs="Arial" w:eastAsia="Arial" w:hAnsi="Arial"/>
          <w:sz w:val="11"/>
          <w:szCs w:val="11"/>
          <w:color w:val="B5082D"/>
          <w:strike w:val="1"/>
        </w:rPr>
        <w:t>at 31 March 2022, the Fixed Charges Cover Ratio for the Calculation Period ending on the relevant date is not less than 1.25 times (provided</w:t>
      </w:r>
    </w:p>
    <w:p>
      <w:pPr>
        <w:spacing w:after="0" w:line="2" w:lineRule="exact"/>
        <w:rPr>
          <w:sz w:val="20"/>
          <w:szCs w:val="20"/>
          <w:color w:val="auto"/>
        </w:rPr>
      </w:pPr>
    </w:p>
    <w:p>
      <w:pPr>
        <w:ind w:left="1660"/>
        <w:spacing w:after="0"/>
        <w:tabs>
          <w:tab w:leader="none" w:pos="6140" w:val="left"/>
        </w:tabs>
        <w:rPr>
          <w:sz w:val="20"/>
          <w:szCs w:val="20"/>
          <w:color w:val="auto"/>
        </w:rPr>
      </w:pPr>
      <w:r>
        <w:rPr>
          <w:rFonts w:ascii="Arial" w:cs="Arial" w:eastAsia="Arial" w:hAnsi="Arial"/>
          <w:sz w:val="11"/>
          <w:szCs w:val="11"/>
          <w:color w:val="B5082D"/>
          <w:strike w:val="1"/>
        </w:rPr>
        <w:t xml:space="preserve">that, for the purposes of this </w:t>
      </w:r>
      <w:r>
        <w:rPr>
          <w:rFonts w:ascii="Arial" w:cs="Arial" w:eastAsia="Arial" w:hAnsi="Arial"/>
          <w:sz w:val="11"/>
          <w:szCs w:val="11"/>
          <w:b w:val="1"/>
          <w:bCs w:val="1"/>
          <w:color w:val="B5082D"/>
          <w:strike w:val="1"/>
        </w:rPr>
        <w:t>clause 9.8(a)(i)(B)</w:t>
      </w:r>
      <w:r>
        <w:rPr>
          <w:rFonts w:ascii="Arial" w:cs="Arial" w:eastAsia="Arial" w:hAnsi="Arial"/>
          <w:sz w:val="11"/>
          <w:szCs w:val="11"/>
          <w:color w:val="B5082D"/>
          <w:strike w:val="1"/>
        </w:rPr>
        <w:t xml:space="preserve"> onl y, “C al cul ation Period” shal l be the</w:t>
        <w:tab/>
        <w:t>period of three (3) months ending on the relevant date);</w:t>
      </w:r>
    </w:p>
    <w:p>
      <w:pPr>
        <w:spacing w:after="0" w:line="38" w:lineRule="exact"/>
        <w:rPr>
          <w:sz w:val="20"/>
          <w:szCs w:val="20"/>
          <w:color w:val="auto"/>
        </w:rPr>
      </w:pPr>
    </w:p>
    <w:p>
      <w:pPr>
        <w:ind w:left="1660" w:hanging="275"/>
        <w:spacing w:after="0"/>
        <w:tabs>
          <w:tab w:leader="none" w:pos="1660" w:val="left"/>
        </w:tabs>
        <w:numPr>
          <w:ilvl w:val="0"/>
          <w:numId w:val="158"/>
        </w:numPr>
        <w:rPr>
          <w:rFonts w:ascii="Arial" w:cs="Arial" w:eastAsia="Arial" w:hAnsi="Arial"/>
          <w:sz w:val="11"/>
          <w:szCs w:val="11"/>
          <w:color w:val="auto"/>
        </w:rPr>
      </w:pPr>
      <w:r>
        <w:rPr>
          <w:rFonts w:ascii="Arial" w:cs="Arial" w:eastAsia="Arial" w:hAnsi="Arial"/>
          <w:sz w:val="11"/>
          <w:szCs w:val="11"/>
          <w:color w:val="B5082D"/>
          <w:strike w:val="1"/>
        </w:rPr>
        <w:t>at 30 June 2022, the Fixed Charges Cover Ratio for the Calculation Period ending on the relevant date is not less than 1.50 times (provided</w:t>
      </w:r>
    </w:p>
    <w:p>
      <w:pPr>
        <w:spacing w:after="0" w:line="2" w:lineRule="exact"/>
        <w:rPr>
          <w:sz w:val="20"/>
          <w:szCs w:val="20"/>
          <w:color w:val="auto"/>
        </w:rPr>
      </w:pPr>
    </w:p>
    <w:p>
      <w:pPr>
        <w:jc w:val="right"/>
        <w:ind w:right="160"/>
        <w:spacing w:after="0"/>
        <w:tabs>
          <w:tab w:leader="none" w:pos="3100" w:val="left"/>
        </w:tabs>
        <w:rPr>
          <w:sz w:val="20"/>
          <w:szCs w:val="20"/>
          <w:color w:val="auto"/>
        </w:rPr>
      </w:pPr>
      <w:r>
        <w:rPr>
          <w:rFonts w:ascii="Arial" w:cs="Arial" w:eastAsia="Arial" w:hAnsi="Arial"/>
          <w:sz w:val="11"/>
          <w:szCs w:val="11"/>
          <w:color w:val="B5082D"/>
          <w:strike w:val="1"/>
        </w:rPr>
        <w:t xml:space="preserve">that, for the purposes of this </w:t>
      </w:r>
      <w:r>
        <w:rPr>
          <w:rFonts w:ascii="Arial" w:cs="Arial" w:eastAsia="Arial" w:hAnsi="Arial"/>
          <w:sz w:val="11"/>
          <w:szCs w:val="11"/>
          <w:b w:val="1"/>
          <w:bCs w:val="1"/>
          <w:color w:val="B5082D"/>
          <w:strike w:val="1"/>
        </w:rPr>
        <w:t>clause 9.8(a)(i)(C)</w:t>
      </w:r>
      <w:r>
        <w:rPr>
          <w:rFonts w:ascii="Arial" w:cs="Arial" w:eastAsia="Arial" w:hAnsi="Arial"/>
          <w:sz w:val="11"/>
          <w:szCs w:val="11"/>
          <w:color w:val="B5082D"/>
          <w:strike w:val="1"/>
        </w:rPr>
        <w:t xml:space="preserve"> onl y, “C al cul ation Period” shal l be the</w:t>
        <w:tab/>
        <w:t>period of three (3) months ending on the relevant date); and</w:t>
      </w:r>
    </w:p>
    <w:p>
      <w:pPr>
        <w:spacing w:after="0" w:line="38" w:lineRule="exact"/>
        <w:rPr>
          <w:sz w:val="20"/>
          <w:szCs w:val="20"/>
          <w:color w:val="auto"/>
        </w:rPr>
      </w:pPr>
    </w:p>
    <w:p>
      <w:pPr>
        <w:ind w:left="1660" w:hanging="275"/>
        <w:spacing w:after="0"/>
        <w:tabs>
          <w:tab w:leader="none" w:pos="1660" w:val="left"/>
        </w:tabs>
        <w:numPr>
          <w:ilvl w:val="0"/>
          <w:numId w:val="159"/>
        </w:numPr>
        <w:rPr>
          <w:rFonts w:ascii="Arial" w:cs="Arial" w:eastAsia="Arial" w:hAnsi="Arial"/>
          <w:sz w:val="11"/>
          <w:szCs w:val="11"/>
          <w:color w:val="auto"/>
        </w:rPr>
      </w:pPr>
      <w:r>
        <w:rPr>
          <w:rFonts w:ascii="Arial" w:cs="Arial" w:eastAsia="Arial" w:hAnsi="Arial"/>
          <w:sz w:val="11"/>
          <w:szCs w:val="11"/>
          <w:color w:val="B5082D"/>
          <w:strike w:val="1"/>
        </w:rPr>
        <w:t>at 30 September 2022, the Fixed Charges Cover Ratio for the Calculation Period ending on the relevant date is not less than 1.50 times (provided</w:t>
      </w:r>
    </w:p>
    <w:p>
      <w:pPr>
        <w:spacing w:after="0" w:line="2" w:lineRule="exact"/>
        <w:rPr>
          <w:sz w:val="20"/>
          <w:szCs w:val="20"/>
          <w:color w:val="auto"/>
        </w:rPr>
      </w:pPr>
    </w:p>
    <w:p>
      <w:pPr>
        <w:ind w:left="1660"/>
        <w:spacing w:after="0"/>
        <w:tabs>
          <w:tab w:leader="none" w:pos="6140" w:val="left"/>
        </w:tabs>
        <w:rPr>
          <w:sz w:val="20"/>
          <w:szCs w:val="20"/>
          <w:color w:val="auto"/>
        </w:rPr>
      </w:pPr>
      <w:r>
        <w:rPr>
          <w:rFonts w:ascii="Arial" w:cs="Arial" w:eastAsia="Arial" w:hAnsi="Arial"/>
          <w:sz w:val="11"/>
          <w:szCs w:val="11"/>
          <w:color w:val="B5082D"/>
          <w:strike w:val="1"/>
        </w:rPr>
        <w:t xml:space="preserve">that, for the purposes of this </w:t>
      </w:r>
      <w:r>
        <w:rPr>
          <w:rFonts w:ascii="Arial" w:cs="Arial" w:eastAsia="Arial" w:hAnsi="Arial"/>
          <w:sz w:val="11"/>
          <w:szCs w:val="11"/>
          <w:b w:val="1"/>
          <w:bCs w:val="1"/>
          <w:color w:val="B5082D"/>
          <w:strike w:val="1"/>
        </w:rPr>
        <w:t>clause 9.8(a)(i)(D)</w:t>
      </w:r>
      <w:r>
        <w:rPr>
          <w:rFonts w:ascii="Arial" w:cs="Arial" w:eastAsia="Arial" w:hAnsi="Arial"/>
          <w:sz w:val="11"/>
          <w:szCs w:val="11"/>
          <w:color w:val="B5082D"/>
          <w:strike w:val="1"/>
        </w:rPr>
        <w:t xml:space="preserve"> onl y, “C al cul ation Period” shal l be the</w:t>
        <w:tab/>
        <w:t>period of three (3) months ending on the relevant date);</w:t>
      </w:r>
    </w:p>
    <w:p>
      <w:pPr>
        <w:spacing w:after="0" w:line="38" w:lineRule="exact"/>
        <w:rPr>
          <w:sz w:val="20"/>
          <w:szCs w:val="20"/>
          <w:color w:val="auto"/>
        </w:rPr>
      </w:pPr>
    </w:p>
    <w:p>
      <w:pPr>
        <w:ind w:left="1660" w:hanging="275"/>
        <w:spacing w:after="0"/>
        <w:tabs>
          <w:tab w:leader="none" w:pos="1660" w:val="left"/>
        </w:tabs>
        <w:numPr>
          <w:ilvl w:val="0"/>
          <w:numId w:val="160"/>
        </w:numPr>
        <w:rPr>
          <w:rFonts w:ascii="Arial" w:cs="Arial" w:eastAsia="Arial" w:hAnsi="Arial"/>
          <w:sz w:val="11"/>
          <w:szCs w:val="11"/>
          <w:color w:val="auto"/>
        </w:rPr>
      </w:pPr>
      <w:r>
        <w:rPr>
          <w:rFonts w:ascii="Arial" w:cs="Arial" w:eastAsia="Arial" w:hAnsi="Arial"/>
          <w:sz w:val="11"/>
          <w:szCs w:val="11"/>
          <w:color w:val="B5082D"/>
          <w:strike w:val="1"/>
        </w:rPr>
        <w:t>at 31 December 2022, the Fixed Charges Cover Ratio for the Calculation Period ending on the relevant date is not less than 2.00 times (provided</w:t>
      </w:r>
    </w:p>
    <w:p>
      <w:pPr>
        <w:spacing w:after="0" w:line="2" w:lineRule="exact"/>
        <w:rPr>
          <w:sz w:val="20"/>
          <w:szCs w:val="20"/>
          <w:color w:val="auto"/>
        </w:rPr>
      </w:pPr>
    </w:p>
    <w:p>
      <w:pPr>
        <w:ind w:left="1660"/>
        <w:spacing w:after="0"/>
        <w:tabs>
          <w:tab w:leader="none" w:pos="6100" w:val="left"/>
        </w:tabs>
        <w:rPr>
          <w:sz w:val="20"/>
          <w:szCs w:val="20"/>
          <w:color w:val="auto"/>
        </w:rPr>
      </w:pPr>
      <w:r>
        <w:rPr>
          <w:rFonts w:ascii="Arial" w:cs="Arial" w:eastAsia="Arial" w:hAnsi="Arial"/>
          <w:sz w:val="11"/>
          <w:szCs w:val="11"/>
          <w:color w:val="B5082D"/>
          <w:strike w:val="1"/>
        </w:rPr>
        <w:t xml:space="preserve">that, for the purposes of this </w:t>
      </w:r>
      <w:r>
        <w:rPr>
          <w:rFonts w:ascii="Arial" w:cs="Arial" w:eastAsia="Arial" w:hAnsi="Arial"/>
          <w:sz w:val="11"/>
          <w:szCs w:val="11"/>
          <w:b w:val="1"/>
          <w:bCs w:val="1"/>
          <w:color w:val="B5082D"/>
          <w:strike w:val="1"/>
        </w:rPr>
        <w:t>clause 9.8(a)(i)(E)</w:t>
      </w:r>
      <w:r>
        <w:rPr>
          <w:rFonts w:ascii="Arial" w:cs="Arial" w:eastAsia="Arial" w:hAnsi="Arial"/>
          <w:sz w:val="11"/>
          <w:szCs w:val="11"/>
          <w:color w:val="B5082D"/>
          <w:strike w:val="1"/>
        </w:rPr>
        <w:t xml:space="preserve"> only, “C al cul ation Period” shal l be the</w:t>
        <w:tab/>
        <w:t>period of three (3) months ending on the relevant date);</w:t>
      </w:r>
    </w:p>
    <w:p>
      <w:pPr>
        <w:spacing w:after="0" w:line="38" w:lineRule="exact"/>
        <w:rPr>
          <w:sz w:val="20"/>
          <w:szCs w:val="20"/>
          <w:color w:val="auto"/>
        </w:rPr>
      </w:pPr>
    </w:p>
    <w:p>
      <w:pPr>
        <w:ind w:left="1660" w:hanging="275"/>
        <w:spacing w:after="0"/>
        <w:tabs>
          <w:tab w:leader="none" w:pos="1660" w:val="left"/>
        </w:tabs>
        <w:numPr>
          <w:ilvl w:val="0"/>
          <w:numId w:val="161"/>
        </w:numPr>
        <w:rPr>
          <w:rFonts w:ascii="Arial" w:cs="Arial" w:eastAsia="Arial" w:hAnsi="Arial"/>
          <w:sz w:val="11"/>
          <w:szCs w:val="11"/>
          <w:color w:val="auto"/>
        </w:rPr>
      </w:pPr>
      <w:r>
        <w:rPr>
          <w:rFonts w:ascii="Arial" w:cs="Arial" w:eastAsia="Arial" w:hAnsi="Arial"/>
          <w:sz w:val="11"/>
          <w:szCs w:val="11"/>
          <w:color w:val="B5082D"/>
          <w:strike w:val="1"/>
        </w:rPr>
        <w:t>at 31 March 2023, the Fixed Charges Cover Ratio for Calculation Period ending on that date is not less than 2 times;</w:t>
      </w:r>
    </w:p>
    <w:p>
      <w:pPr>
        <w:spacing w:after="0" w:line="46" w:lineRule="exact"/>
        <w:rPr>
          <w:sz w:val="20"/>
          <w:szCs w:val="20"/>
          <w:color w:val="auto"/>
        </w:rPr>
      </w:pPr>
    </w:p>
    <w:p>
      <w:pPr>
        <w:ind w:left="1660" w:hanging="275"/>
        <w:spacing w:after="0"/>
        <w:tabs>
          <w:tab w:leader="none" w:pos="1660" w:val="left"/>
        </w:tabs>
        <w:numPr>
          <w:ilvl w:val="0"/>
          <w:numId w:val="162"/>
        </w:numPr>
        <w:rPr>
          <w:rFonts w:ascii="Arial" w:cs="Arial" w:eastAsia="Arial" w:hAnsi="Arial"/>
          <w:sz w:val="11"/>
          <w:szCs w:val="11"/>
          <w:u w:val="single" w:color="auto"/>
          <w:color w:val="auto"/>
        </w:rPr>
      </w:pPr>
      <w:r>
        <w:rPr>
          <w:rFonts w:ascii="Arial" w:cs="Arial" w:eastAsia="Arial" w:hAnsi="Arial"/>
          <w:sz w:val="11"/>
          <w:szCs w:val="11"/>
          <w:color w:val="auto"/>
        </w:rPr>
        <w:t xml:space="preserve">at 30 June 2023, </w:t>
      </w:r>
      <w:r>
        <w:rPr>
          <w:rFonts w:ascii="Arial" w:cs="Arial" w:eastAsia="Arial" w:hAnsi="Arial"/>
          <w:sz w:val="11"/>
          <w:szCs w:val="11"/>
          <w:color w:val="B5082D"/>
          <w:strike w:val="1"/>
        </w:rPr>
        <w:t>the Fixed Charges Cover Ratio for Calculation Period ending on that date is not less than 2 times</w:t>
      </w:r>
      <w:r>
        <w:rPr>
          <w:rFonts w:ascii="Arial" w:cs="Arial" w:eastAsia="Arial" w:hAnsi="Arial"/>
          <w:sz w:val="11"/>
          <w:szCs w:val="11"/>
          <w:color w:val="auto"/>
        </w:rPr>
        <w:t xml:space="preserve"> </w:t>
      </w:r>
      <w:r>
        <w:rPr>
          <w:rFonts w:ascii="Arial" w:cs="Arial" w:eastAsia="Arial" w:hAnsi="Arial"/>
          <w:sz w:val="11"/>
          <w:szCs w:val="11"/>
          <w:u w:val="single" w:color="auto"/>
          <w:color w:val="2D96D2"/>
        </w:rPr>
        <w:t>the Bank agreed</w:t>
      </w:r>
    </w:p>
    <w:p>
      <w:pPr>
        <w:spacing w:after="0" w:line="1" w:lineRule="exact"/>
        <w:rPr>
          <w:rFonts w:ascii="Arial" w:cs="Arial" w:eastAsia="Arial" w:hAnsi="Arial"/>
          <w:sz w:val="11"/>
          <w:szCs w:val="11"/>
          <w:u w:val="single" w:color="auto"/>
          <w:color w:val="auto"/>
        </w:rPr>
      </w:pPr>
    </w:p>
    <w:p>
      <w:pPr>
        <w:ind w:left="1660"/>
        <w:spacing w:after="0"/>
        <w:rPr>
          <w:rFonts w:ascii="Arial" w:cs="Arial" w:eastAsia="Arial" w:hAnsi="Arial"/>
          <w:sz w:val="11"/>
          <w:szCs w:val="11"/>
          <w:u w:val="single" w:color="auto"/>
          <w:color w:val="auto"/>
        </w:rPr>
      </w:pPr>
      <w:r>
        <w:rPr>
          <w:rFonts w:ascii="Arial" w:cs="Arial" w:eastAsia="Arial" w:hAnsi="Arial"/>
          <w:sz w:val="11"/>
          <w:szCs w:val="11"/>
          <w:u w:val="single" w:color="auto"/>
          <w:color w:val="2D96D2"/>
        </w:rPr>
        <w:t>to waive its right to test the Fixed Charges Cover Ratio on that Calculation Date for that Calculation Period, in accordance with the Letter of Waiver;</w:t>
      </w:r>
    </w:p>
    <w:p>
      <w:pPr>
        <w:spacing w:after="0" w:line="38" w:lineRule="exact"/>
        <w:rPr>
          <w:rFonts w:ascii="Arial" w:cs="Arial" w:eastAsia="Arial" w:hAnsi="Arial"/>
          <w:sz w:val="11"/>
          <w:szCs w:val="11"/>
          <w:u w:val="single" w:color="auto"/>
          <w:color w:val="auto"/>
        </w:rPr>
      </w:pPr>
    </w:p>
    <w:p>
      <w:pPr>
        <w:jc w:val="both"/>
        <w:ind w:left="1660" w:right="800" w:hanging="275"/>
        <w:spacing w:after="0" w:line="242" w:lineRule="auto"/>
        <w:tabs>
          <w:tab w:leader="none" w:pos="1660" w:val="left"/>
        </w:tabs>
        <w:numPr>
          <w:ilvl w:val="0"/>
          <w:numId w:val="162"/>
        </w:numPr>
        <w:rPr>
          <w:rFonts w:ascii="Arial" w:cs="Arial" w:eastAsia="Arial" w:hAnsi="Arial"/>
          <w:sz w:val="11"/>
          <w:szCs w:val="11"/>
          <w:u w:val="single" w:color="auto"/>
          <w:color w:val="auto"/>
        </w:rPr>
      </w:pPr>
      <w:r>
        <w:rPr>
          <w:rFonts w:ascii="Arial" w:cs="Arial" w:eastAsia="Arial" w:hAnsi="Arial"/>
          <w:sz w:val="11"/>
          <w:szCs w:val="11"/>
          <w:u w:val="single" w:color="auto"/>
          <w:color w:val="2D96D2"/>
        </w:rPr>
        <w:t>at 30 September 2023,</w:t>
      </w:r>
      <w:r>
        <w:rPr>
          <w:rFonts w:ascii="Arial" w:cs="Arial" w:eastAsia="Arial" w:hAnsi="Arial"/>
          <w:sz w:val="11"/>
          <w:szCs w:val="11"/>
          <w:color w:val="B5082D"/>
          <w:strike w:val="1"/>
        </w:rPr>
        <w:t>the Fixed Charges Cover Ratio for Calculation Period ending on that date is not less than 2 times</w:t>
      </w:r>
      <w:r>
        <w:rPr>
          <w:rFonts w:ascii="Arial" w:cs="Arial" w:eastAsia="Arial" w:hAnsi="Arial"/>
          <w:sz w:val="11"/>
          <w:szCs w:val="11"/>
          <w:u w:val="single" w:color="auto"/>
          <w:color w:val="2D96D2"/>
        </w:rPr>
        <w:t xml:space="preserve"> the Bank agreed to waive its right its right to test the Fixed Charges Cover Ratio on that Calculation Date for that Calculation Period, in accordance with the Letter of Waiver; and</w:t>
      </w:r>
    </w:p>
    <w:p>
      <w:pPr>
        <w:spacing w:after="0" w:line="29" w:lineRule="exact"/>
        <w:rPr>
          <w:rFonts w:ascii="Arial" w:cs="Arial" w:eastAsia="Arial" w:hAnsi="Arial"/>
          <w:sz w:val="11"/>
          <w:szCs w:val="11"/>
          <w:u w:val="single" w:color="auto"/>
          <w:color w:val="auto"/>
        </w:rPr>
      </w:pPr>
    </w:p>
    <w:p>
      <w:pPr>
        <w:ind w:left="1660" w:right="1060" w:hanging="275"/>
        <w:spacing w:after="0" w:line="256" w:lineRule="auto"/>
        <w:tabs>
          <w:tab w:leader="none" w:pos="1660" w:val="left"/>
        </w:tabs>
        <w:numPr>
          <w:ilvl w:val="0"/>
          <w:numId w:val="162"/>
        </w:numPr>
        <w:rPr>
          <w:rFonts w:ascii="Arial" w:cs="Arial" w:eastAsia="Arial" w:hAnsi="Arial"/>
          <w:sz w:val="11"/>
          <w:szCs w:val="11"/>
          <w:u w:val="single" w:color="auto"/>
          <w:color w:val="auto"/>
        </w:rPr>
      </w:pPr>
      <w:r>
        <w:rPr>
          <w:rFonts w:ascii="Arial" w:cs="Arial" w:eastAsia="Arial" w:hAnsi="Arial"/>
          <w:sz w:val="11"/>
          <w:szCs w:val="11"/>
          <w:u w:val="single" w:color="auto"/>
          <w:color w:val="2D96D2"/>
        </w:rPr>
        <w:t>at each other Calculation Date commencing 31 December 2023, the Fixed Charges Cover Ratio for the Calculation Period ending on that Calculation Date is not less than 1.75 times.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47</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15" w:name="page116"/>
    <w:bookmarkEnd w:id="115"/>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920" w:hanging="520"/>
        <w:spacing w:after="0"/>
        <w:tabs>
          <w:tab w:leader="none" w:pos="1920" w:val="left"/>
        </w:tabs>
        <w:numPr>
          <w:ilvl w:val="0"/>
          <w:numId w:val="163"/>
        </w:numPr>
        <w:rPr>
          <w:rFonts w:ascii="Arial" w:cs="Arial" w:eastAsia="Arial" w:hAnsi="Arial"/>
          <w:sz w:val="11"/>
          <w:szCs w:val="11"/>
          <w:color w:val="B5082D"/>
          <w:strike w:val="1"/>
        </w:rPr>
      </w:pPr>
      <w:r>
        <w:rPr>
          <w:rFonts w:ascii="Arial" w:cs="Arial" w:eastAsia="Arial" w:hAnsi="Arial"/>
          <w:sz w:val="11"/>
          <w:szCs w:val="11"/>
          <w:color w:val="B5082D"/>
          <w:strike w:val="1"/>
        </w:rPr>
        <w:t>at each other Calculation Date (other than 30 June 2020, 30 September 2020 and 31 December 2020 (without prejudice</w:t>
      </w:r>
    </w:p>
    <w:p>
      <w:pPr>
        <w:spacing w:after="0" w:line="2" w:lineRule="exact"/>
        <w:rPr>
          <w:sz w:val="20"/>
          <w:szCs w:val="20"/>
          <w:color w:val="auto"/>
        </w:rPr>
      </w:pPr>
    </w:p>
    <w:p>
      <w:pPr>
        <w:ind w:left="1680" w:right="660" w:firstLine="30"/>
        <w:spacing w:after="0" w:line="241" w:lineRule="auto"/>
        <w:rPr>
          <w:sz w:val="20"/>
          <w:szCs w:val="20"/>
          <w:color w:val="auto"/>
        </w:rPr>
      </w:pPr>
      <w:r>
        <w:rPr>
          <w:rFonts w:ascii="Arial" w:cs="Arial" w:eastAsia="Arial" w:hAnsi="Arial"/>
          <w:sz w:val="11"/>
          <w:szCs w:val="11"/>
          <w:color w:val="B5082D"/>
        </w:rPr>
        <w:t xml:space="preserve">to the Borrow er’s obli gati on under </w:t>
      </w:r>
      <w:r>
        <w:rPr>
          <w:rFonts w:ascii="Arial" w:cs="Arial" w:eastAsia="Arial" w:hAnsi="Arial"/>
          <w:sz w:val="11"/>
          <w:szCs w:val="11"/>
          <w:b w:val="1"/>
          <w:bCs w:val="1"/>
          <w:color w:val="B5082D"/>
        </w:rPr>
        <w:t>clause 9.5(b) and 9.5(c)</w:t>
      </w:r>
      <w:r>
        <w:rPr>
          <w:rFonts w:ascii="Arial" w:cs="Arial" w:eastAsia="Arial" w:hAnsi="Arial"/>
          <w:sz w:val="11"/>
          <w:szCs w:val="11"/>
          <w:color w:val="B5082D"/>
        </w:rPr>
        <w:t xml:space="preserve"> </w:t>
      </w:r>
      <w:r>
        <w:rPr>
          <w:rFonts w:ascii="Arial" w:cs="Arial" w:eastAsia="Arial" w:hAnsi="Arial"/>
          <w:sz w:val="11"/>
          <w:szCs w:val="11"/>
          <w:color w:val="B5082D"/>
          <w:strike w:val="1"/>
        </w:rPr>
        <w:t>in respect of those dates)), the Fixed Charges Cover Ratio for the Calculation</w:t>
      </w:r>
      <w:r>
        <w:rPr>
          <w:rFonts w:ascii="Arial" w:cs="Arial" w:eastAsia="Arial" w:hAnsi="Arial"/>
          <w:sz w:val="11"/>
          <w:szCs w:val="11"/>
          <w:color w:val="B5082D"/>
        </w:rPr>
        <w:t xml:space="preserve"> </w:t>
      </w:r>
      <w:r>
        <w:rPr>
          <w:rFonts w:ascii="Arial" w:cs="Arial" w:eastAsia="Arial" w:hAnsi="Arial"/>
          <w:sz w:val="11"/>
          <w:szCs w:val="11"/>
          <w:color w:val="B5082D"/>
          <w:strike w:val="1"/>
        </w:rPr>
        <w:t>Period ending on that date is not less than 2.00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-120015</wp:posOffset>
            </wp:positionV>
            <wp:extent cx="1938655" cy="50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38655" cy="5080"/>
                    </a:xfrm>
                    <a:prstGeom prst="rect">
                      <a:avLst/>
                    </a:prstGeom>
                    <a:noFill/>
                  </pic:spPr>
                </pic:pic>
              </a:graphicData>
            </a:graphic>
          </wp:anchor>
        </w:drawing>
      </w:r>
    </w:p>
    <w:p>
      <w:pPr>
        <w:spacing w:after="0" w:line="19" w:lineRule="exact"/>
        <w:rPr>
          <w:sz w:val="20"/>
          <w:szCs w:val="20"/>
          <w:color w:val="auto"/>
        </w:rPr>
      </w:pPr>
    </w:p>
    <w:p>
      <w:pPr>
        <w:ind w:left="1400" w:hanging="285"/>
        <w:spacing w:after="0"/>
        <w:tabs>
          <w:tab w:leader="none" w:pos="1400" w:val="left"/>
        </w:tabs>
        <w:numPr>
          <w:ilvl w:val="0"/>
          <w:numId w:val="164"/>
        </w:numPr>
        <w:rPr>
          <w:rFonts w:ascii="Arial" w:cs="Arial" w:eastAsia="Arial" w:hAnsi="Arial"/>
          <w:sz w:val="11"/>
          <w:szCs w:val="11"/>
          <w:b w:val="1"/>
          <w:bCs w:val="1"/>
          <w:color w:val="auto"/>
        </w:rPr>
      </w:pPr>
      <w:r>
        <w:rPr>
          <w:rFonts w:ascii="Arial" w:cs="Arial" w:eastAsia="Arial" w:hAnsi="Arial"/>
          <w:sz w:val="11"/>
          <w:szCs w:val="11"/>
          <w:b w:val="1"/>
          <w:bCs w:val="1"/>
          <w:color w:val="auto"/>
        </w:rPr>
        <w:t>Leverage Ratio:</w:t>
      </w:r>
    </w:p>
    <w:p>
      <w:pPr>
        <w:spacing w:after="0" w:line="75" w:lineRule="exact"/>
        <w:rPr>
          <w:sz w:val="20"/>
          <w:szCs w:val="20"/>
          <w:color w:val="auto"/>
        </w:rPr>
      </w:pPr>
    </w:p>
    <w:p>
      <w:pPr>
        <w:ind w:left="1660" w:hanging="275"/>
        <w:spacing w:after="0"/>
        <w:tabs>
          <w:tab w:leader="none" w:pos="1660" w:val="left"/>
        </w:tabs>
        <w:numPr>
          <w:ilvl w:val="0"/>
          <w:numId w:val="165"/>
        </w:numPr>
        <w:rPr>
          <w:rFonts w:ascii="Arial" w:cs="Arial" w:eastAsia="Arial" w:hAnsi="Arial"/>
          <w:sz w:val="11"/>
          <w:szCs w:val="11"/>
          <w:color w:val="auto"/>
        </w:rPr>
      </w:pPr>
      <w:r>
        <w:rPr>
          <w:rFonts w:ascii="Arial" w:cs="Arial" w:eastAsia="Arial" w:hAnsi="Arial"/>
          <w:sz w:val="11"/>
          <w:szCs w:val="11"/>
          <w:color w:val="B5082D"/>
          <w:strike w:val="1"/>
        </w:rPr>
        <w:t>at 31 December 2021 the Leverage Ratio for the Calculation Period ending on that date is less than or equal to 3.25 times (provided that, for the</w:t>
      </w:r>
    </w:p>
    <w:p>
      <w:pPr>
        <w:spacing w:after="0" w:line="2" w:lineRule="exact"/>
        <w:rPr>
          <w:sz w:val="20"/>
          <w:szCs w:val="20"/>
          <w:color w:val="auto"/>
        </w:rPr>
      </w:pPr>
    </w:p>
    <w:p>
      <w:pPr>
        <w:ind w:left="1660" w:right="100"/>
        <w:spacing w:after="0" w:line="241" w:lineRule="auto"/>
        <w:rPr>
          <w:sz w:val="20"/>
          <w:szCs w:val="20"/>
          <w:color w:val="auto"/>
        </w:rPr>
      </w:pPr>
      <w:r>
        <w:rPr>
          <w:rFonts w:ascii="Arial" w:cs="Arial" w:eastAsia="Arial" w:hAnsi="Arial"/>
          <w:sz w:val="11"/>
          <w:szCs w:val="11"/>
          <w:color w:val="B5082D"/>
          <w:strike w:val="1"/>
        </w:rPr>
        <w:t xml:space="preserve">purposes of this </w:t>
      </w:r>
      <w:r>
        <w:rPr>
          <w:rFonts w:ascii="Arial" w:cs="Arial" w:eastAsia="Arial" w:hAnsi="Arial"/>
          <w:sz w:val="11"/>
          <w:szCs w:val="11"/>
          <w:b w:val="1"/>
          <w:bCs w:val="1"/>
          <w:color w:val="B5082D"/>
          <w:strike w:val="1"/>
        </w:rPr>
        <w:t>clause 9.8(a)(ii)(A)</w:t>
      </w:r>
      <w:r>
        <w:rPr>
          <w:rFonts w:ascii="Arial" w:cs="Arial" w:eastAsia="Arial" w:hAnsi="Arial"/>
          <w:sz w:val="11"/>
          <w:szCs w:val="11"/>
          <w:color w:val="B5082D"/>
          <w:strike w:val="1"/>
        </w:rPr>
        <w:t xml:space="preserve"> only, the “C alcul ati on Period” shal l be the period of three (3) months ending on that date with Adjusted EBITDA to be calculated on an annualised basis);</w:t>
      </w:r>
    </w:p>
    <w:p>
      <w:pPr>
        <w:spacing w:after="0" w:line="30" w:lineRule="exact"/>
        <w:rPr>
          <w:sz w:val="20"/>
          <w:szCs w:val="20"/>
          <w:color w:val="auto"/>
        </w:rPr>
      </w:pPr>
    </w:p>
    <w:p>
      <w:pPr>
        <w:ind w:left="1660" w:right="280" w:hanging="275"/>
        <w:spacing w:after="0" w:line="242" w:lineRule="auto"/>
        <w:tabs>
          <w:tab w:leader="none" w:pos="1660" w:val="left"/>
        </w:tabs>
        <w:numPr>
          <w:ilvl w:val="0"/>
          <w:numId w:val="166"/>
        </w:numPr>
        <w:rPr>
          <w:rFonts w:ascii="Arial" w:cs="Arial" w:eastAsia="Arial" w:hAnsi="Arial"/>
          <w:sz w:val="11"/>
          <w:szCs w:val="11"/>
          <w:color w:val="auto"/>
        </w:rPr>
      </w:pPr>
      <w:r>
        <w:rPr>
          <w:rFonts w:ascii="Arial" w:cs="Arial" w:eastAsia="Arial" w:hAnsi="Arial"/>
          <w:sz w:val="11"/>
          <w:szCs w:val="11"/>
          <w:color w:val="B5082D"/>
          <w:strike w:val="1"/>
        </w:rPr>
        <w:t xml:space="preserve">at 31 March 2022 the Leverage Ratio for the Calculation Period ending on that date is less than or equal to 3.25 times (provided that, for the purposes of this </w:t>
      </w:r>
      <w:r>
        <w:rPr>
          <w:rFonts w:ascii="Arial" w:cs="Arial" w:eastAsia="Arial" w:hAnsi="Arial"/>
          <w:sz w:val="11"/>
          <w:szCs w:val="11"/>
          <w:b w:val="1"/>
          <w:bCs w:val="1"/>
          <w:color w:val="B5082D"/>
          <w:strike w:val="1"/>
        </w:rPr>
        <w:t>clause 9.8(a)(ii)(B)</w:t>
      </w:r>
      <w:r>
        <w:rPr>
          <w:rFonts w:ascii="Arial" w:cs="Arial" w:eastAsia="Arial" w:hAnsi="Arial"/>
          <w:sz w:val="11"/>
          <w:szCs w:val="11"/>
          <w:color w:val="B5082D"/>
          <w:strike w:val="1"/>
        </w:rPr>
        <w:t xml:space="preserve"> only, the “C alcul ati on Period” shal l be the period of six (6) months ending on that date with Adjusted EBITDA to be calculated on an annualised basis);</w:t>
      </w:r>
    </w:p>
    <w:p>
      <w:pPr>
        <w:spacing w:after="0" w:line="37"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1"/>
          <w:szCs w:val="11"/>
          <w:color w:val="B5082D"/>
          <w:strike w:val="1"/>
        </w:rPr>
        <w:t>(C)</w:t>
      </w:r>
      <w:r>
        <w:rPr>
          <w:rFonts w:ascii="Arial" w:cs="Arial" w:eastAsia="Arial" w:hAnsi="Arial"/>
          <w:sz w:val="11"/>
          <w:szCs w:val="11"/>
          <w:u w:val="single" w:color="auto"/>
          <w:color w:val="2D96D2"/>
          <w:strike w:val="1"/>
        </w:rPr>
        <w:t>(A)</w:t>
      </w:r>
      <w:r>
        <w:rPr>
          <w:sz w:val="20"/>
          <w:szCs w:val="20"/>
          <w:color w:val="auto"/>
        </w:rPr>
        <w:tab/>
      </w:r>
      <w:r>
        <w:rPr>
          <w:rFonts w:ascii="Arial" w:cs="Arial" w:eastAsia="Arial" w:hAnsi="Arial"/>
          <w:sz w:val="11"/>
          <w:szCs w:val="11"/>
          <w:u w:val="single" w:color="auto"/>
          <w:color w:val="2D96D2"/>
        </w:rPr>
        <w:t>at 30 June 2023, the Bank agreed to waive its right to test the Leverage Ratio on that Calculation Date for that Calculation Period, in</w:t>
      </w:r>
    </w:p>
    <w:p>
      <w:pPr>
        <w:spacing w:after="0" w:line="2" w:lineRule="exact"/>
        <w:rPr>
          <w:sz w:val="20"/>
          <w:szCs w:val="20"/>
          <w:color w:val="auto"/>
        </w:rPr>
      </w:pPr>
    </w:p>
    <w:p>
      <w:pPr>
        <w:ind w:left="1680" w:right="240"/>
        <w:spacing w:after="0" w:line="236" w:lineRule="auto"/>
        <w:rPr>
          <w:sz w:val="20"/>
          <w:szCs w:val="20"/>
          <w:color w:val="auto"/>
        </w:rPr>
      </w:pPr>
      <w:r>
        <w:rPr>
          <w:rFonts w:ascii="Arial" w:cs="Arial" w:eastAsia="Arial" w:hAnsi="Arial"/>
          <w:sz w:val="11"/>
          <w:szCs w:val="11"/>
          <w:u w:val="single" w:color="auto"/>
          <w:color w:val="2D96D2"/>
        </w:rPr>
        <w:t xml:space="preserve">accordance with the Letter of Waiver; </w:t>
      </w:r>
      <w:r>
        <w:rPr>
          <w:rFonts w:ascii="Arial" w:cs="Arial" w:eastAsia="Arial" w:hAnsi="Arial"/>
          <w:sz w:val="11"/>
          <w:szCs w:val="11"/>
          <w:color w:val="B5082D"/>
          <w:strike w:val="1"/>
        </w:rPr>
        <w:t>at 30 June 2022 the Leverage Ratio for the Calculation Period ending on that date is less than or equal to 3.25</w:t>
      </w:r>
      <w:r>
        <w:rPr>
          <w:rFonts w:ascii="Arial" w:cs="Arial" w:eastAsia="Arial" w:hAnsi="Arial"/>
          <w:sz w:val="11"/>
          <w:szCs w:val="11"/>
          <w:u w:val="single" w:color="auto"/>
          <w:color w:val="2D96D2"/>
        </w:rPr>
        <w:t xml:space="preserve"> </w:t>
      </w:r>
      <w:r>
        <w:rPr>
          <w:rFonts w:ascii="Arial" w:cs="Arial" w:eastAsia="Arial" w:hAnsi="Arial"/>
          <w:sz w:val="11"/>
          <w:szCs w:val="11"/>
          <w:color w:val="B5082D"/>
          <w:strike w:val="1"/>
        </w:rPr>
        <w:t xml:space="preserve">times (provided that, for the purposes of this </w:t>
      </w:r>
      <w:r>
        <w:rPr>
          <w:rFonts w:ascii="Arial" w:cs="Arial" w:eastAsia="Arial" w:hAnsi="Arial"/>
          <w:sz w:val="11"/>
          <w:szCs w:val="11"/>
          <w:b w:val="1"/>
          <w:bCs w:val="1"/>
          <w:color w:val="B5082D"/>
          <w:strike w:val="1"/>
        </w:rPr>
        <w:t>clause 9.8(a)(ii)(C)</w:t>
      </w:r>
      <w:r>
        <w:rPr>
          <w:rFonts w:ascii="Arial" w:cs="Arial" w:eastAsia="Arial" w:hAnsi="Arial"/>
          <w:sz w:val="11"/>
          <w:szCs w:val="11"/>
          <w:color w:val="B5082D"/>
          <w:strike w:val="1"/>
        </w:rPr>
        <w:t xml:space="preserve"> only, the “C alcul ati on Period” shal l be the period of nine (9) months ending on that date with Adjusted EBITDA to be calculated on an annualised basis); and</w:t>
      </w:r>
    </w:p>
    <w:p>
      <w:pPr>
        <w:spacing w:after="0" w:line="31" w:lineRule="exact"/>
        <w:rPr>
          <w:sz w:val="20"/>
          <w:szCs w:val="20"/>
          <w:color w:val="auto"/>
        </w:rPr>
      </w:pPr>
    </w:p>
    <w:p>
      <w:pPr>
        <w:ind w:left="1660" w:right="200" w:hanging="275"/>
        <w:spacing w:after="0" w:line="256" w:lineRule="auto"/>
        <w:tabs>
          <w:tab w:leader="none" w:pos="1660" w:val="left"/>
        </w:tabs>
        <w:numPr>
          <w:ilvl w:val="0"/>
          <w:numId w:val="167"/>
        </w:numPr>
        <w:rPr>
          <w:rFonts w:ascii="Arial" w:cs="Arial" w:eastAsia="Arial" w:hAnsi="Arial"/>
          <w:sz w:val="11"/>
          <w:szCs w:val="11"/>
          <w:u w:val="single" w:color="auto"/>
          <w:color w:val="auto"/>
        </w:rPr>
      </w:pPr>
      <w:r>
        <w:rPr>
          <w:rFonts w:ascii="Arial" w:cs="Arial" w:eastAsia="Arial" w:hAnsi="Arial"/>
          <w:sz w:val="11"/>
          <w:szCs w:val="11"/>
          <w:u w:val="single" w:color="auto"/>
          <w:color w:val="2D96D2"/>
        </w:rPr>
        <w:t>at 30 September 2023, the Bank agreed to waive its right to test the Leverage Ratio on that Calculation Date for that Calculation Period, in accordance with the Letter of Waiver;</w:t>
      </w:r>
      <w:r>
        <w:rPr>
          <w:rFonts w:ascii="Arial" w:cs="Arial" w:eastAsia="Arial" w:hAnsi="Arial"/>
          <w:sz w:val="11"/>
          <w:szCs w:val="11"/>
          <w:color w:val="B5082D"/>
          <w:strike w:val="1"/>
        </w:rPr>
        <w:t>the Leverage Ratio for the Calculation Period ending on that date is less than or equal to 3.25 times</w:t>
      </w:r>
      <w:r>
        <w:rPr>
          <w:rFonts w:ascii="Arial" w:cs="Arial" w:eastAsia="Arial" w:hAnsi="Arial"/>
          <w:sz w:val="11"/>
          <w:szCs w:val="11"/>
          <w:color w:val="2D96D2"/>
        </w:rPr>
        <w:t>;</w:t>
      </w:r>
    </w:p>
    <w:p>
      <w:pPr>
        <w:spacing w:after="0" w:line="22" w:lineRule="exact"/>
        <w:rPr>
          <w:rFonts w:ascii="Arial" w:cs="Arial" w:eastAsia="Arial" w:hAnsi="Arial"/>
          <w:sz w:val="11"/>
          <w:szCs w:val="11"/>
          <w:u w:val="single" w:color="auto"/>
          <w:color w:val="auto"/>
        </w:rPr>
      </w:pPr>
    </w:p>
    <w:p>
      <w:pPr>
        <w:ind w:left="1660" w:hanging="275"/>
        <w:spacing w:after="0"/>
        <w:tabs>
          <w:tab w:leader="none" w:pos="1660" w:val="left"/>
        </w:tabs>
        <w:numPr>
          <w:ilvl w:val="0"/>
          <w:numId w:val="167"/>
        </w:numPr>
        <w:rPr>
          <w:rFonts w:ascii="Arial" w:cs="Arial" w:eastAsia="Arial" w:hAnsi="Arial"/>
          <w:sz w:val="11"/>
          <w:szCs w:val="11"/>
          <w:u w:val="single" w:color="auto"/>
          <w:color w:val="auto"/>
        </w:rPr>
      </w:pPr>
      <w:r>
        <w:rPr>
          <w:rFonts w:ascii="Arial" w:cs="Arial" w:eastAsia="Arial" w:hAnsi="Arial"/>
          <w:sz w:val="11"/>
          <w:szCs w:val="11"/>
          <w:u w:val="single" w:color="auto"/>
          <w:color w:val="2D96D2"/>
        </w:rPr>
        <w:t>at 31 December 2023, the Leverage Ratio for the Calculation Period ending on that date is less than or equal to 4 times;</w:t>
      </w:r>
    </w:p>
    <w:p>
      <w:pPr>
        <w:spacing w:after="0" w:line="46" w:lineRule="exact"/>
        <w:rPr>
          <w:rFonts w:ascii="Arial" w:cs="Arial" w:eastAsia="Arial" w:hAnsi="Arial"/>
          <w:sz w:val="11"/>
          <w:szCs w:val="11"/>
          <w:u w:val="single" w:color="auto"/>
          <w:color w:val="auto"/>
        </w:rPr>
      </w:pPr>
    </w:p>
    <w:p>
      <w:pPr>
        <w:ind w:left="1660" w:hanging="275"/>
        <w:spacing w:after="0"/>
        <w:tabs>
          <w:tab w:leader="none" w:pos="1660" w:val="left"/>
        </w:tabs>
        <w:numPr>
          <w:ilvl w:val="0"/>
          <w:numId w:val="167"/>
        </w:numPr>
        <w:rPr>
          <w:rFonts w:ascii="Arial" w:cs="Arial" w:eastAsia="Arial" w:hAnsi="Arial"/>
          <w:sz w:val="11"/>
          <w:szCs w:val="11"/>
          <w:u w:val="single" w:color="auto"/>
          <w:color w:val="auto"/>
        </w:rPr>
      </w:pPr>
      <w:r>
        <w:rPr>
          <w:rFonts w:ascii="Arial" w:cs="Arial" w:eastAsia="Arial" w:hAnsi="Arial"/>
          <w:sz w:val="11"/>
          <w:szCs w:val="11"/>
          <w:u w:val="single" w:color="auto"/>
          <w:color w:val="2D96D2"/>
        </w:rPr>
        <w:t>at 31 March 2024, the Leverage Ratio for the Calculation Period ending on that date is less than or equal to 3.75 times;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710" w:type="dxa"/>
            <w:vAlign w:val="bottom"/>
          </w:tcPr>
          <w:p>
            <w:pPr>
              <w:spacing w:after="0"/>
              <w:rPr>
                <w:sz w:val="10"/>
                <w:szCs w:val="10"/>
                <w:color w:val="auto"/>
              </w:rPr>
            </w:pPr>
          </w:p>
        </w:tc>
        <w:tc>
          <w:tcPr>
            <w:tcW w:w="170" w:type="dxa"/>
            <w:vAlign w:val="bottom"/>
          </w:tcPr>
          <w:p>
            <w:pPr>
              <w:ind w:left="10"/>
              <w:spacing w:after="0"/>
              <w:rPr>
                <w:sz w:val="20"/>
                <w:szCs w:val="20"/>
                <w:color w:val="auto"/>
              </w:rPr>
            </w:pPr>
            <w:r>
              <w:rPr>
                <w:rFonts w:ascii="Arial" w:cs="Arial" w:eastAsia="Arial" w:hAnsi="Arial"/>
                <w:sz w:val="11"/>
                <w:szCs w:val="11"/>
                <w:color w:val="B5082D"/>
                <w:strike w:val="1"/>
                <w:w w:val="91"/>
              </w:rPr>
              <w:t>(D)</w:t>
            </w:r>
          </w:p>
        </w:tc>
        <w:tc>
          <w:tcPr>
            <w:tcW w:w="140" w:type="dxa"/>
            <w:vAlign w:val="bottom"/>
          </w:tcPr>
          <w:p>
            <w:pPr>
              <w:spacing w:after="0"/>
              <w:rPr>
                <w:sz w:val="20"/>
                <w:szCs w:val="20"/>
                <w:color w:val="auto"/>
              </w:rPr>
            </w:pPr>
            <w:r>
              <w:rPr>
                <w:rFonts w:ascii="Arial" w:cs="Arial" w:eastAsia="Arial" w:hAnsi="Arial"/>
                <w:sz w:val="10"/>
                <w:szCs w:val="10"/>
                <w:color w:val="2D96D2"/>
                <w:w w:val="74"/>
              </w:rPr>
              <w:t>(E)</w:t>
            </w:r>
          </w:p>
        </w:tc>
        <w:tc>
          <w:tcPr>
            <w:tcW w:w="7580" w:type="dxa"/>
            <w:vAlign w:val="bottom"/>
            <w:gridSpan w:val="13"/>
          </w:tcPr>
          <w:p>
            <w:pPr>
              <w:ind w:left="580"/>
              <w:spacing w:after="0"/>
              <w:rPr>
                <w:sz w:val="20"/>
                <w:szCs w:val="20"/>
                <w:color w:val="auto"/>
              </w:rPr>
            </w:pPr>
            <w:r>
              <w:rPr>
                <w:rFonts w:ascii="Arial" w:cs="Arial" w:eastAsia="Arial" w:hAnsi="Arial"/>
                <w:sz w:val="11"/>
                <w:szCs w:val="11"/>
                <w:color w:val="auto"/>
              </w:rPr>
              <w:t xml:space="preserve">at each other Calculation Date </w:t>
            </w:r>
            <w:r>
              <w:rPr>
                <w:rFonts w:ascii="Arial" w:cs="Arial" w:eastAsia="Arial" w:hAnsi="Arial"/>
                <w:sz w:val="11"/>
                <w:szCs w:val="11"/>
                <w:color w:val="2D96D2"/>
              </w:rPr>
              <w:t>commencing 30 June 2024, the Leverage Ratio for the Calculation Period ending on that Calculation Date</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140" w:type="dxa"/>
            <w:vAlign w:val="bottom"/>
            <w:tcBorders>
              <w:right w:val="single" w:sz="8" w:color="2D96D2"/>
            </w:tcBorders>
            <w:shd w:val="clear" w:color="auto" w:fill="2D96D2"/>
          </w:tcPr>
          <w:p>
            <w:pPr>
              <w:spacing w:after="0" w:line="20" w:lineRule="exact"/>
              <w:rPr>
                <w:sz w:val="1"/>
                <w:szCs w:val="1"/>
                <w:color w:val="auto"/>
              </w:rPr>
            </w:pPr>
          </w:p>
        </w:tc>
        <w:tc>
          <w:tcPr>
            <w:tcW w:w="890" w:type="dxa"/>
            <w:vAlign w:val="bottom"/>
          </w:tcPr>
          <w:p>
            <w:pPr>
              <w:spacing w:after="0" w:line="20" w:lineRule="exact"/>
              <w:rPr>
                <w:sz w:val="1"/>
                <w:szCs w:val="1"/>
                <w:color w:val="auto"/>
              </w:rPr>
            </w:pPr>
          </w:p>
        </w:tc>
        <w:tc>
          <w:tcPr>
            <w:tcW w:w="45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2D96D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10" w:type="dxa"/>
            <w:vAlign w:val="bottom"/>
            <w:shd w:val="clear" w:color="auto" w:fill="2D96D2"/>
          </w:tcPr>
          <w:p>
            <w:pPr>
              <w:spacing w:after="0" w:line="20" w:lineRule="exact"/>
              <w:rPr>
                <w:sz w:val="1"/>
                <w:szCs w:val="1"/>
                <w:color w:val="auto"/>
              </w:rPr>
            </w:pPr>
          </w:p>
        </w:tc>
        <w:tc>
          <w:tcPr>
            <w:tcW w:w="1610" w:type="dxa"/>
            <w:vAlign w:val="bottom"/>
            <w:shd w:val="clear" w:color="auto" w:fill="2D96D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2D96D2"/>
          </w:tcPr>
          <w:p>
            <w:pPr>
              <w:spacing w:after="0" w:line="20" w:lineRule="exact"/>
              <w:rPr>
                <w:sz w:val="1"/>
                <w:szCs w:val="1"/>
                <w:color w:val="auto"/>
              </w:rPr>
            </w:pPr>
          </w:p>
        </w:tc>
        <w:tc>
          <w:tcPr>
            <w:tcW w:w="1380" w:type="dxa"/>
            <w:vAlign w:val="bottom"/>
            <w:shd w:val="clear" w:color="auto" w:fill="2D96D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680" w:type="dxa"/>
            <w:vAlign w:val="bottom"/>
          </w:tcPr>
          <w:p>
            <w:pPr>
              <w:spacing w:after="0"/>
              <w:rPr>
                <w:sz w:val="8"/>
                <w:szCs w:val="8"/>
                <w:color w:val="auto"/>
              </w:rPr>
            </w:pPr>
          </w:p>
        </w:tc>
        <w:tc>
          <w:tcPr>
            <w:tcW w:w="710" w:type="dxa"/>
            <w:vAlign w:val="bottom"/>
          </w:tcPr>
          <w:p>
            <w:pPr>
              <w:spacing w:after="0"/>
              <w:rPr>
                <w:sz w:val="8"/>
                <w:szCs w:val="8"/>
                <w:color w:val="auto"/>
              </w:rPr>
            </w:pPr>
          </w:p>
        </w:tc>
        <w:tc>
          <w:tcPr>
            <w:tcW w:w="17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40" w:type="dxa"/>
            <w:vAlign w:val="bottom"/>
            <w:gridSpan w:val="4"/>
          </w:tcPr>
          <w:p>
            <w:pPr>
              <w:spacing w:after="0" w:line="100" w:lineRule="exact"/>
              <w:rPr>
                <w:sz w:val="20"/>
                <w:szCs w:val="20"/>
                <w:color w:val="auto"/>
              </w:rPr>
            </w:pPr>
            <w:r>
              <w:rPr>
                <w:rFonts w:ascii="Arial" w:cs="Arial" w:eastAsia="Arial" w:hAnsi="Arial"/>
                <w:sz w:val="11"/>
                <w:szCs w:val="11"/>
                <w:color w:val="2D96D2"/>
                <w:w w:val="98"/>
              </w:rPr>
              <w:t>is less than or equal to 3.25 times</w:t>
            </w:r>
          </w:p>
        </w:tc>
        <w:tc>
          <w:tcPr>
            <w:tcW w:w="2490" w:type="dxa"/>
            <w:vAlign w:val="bottom"/>
            <w:gridSpan w:val="4"/>
          </w:tcPr>
          <w:p>
            <w:pPr>
              <w:spacing w:after="0" w:line="100" w:lineRule="exact"/>
              <w:rPr>
                <w:sz w:val="20"/>
                <w:szCs w:val="20"/>
                <w:color w:val="auto"/>
              </w:rPr>
            </w:pPr>
            <w:r>
              <w:rPr>
                <w:rFonts w:ascii="Arial" w:cs="Arial" w:eastAsia="Arial" w:hAnsi="Arial"/>
                <w:sz w:val="11"/>
                <w:szCs w:val="11"/>
                <w:color w:val="B5082D"/>
                <w:strike w:val="1"/>
              </w:rPr>
              <w:t>(other than 30 June 2020, 30 September 2020, 31</w:t>
            </w:r>
          </w:p>
        </w:tc>
        <w:tc>
          <w:tcPr>
            <w:tcW w:w="1810" w:type="dxa"/>
            <w:vAlign w:val="bottom"/>
            <w:gridSpan w:val="3"/>
          </w:tcPr>
          <w:p>
            <w:pPr>
              <w:ind w:left="10"/>
              <w:spacing w:after="0" w:line="100" w:lineRule="exact"/>
              <w:rPr>
                <w:sz w:val="20"/>
                <w:szCs w:val="20"/>
                <w:color w:val="auto"/>
              </w:rPr>
            </w:pPr>
            <w:r>
              <w:rPr>
                <w:rFonts w:ascii="Arial" w:cs="Arial" w:eastAsia="Arial" w:hAnsi="Arial"/>
                <w:sz w:val="11"/>
                <w:szCs w:val="11"/>
                <w:color w:val="B5082D"/>
                <w:strike w:val="1"/>
              </w:rPr>
              <w:t>December 2020, 31 March 2021. 30</w:t>
            </w:r>
          </w:p>
        </w:tc>
        <w:tc>
          <w:tcPr>
            <w:tcW w:w="16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140" w:type="dxa"/>
            <w:vAlign w:val="bottom"/>
            <w:tcBorders>
              <w:right w:val="single" w:sz="8" w:color="2D96D2"/>
            </w:tcBorders>
          </w:tcPr>
          <w:p>
            <w:pPr>
              <w:spacing w:after="0" w:line="20" w:lineRule="exact"/>
              <w:rPr>
                <w:sz w:val="1"/>
                <w:szCs w:val="1"/>
                <w:color w:val="auto"/>
              </w:rPr>
            </w:pPr>
          </w:p>
        </w:tc>
        <w:tc>
          <w:tcPr>
            <w:tcW w:w="890" w:type="dxa"/>
            <w:vAlign w:val="bottom"/>
            <w:shd w:val="clear" w:color="auto" w:fill="2D96D2"/>
          </w:tcPr>
          <w:p>
            <w:pPr>
              <w:spacing w:after="0" w:line="20" w:lineRule="exact"/>
              <w:rPr>
                <w:sz w:val="1"/>
                <w:szCs w:val="1"/>
                <w:color w:val="auto"/>
              </w:rPr>
            </w:pPr>
          </w:p>
        </w:tc>
        <w:tc>
          <w:tcPr>
            <w:tcW w:w="450" w:type="dxa"/>
            <w:vAlign w:val="bottom"/>
            <w:shd w:val="clear" w:color="auto" w:fill="2D96D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2D96D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30" w:type="dxa"/>
            <w:vAlign w:val="bottom"/>
            <w:gridSpan w:val="2"/>
          </w:tcPr>
          <w:p>
            <w:pPr>
              <w:spacing w:after="0" w:line="20" w:lineRule="exact"/>
              <w:rPr>
                <w:sz w:val="1"/>
                <w:szCs w:val="1"/>
                <w:color w:val="auto"/>
              </w:rPr>
            </w:pPr>
          </w:p>
        </w:tc>
        <w:tc>
          <w:tcPr>
            <w:tcW w:w="181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80" w:type="dxa"/>
            <w:vAlign w:val="bottom"/>
          </w:tcPr>
          <w:p>
            <w:pPr>
              <w:spacing w:after="0"/>
              <w:rPr>
                <w:sz w:val="9"/>
                <w:szCs w:val="9"/>
                <w:color w:val="auto"/>
              </w:rPr>
            </w:pPr>
          </w:p>
        </w:tc>
        <w:tc>
          <w:tcPr>
            <w:tcW w:w="710" w:type="dxa"/>
            <w:vAlign w:val="bottom"/>
          </w:tcPr>
          <w:p>
            <w:pPr>
              <w:spacing w:after="0"/>
              <w:rPr>
                <w:sz w:val="9"/>
                <w:szCs w:val="9"/>
                <w:color w:val="auto"/>
              </w:rPr>
            </w:pPr>
          </w:p>
        </w:tc>
        <w:tc>
          <w:tcPr>
            <w:tcW w:w="170" w:type="dxa"/>
            <w:vAlign w:val="bottom"/>
          </w:tcPr>
          <w:p>
            <w:pPr>
              <w:spacing w:after="0"/>
              <w:rPr>
                <w:sz w:val="9"/>
                <w:szCs w:val="9"/>
                <w:color w:val="auto"/>
              </w:rPr>
            </w:pPr>
          </w:p>
        </w:tc>
        <w:tc>
          <w:tcPr>
            <w:tcW w:w="140" w:type="dxa"/>
            <w:vAlign w:val="bottom"/>
          </w:tcPr>
          <w:p>
            <w:pPr>
              <w:spacing w:after="0"/>
              <w:rPr>
                <w:sz w:val="9"/>
                <w:szCs w:val="9"/>
                <w:color w:val="auto"/>
              </w:rPr>
            </w:pPr>
          </w:p>
        </w:tc>
        <w:tc>
          <w:tcPr>
            <w:tcW w:w="890" w:type="dxa"/>
            <w:vAlign w:val="bottom"/>
          </w:tcPr>
          <w:p>
            <w:pPr>
              <w:spacing w:after="0" w:line="106" w:lineRule="exact"/>
              <w:rPr>
                <w:sz w:val="20"/>
                <w:szCs w:val="20"/>
                <w:color w:val="auto"/>
              </w:rPr>
            </w:pPr>
            <w:r>
              <w:rPr>
                <w:rFonts w:ascii="Arial" w:cs="Arial" w:eastAsia="Arial" w:hAnsi="Arial"/>
                <w:sz w:val="11"/>
                <w:szCs w:val="11"/>
                <w:color w:val="B5082D"/>
                <w:strike w:val="1"/>
                <w:w w:val="99"/>
              </w:rPr>
              <w:t>June 2021 and 30</w:t>
            </w:r>
          </w:p>
        </w:tc>
        <w:tc>
          <w:tcPr>
            <w:tcW w:w="450" w:type="dxa"/>
            <w:vAlign w:val="bottom"/>
          </w:tcPr>
          <w:p>
            <w:pPr>
              <w:ind w:left="10"/>
              <w:spacing w:after="0" w:line="106" w:lineRule="exact"/>
              <w:rPr>
                <w:sz w:val="20"/>
                <w:szCs w:val="20"/>
                <w:color w:val="auto"/>
              </w:rPr>
            </w:pPr>
            <w:r>
              <w:rPr>
                <w:rFonts w:ascii="Arial" w:cs="Arial" w:eastAsia="Arial" w:hAnsi="Arial"/>
                <w:sz w:val="11"/>
                <w:szCs w:val="11"/>
                <w:color w:val="B5082D"/>
                <w:strike w:val="1"/>
                <w:w w:val="77"/>
              </w:rPr>
              <w:t>September</w:t>
            </w:r>
          </w:p>
        </w:tc>
        <w:tc>
          <w:tcPr>
            <w:tcW w:w="40" w:type="dxa"/>
            <w:vAlign w:val="bottom"/>
          </w:tcPr>
          <w:p>
            <w:pPr>
              <w:spacing w:after="0"/>
              <w:rPr>
                <w:sz w:val="9"/>
                <w:szCs w:val="9"/>
                <w:color w:val="auto"/>
              </w:rPr>
            </w:pPr>
          </w:p>
        </w:tc>
        <w:tc>
          <w:tcPr>
            <w:tcW w:w="2750" w:type="dxa"/>
            <w:vAlign w:val="bottom"/>
            <w:gridSpan w:val="5"/>
          </w:tcPr>
          <w:p>
            <w:pPr>
              <w:ind w:left="100"/>
              <w:spacing w:after="0" w:line="106" w:lineRule="exact"/>
              <w:rPr>
                <w:sz w:val="20"/>
                <w:szCs w:val="20"/>
                <w:color w:val="auto"/>
              </w:rPr>
            </w:pPr>
            <w:r>
              <w:rPr>
                <w:rFonts w:ascii="Arial" w:cs="Arial" w:eastAsia="Arial" w:hAnsi="Arial"/>
                <w:sz w:val="11"/>
                <w:szCs w:val="11"/>
                <w:color w:val="B5082D"/>
                <w:strike w:val="1"/>
              </w:rPr>
              <w:t>2021 inclusive (without prejudice to the</w:t>
            </w:r>
          </w:p>
        </w:tc>
        <w:tc>
          <w:tcPr>
            <w:tcW w:w="345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680" w:type="dxa"/>
            <w:vAlign w:val="bottom"/>
            <w:vMerge w:val="restart"/>
          </w:tcPr>
          <w:p>
            <w:pPr>
              <w:spacing w:after="0"/>
              <w:rPr>
                <w:sz w:val="20"/>
                <w:szCs w:val="20"/>
                <w:color w:val="auto"/>
              </w:rPr>
            </w:pPr>
            <w:r>
              <w:rPr>
                <w:rFonts w:ascii="Arial" w:cs="Arial" w:eastAsia="Arial" w:hAnsi="Arial"/>
                <w:sz w:val="8"/>
                <w:szCs w:val="8"/>
                <w:color w:val="8BD8FF"/>
                <w:w w:val="98"/>
              </w:rPr>
              <w:t>3468-7174-2245v7</w:t>
            </w:r>
          </w:p>
        </w:tc>
        <w:tc>
          <w:tcPr>
            <w:tcW w:w="710" w:type="dxa"/>
            <w:vAlign w:val="bottom"/>
            <w:vMerge w:val="restart"/>
          </w:tcPr>
          <w:p>
            <w:pPr>
              <w:spacing w:after="0"/>
              <w:rPr>
                <w:sz w:val="20"/>
                <w:szCs w:val="20"/>
                <w:color w:val="auto"/>
              </w:rPr>
            </w:pPr>
            <w:r>
              <w:rPr>
                <w:rFonts w:ascii="Arial" w:cs="Arial" w:eastAsia="Arial" w:hAnsi="Arial"/>
                <w:sz w:val="8"/>
                <w:szCs w:val="8"/>
                <w:color w:val="FF0000"/>
                <w:strike w:val="1"/>
              </w:rPr>
              <w:t>3468-7174-2245v2</w:t>
            </w:r>
          </w:p>
        </w:tc>
        <w:tc>
          <w:tcPr>
            <w:tcW w:w="17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00" w:type="dxa"/>
            <w:vAlign w:val="bottom"/>
            <w:gridSpan w:val="6"/>
          </w:tcPr>
          <w:p>
            <w:pPr>
              <w:spacing w:after="0"/>
              <w:rPr>
                <w:sz w:val="20"/>
                <w:szCs w:val="20"/>
                <w:color w:val="auto"/>
              </w:rPr>
            </w:pPr>
            <w:r>
              <w:rPr>
                <w:rFonts w:ascii="Arial" w:cs="Arial" w:eastAsia="Arial" w:hAnsi="Arial"/>
                <w:sz w:val="11"/>
                <w:szCs w:val="11"/>
                <w:color w:val="B5082D"/>
                <w:strike w:val="1"/>
                <w:w w:val="98"/>
              </w:rPr>
              <w:t xml:space="preserve">Borrow er’ s obl igations u nder </w:t>
            </w:r>
            <w:r>
              <w:rPr>
                <w:rFonts w:ascii="Arial" w:cs="Arial" w:eastAsia="Arial" w:hAnsi="Arial"/>
                <w:sz w:val="11"/>
                <w:szCs w:val="11"/>
                <w:b w:val="1"/>
                <w:bCs w:val="1"/>
                <w:color w:val="B5082D"/>
                <w:strike w:val="1"/>
                <w:w w:val="98"/>
              </w:rPr>
              <w:t>clauses 9.5(b)</w:t>
            </w:r>
            <w:r>
              <w:rPr>
                <w:rFonts w:ascii="Arial" w:cs="Arial" w:eastAsia="Arial" w:hAnsi="Arial"/>
                <w:sz w:val="11"/>
                <w:szCs w:val="11"/>
                <w:color w:val="B5082D"/>
                <w:strike w:val="1"/>
                <w:w w:val="98"/>
              </w:rPr>
              <w:t xml:space="preserve"> and </w:t>
            </w:r>
            <w:r>
              <w:rPr>
                <w:rFonts w:ascii="Arial" w:cs="Arial" w:eastAsia="Arial" w:hAnsi="Arial"/>
                <w:sz w:val="11"/>
                <w:szCs w:val="11"/>
                <w:b w:val="1"/>
                <w:bCs w:val="1"/>
                <w:color w:val="B5082D"/>
                <w:strike w:val="1"/>
                <w:w w:val="98"/>
              </w:rPr>
              <w:t>9.5(c)</w:t>
            </w:r>
            <w:r>
              <w:rPr>
                <w:rFonts w:ascii="Arial" w:cs="Arial" w:eastAsia="Arial" w:hAnsi="Arial"/>
                <w:sz w:val="11"/>
                <w:szCs w:val="11"/>
                <w:color w:val="B5082D"/>
                <w:strike w:val="1"/>
                <w:w w:val="98"/>
              </w:rPr>
              <w:t xml:space="preserve"> in</w:t>
            </w:r>
          </w:p>
        </w:tc>
        <w:tc>
          <w:tcPr>
            <w:tcW w:w="46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680" w:type="dxa"/>
            <w:vAlign w:val="bottom"/>
            <w:tcBorders>
              <w:bottom w:val="single" w:sz="8" w:color="8BD8FF"/>
            </w:tcBorders>
            <w:vMerge w:val="continue"/>
          </w:tcPr>
          <w:p>
            <w:pPr>
              <w:spacing w:after="0"/>
              <w:rPr>
                <w:sz w:val="24"/>
                <w:szCs w:val="24"/>
                <w:color w:val="auto"/>
              </w:rPr>
            </w:pPr>
          </w:p>
        </w:tc>
        <w:tc>
          <w:tcPr>
            <w:tcW w:w="710" w:type="dxa"/>
            <w:vAlign w:val="bottom"/>
            <w:vMerge w:val="continue"/>
          </w:tcPr>
          <w:p>
            <w:pPr>
              <w:spacing w:after="0"/>
              <w:rPr>
                <w:sz w:val="24"/>
                <w:szCs w:val="24"/>
                <w:color w:val="auto"/>
              </w:rPr>
            </w:pPr>
          </w:p>
        </w:tc>
        <w:tc>
          <w:tcPr>
            <w:tcW w:w="310" w:type="dxa"/>
            <w:vAlign w:val="bottom"/>
            <w:gridSpan w:val="2"/>
          </w:tcPr>
          <w:p>
            <w:pPr>
              <w:spacing w:after="0"/>
              <w:rPr>
                <w:sz w:val="24"/>
                <w:szCs w:val="24"/>
                <w:color w:val="auto"/>
              </w:rPr>
            </w:pPr>
          </w:p>
        </w:tc>
        <w:tc>
          <w:tcPr>
            <w:tcW w:w="890" w:type="dxa"/>
            <w:vAlign w:val="bottom"/>
          </w:tcPr>
          <w:p>
            <w:pPr>
              <w:spacing w:after="0"/>
              <w:rPr>
                <w:sz w:val="24"/>
                <w:szCs w:val="24"/>
                <w:color w:val="auto"/>
              </w:rPr>
            </w:pPr>
          </w:p>
        </w:tc>
        <w:tc>
          <w:tcPr>
            <w:tcW w:w="4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10" w:type="dxa"/>
            <w:vAlign w:val="bottom"/>
          </w:tcPr>
          <w:p>
            <w:pPr>
              <w:spacing w:after="0"/>
              <w:rPr>
                <w:sz w:val="24"/>
                <w:szCs w:val="24"/>
                <w:color w:val="auto"/>
              </w:rPr>
            </w:pPr>
          </w:p>
        </w:tc>
        <w:tc>
          <w:tcPr>
            <w:tcW w:w="16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1340"/>
              <w:spacing w:after="0"/>
              <w:rPr>
                <w:sz w:val="20"/>
                <w:szCs w:val="20"/>
                <w:color w:val="auto"/>
              </w:rPr>
            </w:pPr>
            <w:r>
              <w:rPr>
                <w:rFonts w:ascii="Arial" w:cs="Arial" w:eastAsia="Arial" w:hAnsi="Arial"/>
                <w:sz w:val="8"/>
                <w:szCs w:val="8"/>
                <w:color w:val="auto"/>
                <w:w w:val="96"/>
              </w:rPr>
              <w:t>page 48</w:t>
            </w:r>
          </w:p>
        </w:tc>
        <w:tc>
          <w:tcPr>
            <w:tcW w:w="0" w:type="dxa"/>
            <w:vAlign w:val="bottom"/>
          </w:tcPr>
          <w:p>
            <w:pPr>
              <w:spacing w:after="0"/>
              <w:rPr>
                <w:sz w:val="1"/>
                <w:szCs w:val="1"/>
                <w:color w:val="auto"/>
              </w:rPr>
            </w:pPr>
          </w:p>
        </w:tc>
      </w:tr>
      <w:tr>
        <w:trPr>
          <w:trHeight w:val="94"/>
        </w:trPr>
        <w:tc>
          <w:tcPr>
            <w:tcW w:w="1700" w:type="dxa"/>
            <w:vAlign w:val="bottom"/>
            <w:gridSpan w:val="4"/>
          </w:tcPr>
          <w:p>
            <w:pPr>
              <w:spacing w:after="0"/>
              <w:rPr>
                <w:sz w:val="20"/>
                <w:szCs w:val="20"/>
                <w:color w:val="auto"/>
              </w:rPr>
            </w:pPr>
            <w:r>
              <w:rPr>
                <w:rFonts w:ascii="Arial" w:cs="Arial" w:eastAsia="Arial" w:hAnsi="Arial"/>
                <w:sz w:val="8"/>
                <w:szCs w:val="8"/>
                <w:color w:val="auto"/>
              </w:rPr>
              <w:t>Facility Agreement</w:t>
            </w:r>
          </w:p>
        </w:tc>
        <w:tc>
          <w:tcPr>
            <w:tcW w:w="890" w:type="dxa"/>
            <w:vAlign w:val="bottom"/>
          </w:tcPr>
          <w:p>
            <w:pPr>
              <w:spacing w:after="0"/>
              <w:rPr>
                <w:sz w:val="8"/>
                <w:szCs w:val="8"/>
                <w:color w:val="auto"/>
              </w:rPr>
            </w:pPr>
          </w:p>
        </w:tc>
        <w:tc>
          <w:tcPr>
            <w:tcW w:w="45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10" w:type="dxa"/>
            <w:vAlign w:val="bottom"/>
          </w:tcPr>
          <w:p>
            <w:pPr>
              <w:spacing w:after="0"/>
              <w:rPr>
                <w:sz w:val="8"/>
                <w:szCs w:val="8"/>
                <w:color w:val="auto"/>
              </w:rPr>
            </w:pPr>
          </w:p>
        </w:tc>
        <w:tc>
          <w:tcPr>
            <w:tcW w:w="161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710" w:type="dxa"/>
            <w:vAlign w:val="bottom"/>
            <w:tcBorders>
              <w:bottom w:val="single" w:sz="8" w:color="EEEEEE"/>
            </w:tcBorders>
          </w:tcPr>
          <w:p>
            <w:pPr>
              <w:spacing w:after="0"/>
              <w:rPr>
                <w:sz w:val="18"/>
                <w:szCs w:val="18"/>
                <w:color w:val="auto"/>
              </w:rPr>
            </w:pPr>
          </w:p>
        </w:tc>
        <w:tc>
          <w:tcPr>
            <w:tcW w:w="17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90" w:type="dxa"/>
            <w:vAlign w:val="bottom"/>
            <w:tcBorders>
              <w:bottom w:val="single" w:sz="8" w:color="EEEEEE"/>
            </w:tcBorders>
          </w:tcPr>
          <w:p>
            <w:pPr>
              <w:spacing w:after="0"/>
              <w:rPr>
                <w:sz w:val="18"/>
                <w:szCs w:val="18"/>
                <w:color w:val="auto"/>
              </w:rPr>
            </w:pPr>
          </w:p>
        </w:tc>
        <w:tc>
          <w:tcPr>
            <w:tcW w:w="45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460" w:type="dxa"/>
            <w:vAlign w:val="bottom"/>
            <w:tcBorders>
              <w:bottom w:val="single" w:sz="8" w:color="EEEEEE"/>
            </w:tcBorders>
          </w:tcPr>
          <w:p>
            <w:pPr>
              <w:spacing w:after="0"/>
              <w:rPr>
                <w:sz w:val="18"/>
                <w:szCs w:val="18"/>
                <w:color w:val="auto"/>
              </w:rPr>
            </w:pPr>
          </w:p>
        </w:tc>
        <w:tc>
          <w:tcPr>
            <w:tcW w:w="80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1210" w:type="dxa"/>
            <w:vAlign w:val="bottom"/>
            <w:tcBorders>
              <w:bottom w:val="single" w:sz="8" w:color="EEEEEE"/>
            </w:tcBorders>
          </w:tcPr>
          <w:p>
            <w:pPr>
              <w:spacing w:after="0"/>
              <w:rPr>
                <w:sz w:val="18"/>
                <w:szCs w:val="18"/>
                <w:color w:val="auto"/>
              </w:rPr>
            </w:pPr>
          </w:p>
        </w:tc>
        <w:tc>
          <w:tcPr>
            <w:tcW w:w="161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38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16" w:name="page117"/>
    <w:bookmarkEnd w:id="116"/>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80"/>
        <w:spacing w:after="0"/>
        <w:rPr>
          <w:sz w:val="20"/>
          <w:szCs w:val="20"/>
          <w:color w:val="auto"/>
        </w:rPr>
      </w:pPr>
      <w:r>
        <w:rPr>
          <w:rFonts w:ascii="Arial" w:cs="Arial" w:eastAsia="Arial" w:hAnsi="Arial"/>
          <w:sz w:val="11"/>
          <w:szCs w:val="11"/>
          <w:color w:val="B5082D"/>
          <w:strike w:val="1"/>
        </w:rPr>
        <w:t>respect of those dates)), the Leverage Ratio for the Calculation Period ending on that date is less than or equal to 3.25 times</w:t>
      </w:r>
      <w:r>
        <w:rPr>
          <w:rFonts w:ascii="Arial" w:cs="Arial" w:eastAsia="Arial" w:hAnsi="Arial"/>
          <w:sz w:val="11"/>
          <w:szCs w:val="11"/>
          <w:color w:val="000000"/>
        </w:rPr>
        <w:t>;</w:t>
      </w:r>
    </w:p>
    <w:p>
      <w:pPr>
        <w:spacing w:after="0" w:line="40" w:lineRule="exact"/>
        <w:rPr>
          <w:sz w:val="20"/>
          <w:szCs w:val="20"/>
          <w:color w:val="auto"/>
        </w:rPr>
      </w:pPr>
    </w:p>
    <w:p>
      <w:pPr>
        <w:ind w:left="1400" w:right="380" w:hanging="285"/>
        <w:spacing w:after="0" w:line="268" w:lineRule="auto"/>
        <w:tabs>
          <w:tab w:leader="none" w:pos="1400" w:val="left"/>
        </w:tabs>
        <w:numPr>
          <w:ilvl w:val="0"/>
          <w:numId w:val="168"/>
        </w:numPr>
        <w:rPr>
          <w:rFonts w:ascii="Arial" w:cs="Arial" w:eastAsia="Arial" w:hAnsi="Arial"/>
          <w:sz w:val="11"/>
          <w:szCs w:val="11"/>
          <w:color w:val="auto"/>
        </w:rPr>
      </w:pPr>
      <w:r>
        <w:rPr>
          <w:rFonts w:ascii="Arial" w:cs="Arial" w:eastAsia="Arial" w:hAnsi="Arial"/>
          <w:sz w:val="11"/>
          <w:szCs w:val="11"/>
          <w:b w:val="1"/>
          <w:bCs w:val="1"/>
          <w:color w:val="auto"/>
        </w:rPr>
        <w:t xml:space="preserve">Debt to Debt plus Equity Ratio: </w:t>
      </w:r>
      <w:r>
        <w:rPr>
          <w:rFonts w:ascii="Arial" w:cs="Arial" w:eastAsia="Arial" w:hAnsi="Arial"/>
          <w:sz w:val="11"/>
          <w:szCs w:val="11"/>
          <w:color w:val="auto"/>
        </w:rPr>
        <w:t>at each Calculation Date, the Debt to Debt plus Equity Ratio for the Calculation Period ending on that date is less than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or equal to </w:t>
      </w:r>
      <w:r>
        <w:rPr>
          <w:rFonts w:ascii="Arial" w:cs="Arial" w:eastAsia="Arial" w:hAnsi="Arial"/>
          <w:sz w:val="11"/>
          <w:szCs w:val="11"/>
          <w:u w:val="single" w:color="auto"/>
          <w:color w:val="2D96D2"/>
        </w:rPr>
        <w:t>55%</w:t>
      </w:r>
      <w:r>
        <w:rPr>
          <w:rFonts w:ascii="Arial" w:cs="Arial" w:eastAsia="Arial" w:hAnsi="Arial"/>
          <w:sz w:val="11"/>
          <w:szCs w:val="11"/>
          <w:color w:val="B5082D"/>
          <w:strike w:val="1"/>
        </w:rPr>
        <w:t>50%</w:t>
      </w:r>
      <w:r>
        <w:rPr>
          <w:rFonts w:ascii="Arial" w:cs="Arial" w:eastAsia="Arial" w:hAnsi="Arial"/>
          <w:sz w:val="11"/>
          <w:szCs w:val="11"/>
          <w:color w:val="auto"/>
        </w:rPr>
        <w:t>;</w:t>
      </w:r>
    </w:p>
    <w:p>
      <w:pPr>
        <w:spacing w:after="0" w:line="10" w:lineRule="exact"/>
        <w:rPr>
          <w:rFonts w:ascii="Arial" w:cs="Arial" w:eastAsia="Arial" w:hAnsi="Arial"/>
          <w:sz w:val="11"/>
          <w:szCs w:val="11"/>
          <w:color w:val="auto"/>
        </w:rPr>
      </w:pPr>
    </w:p>
    <w:p>
      <w:pPr>
        <w:ind w:left="1400" w:hanging="285"/>
        <w:spacing w:after="0"/>
        <w:tabs>
          <w:tab w:leader="none" w:pos="1400" w:val="left"/>
        </w:tabs>
        <w:numPr>
          <w:ilvl w:val="0"/>
          <w:numId w:val="168"/>
        </w:numPr>
        <w:rPr>
          <w:rFonts w:ascii="Arial" w:cs="Arial" w:eastAsia="Arial" w:hAnsi="Arial"/>
          <w:sz w:val="11"/>
          <w:szCs w:val="11"/>
          <w:color w:val="auto"/>
        </w:rPr>
      </w:pPr>
      <w:r>
        <w:rPr>
          <w:rFonts w:ascii="Arial" w:cs="Arial" w:eastAsia="Arial" w:hAnsi="Arial"/>
          <w:sz w:val="11"/>
          <w:szCs w:val="11"/>
          <w:b w:val="1"/>
          <w:bCs w:val="1"/>
          <w:color w:val="auto"/>
        </w:rPr>
        <w:t>Loan to Value Ratio</w:t>
      </w:r>
      <w:r>
        <w:rPr>
          <w:rFonts w:ascii="Arial" w:cs="Arial" w:eastAsia="Arial" w:hAnsi="Arial"/>
          <w:sz w:val="11"/>
          <w:szCs w:val="11"/>
          <w:color w:val="auto"/>
        </w:rPr>
        <w:t>: at each Calculation Date, the Loan to Value Ratio for the Calculation Period ending on that date is less than or equal to 70%</w:t>
      </w:r>
      <w:r>
        <w:rPr>
          <w:rFonts w:ascii="Arial" w:cs="Arial" w:eastAsia="Arial" w:hAnsi="Arial"/>
          <w:sz w:val="11"/>
          <w:szCs w:val="11"/>
          <w:u w:val="single" w:color="auto"/>
          <w:color w:val="2D96D2"/>
        </w:rPr>
        <w:t>; and</w:t>
      </w:r>
    </w:p>
    <w:p>
      <w:pPr>
        <w:spacing w:after="0" w:line="55" w:lineRule="exact"/>
        <w:rPr>
          <w:sz w:val="20"/>
          <w:szCs w:val="20"/>
          <w:color w:val="auto"/>
        </w:rPr>
      </w:pPr>
    </w:p>
    <w:p>
      <w:pPr>
        <w:ind w:left="1120"/>
        <w:spacing w:after="0"/>
        <w:rPr>
          <w:sz w:val="20"/>
          <w:szCs w:val="20"/>
          <w:color w:val="auto"/>
        </w:rPr>
      </w:pPr>
      <w:r>
        <w:rPr>
          <w:rFonts w:ascii="Arial" w:cs="Arial" w:eastAsia="Arial" w:hAnsi="Arial"/>
          <w:sz w:val="11"/>
          <w:szCs w:val="11"/>
          <w:color w:val="B5082D"/>
          <w:strike w:val="1"/>
        </w:rPr>
        <w:t>(iv)</w:t>
      </w:r>
      <w:r>
        <w:rPr>
          <w:rFonts w:ascii="Arial" w:cs="Arial" w:eastAsia="Arial" w:hAnsi="Arial"/>
          <w:sz w:val="11"/>
          <w:szCs w:val="11"/>
          <w:u w:val="single" w:color="auto"/>
          <w:color w:val="2D96D2"/>
          <w:strike w:val="1"/>
        </w:rPr>
        <w:t>(v)</w:t>
      </w:r>
      <w:r>
        <w:rPr>
          <w:rFonts w:ascii="Arial" w:cs="Arial" w:eastAsia="Arial" w:hAnsi="Arial"/>
          <w:sz w:val="11"/>
          <w:szCs w:val="11"/>
          <w:color w:val="B5082D"/>
          <w:strike w:val="1"/>
        </w:rPr>
        <w:t xml:space="preserve"> </w:t>
      </w:r>
      <w:r>
        <w:rPr>
          <w:rFonts w:ascii="Arial" w:cs="Arial" w:eastAsia="Arial" w:hAnsi="Arial"/>
          <w:sz w:val="11"/>
          <w:szCs w:val="11"/>
          <w:b w:val="1"/>
          <w:bCs w:val="1"/>
          <w:u w:val="single" w:color="auto"/>
          <w:color w:val="2D96D2"/>
          <w:strike w:val="1"/>
        </w:rPr>
        <w:t>Minimum Liquidity:</w:t>
      </w:r>
      <w:r>
        <w:rPr>
          <w:rFonts w:ascii="Arial" w:cs="Arial" w:eastAsia="Arial" w:hAnsi="Arial"/>
          <w:sz w:val="11"/>
          <w:szCs w:val="11"/>
          <w:color w:val="B5082D"/>
          <w:strike w:val="1"/>
        </w:rPr>
        <w:t xml:space="preserve"> </w:t>
      </w:r>
      <w:r>
        <w:rPr>
          <w:rFonts w:ascii="Arial" w:cs="Arial" w:eastAsia="Arial" w:hAnsi="Arial"/>
          <w:sz w:val="11"/>
          <w:szCs w:val="11"/>
          <w:u w:val="single" w:color="auto"/>
          <w:color w:val="2D96D2"/>
          <w:strike w:val="1"/>
        </w:rPr>
        <w:t>the Borrow er’ s Minimum Liquidity is at least</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1"/>
          <w:szCs w:val="11"/>
          <w:u w:val="single" w:color="auto"/>
          <w:color w:val="2D96D2"/>
        </w:rPr>
        <w:t>$5,000,000 at all times</w:t>
      </w:r>
      <w:r>
        <w:rPr>
          <w:rFonts w:ascii="Arial" w:cs="Arial" w:eastAsia="Arial" w:hAnsi="Arial"/>
          <w:sz w:val="11"/>
          <w:szCs w:val="11"/>
          <w:color w:val="000000"/>
        </w:rPr>
        <w:t>.</w:t>
      </w:r>
    </w:p>
    <w:p>
      <w:pPr>
        <w:spacing w:after="0" w:line="55" w:lineRule="exact"/>
        <w:rPr>
          <w:sz w:val="20"/>
          <w:szCs w:val="20"/>
          <w:color w:val="auto"/>
        </w:rPr>
      </w:pPr>
    </w:p>
    <w:p>
      <w:pPr>
        <w:ind w:left="1100" w:hanging="285"/>
        <w:spacing w:after="0"/>
        <w:tabs>
          <w:tab w:leader="none" w:pos="1100" w:val="left"/>
        </w:tabs>
        <w:numPr>
          <w:ilvl w:val="0"/>
          <w:numId w:val="169"/>
        </w:numPr>
        <w:rPr>
          <w:rFonts w:ascii="Arial" w:cs="Arial" w:eastAsia="Arial" w:hAnsi="Arial"/>
          <w:sz w:val="11"/>
          <w:szCs w:val="11"/>
          <w:color w:val="auto"/>
        </w:rPr>
      </w:pPr>
      <w:r>
        <w:rPr>
          <w:rFonts w:ascii="Arial" w:cs="Arial" w:eastAsia="Arial" w:hAnsi="Arial"/>
          <w:sz w:val="11"/>
          <w:szCs w:val="11"/>
          <w:color w:val="auto"/>
        </w:rPr>
        <w:t xml:space="preserve">A financial ratio or amount to be determined under </w:t>
      </w:r>
      <w:r>
        <w:rPr>
          <w:rFonts w:ascii="Arial" w:cs="Arial" w:eastAsia="Arial" w:hAnsi="Arial"/>
          <w:sz w:val="11"/>
          <w:szCs w:val="11"/>
          <w:b w:val="1"/>
          <w:bCs w:val="1"/>
          <w:color w:val="auto"/>
        </w:rPr>
        <w:t>clause 9.8(a)</w:t>
      </w:r>
      <w:r>
        <w:rPr>
          <w:rFonts w:ascii="Arial" w:cs="Arial" w:eastAsia="Arial" w:hAnsi="Arial"/>
          <w:sz w:val="11"/>
          <w:szCs w:val="11"/>
          <w:color w:val="auto"/>
        </w:rPr>
        <w:t xml:space="preserve"> must be tested or determined by reference to the most recently</w:t>
      </w:r>
    </w:p>
    <w:p>
      <w:pPr>
        <w:spacing w:after="0" w:line="7" w:lineRule="exact"/>
        <w:rPr>
          <w:rFonts w:ascii="Arial" w:cs="Arial" w:eastAsia="Arial" w:hAnsi="Arial"/>
          <w:sz w:val="11"/>
          <w:szCs w:val="11"/>
          <w:color w:val="auto"/>
        </w:rPr>
      </w:pPr>
    </w:p>
    <w:p>
      <w:pPr>
        <w:ind w:left="1100" w:right="1280"/>
        <w:spacing w:after="0" w:line="241" w:lineRule="auto"/>
        <w:rPr>
          <w:rFonts w:ascii="Arial" w:cs="Arial" w:eastAsia="Arial" w:hAnsi="Arial"/>
          <w:sz w:val="11"/>
          <w:szCs w:val="11"/>
          <w:color w:val="auto"/>
        </w:rPr>
      </w:pPr>
      <w:r>
        <w:rPr>
          <w:rFonts w:ascii="Arial" w:cs="Arial" w:eastAsia="Arial" w:hAnsi="Arial"/>
          <w:sz w:val="11"/>
          <w:szCs w:val="11"/>
          <w:color w:val="auto"/>
        </w:rPr>
        <w:t>prepared Financial Statements. The calculation of any amounts on a consolidated basis must be made in accordance with the requirements of the Accounting Standards relating to the consolidation of entities.</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9.9</w:t>
      </w:r>
      <w:r>
        <w:rPr>
          <w:sz w:val="20"/>
          <w:szCs w:val="20"/>
          <w:color w:val="auto"/>
        </w:rPr>
        <w:tab/>
      </w:r>
      <w:r>
        <w:rPr>
          <w:rFonts w:ascii="Arial" w:cs="Arial" w:eastAsia="Arial" w:hAnsi="Arial"/>
          <w:sz w:val="12"/>
          <w:szCs w:val="12"/>
          <w:b w:val="1"/>
          <w:bCs w:val="1"/>
          <w:color w:val="auto"/>
        </w:rPr>
        <w:t>Environment</w:t>
      </w:r>
    </w:p>
    <w:p>
      <w:pPr>
        <w:spacing w:after="0" w:line="47" w:lineRule="exact"/>
        <w:rPr>
          <w:sz w:val="20"/>
          <w:szCs w:val="20"/>
          <w:color w:val="auto"/>
        </w:rPr>
      </w:pPr>
    </w:p>
    <w:p>
      <w:pPr>
        <w:ind w:left="1080" w:right="440" w:hanging="280"/>
        <w:spacing w:after="0" w:line="256" w:lineRule="auto"/>
        <w:tabs>
          <w:tab w:leader="none" w:pos="1080" w:val="left"/>
        </w:tabs>
        <w:numPr>
          <w:ilvl w:val="0"/>
          <w:numId w:val="170"/>
        </w:numPr>
        <w:rPr>
          <w:rFonts w:ascii="Arial" w:cs="Arial" w:eastAsia="Arial" w:hAnsi="Arial"/>
          <w:sz w:val="11"/>
          <w:szCs w:val="11"/>
          <w:color w:val="auto"/>
        </w:rPr>
      </w:pPr>
      <w:r>
        <w:rPr>
          <w:rFonts w:ascii="Arial" w:cs="Arial" w:eastAsia="Arial" w:hAnsi="Arial"/>
          <w:sz w:val="11"/>
          <w:szCs w:val="11"/>
          <w:color w:val="auto"/>
        </w:rPr>
        <w:t>Each Transaction Party must ensure that at all times all practical and reasonable steps that can be taken and measures and precautions that can be adopted are taken or adopted by each Transaction Party to ensure that:</w:t>
      </w:r>
    </w:p>
    <w:p>
      <w:pPr>
        <w:spacing w:after="0" w:line="22" w:lineRule="exact"/>
        <w:rPr>
          <w:rFonts w:ascii="Arial" w:cs="Arial" w:eastAsia="Arial" w:hAnsi="Arial"/>
          <w:sz w:val="11"/>
          <w:szCs w:val="11"/>
          <w:color w:val="auto"/>
        </w:rPr>
      </w:pPr>
    </w:p>
    <w:p>
      <w:pPr>
        <w:ind w:left="1400" w:hanging="285"/>
        <w:spacing w:after="0"/>
        <w:tabs>
          <w:tab w:leader="none" w:pos="1400" w:val="left"/>
        </w:tabs>
        <w:numPr>
          <w:ilvl w:val="1"/>
          <w:numId w:val="170"/>
        </w:numPr>
        <w:rPr>
          <w:rFonts w:ascii="Arial" w:cs="Arial" w:eastAsia="Arial" w:hAnsi="Arial"/>
          <w:sz w:val="11"/>
          <w:szCs w:val="11"/>
          <w:color w:val="auto"/>
        </w:rPr>
      </w:pPr>
      <w:r>
        <w:rPr>
          <w:rFonts w:ascii="Arial" w:cs="Arial" w:eastAsia="Arial" w:hAnsi="Arial"/>
          <w:sz w:val="11"/>
          <w:szCs w:val="11"/>
          <w:color w:val="auto"/>
        </w:rPr>
        <w:t>all persons, things and activities of any kind on or using the Land comply with all Environmental Laws and any</w:t>
      </w:r>
    </w:p>
    <w:p>
      <w:pPr>
        <w:spacing w:after="0" w:line="1" w:lineRule="exact"/>
        <w:rPr>
          <w:rFonts w:ascii="Arial" w:cs="Arial" w:eastAsia="Arial" w:hAnsi="Arial"/>
          <w:sz w:val="11"/>
          <w:szCs w:val="11"/>
          <w:color w:val="auto"/>
        </w:rPr>
      </w:pPr>
    </w:p>
    <w:p>
      <w:pPr>
        <w:ind w:left="1400"/>
        <w:spacing w:after="0"/>
        <w:rPr>
          <w:rFonts w:ascii="Arial" w:cs="Arial" w:eastAsia="Arial" w:hAnsi="Arial"/>
          <w:sz w:val="11"/>
          <w:szCs w:val="11"/>
          <w:color w:val="auto"/>
        </w:rPr>
      </w:pPr>
      <w:r>
        <w:rPr>
          <w:rFonts w:ascii="Arial" w:cs="Arial" w:eastAsia="Arial" w:hAnsi="Arial"/>
          <w:sz w:val="11"/>
          <w:szCs w:val="11"/>
          <w:color w:val="auto"/>
        </w:rPr>
        <w:t>consent, permit, approval, licence, authorisation, certification, order or direction granted or issued under any Environmental Law;</w:t>
      </w:r>
    </w:p>
    <w:p>
      <w:pPr>
        <w:spacing w:after="0" w:line="38" w:lineRule="exact"/>
        <w:rPr>
          <w:rFonts w:ascii="Arial" w:cs="Arial" w:eastAsia="Arial" w:hAnsi="Arial"/>
          <w:sz w:val="11"/>
          <w:szCs w:val="11"/>
          <w:color w:val="auto"/>
        </w:rPr>
      </w:pPr>
    </w:p>
    <w:p>
      <w:pPr>
        <w:ind w:left="1400" w:right="700" w:hanging="285"/>
        <w:spacing w:after="0" w:line="256" w:lineRule="auto"/>
        <w:tabs>
          <w:tab w:leader="none" w:pos="1400" w:val="left"/>
        </w:tabs>
        <w:numPr>
          <w:ilvl w:val="1"/>
          <w:numId w:val="170"/>
        </w:numPr>
        <w:rPr>
          <w:rFonts w:ascii="Arial" w:cs="Arial" w:eastAsia="Arial" w:hAnsi="Arial"/>
          <w:sz w:val="11"/>
          <w:szCs w:val="11"/>
          <w:color w:val="auto"/>
        </w:rPr>
      </w:pPr>
      <w:r>
        <w:rPr>
          <w:rFonts w:ascii="Arial" w:cs="Arial" w:eastAsia="Arial" w:hAnsi="Arial"/>
          <w:sz w:val="11"/>
          <w:szCs w:val="11"/>
          <w:color w:val="auto"/>
        </w:rPr>
        <w:t>if there is any non-compliance with any Environmental Law or any consent, permit, approval, licence, authorisation, certification, order or direction granted or issued under any Environmental Law:</w:t>
      </w:r>
    </w:p>
    <w:p>
      <w:pPr>
        <w:spacing w:after="0" w:line="22" w:lineRule="exact"/>
        <w:rPr>
          <w:rFonts w:ascii="Arial" w:cs="Arial" w:eastAsia="Arial" w:hAnsi="Arial"/>
          <w:sz w:val="11"/>
          <w:szCs w:val="11"/>
          <w:color w:val="auto"/>
        </w:rPr>
      </w:pPr>
    </w:p>
    <w:p>
      <w:pPr>
        <w:ind w:left="1660" w:hanging="275"/>
        <w:spacing w:after="0"/>
        <w:tabs>
          <w:tab w:leader="none" w:pos="1660" w:val="left"/>
        </w:tabs>
        <w:numPr>
          <w:ilvl w:val="2"/>
          <w:numId w:val="170"/>
        </w:numPr>
        <w:rPr>
          <w:rFonts w:ascii="Arial" w:cs="Arial" w:eastAsia="Arial" w:hAnsi="Arial"/>
          <w:sz w:val="11"/>
          <w:szCs w:val="11"/>
          <w:color w:val="auto"/>
        </w:rPr>
      </w:pPr>
      <w:r>
        <w:rPr>
          <w:rFonts w:ascii="Arial" w:cs="Arial" w:eastAsia="Arial" w:hAnsi="Arial"/>
          <w:sz w:val="11"/>
          <w:szCs w:val="11"/>
          <w:color w:val="auto"/>
        </w:rPr>
        <w:t>the impact on the Land and the environment is minimised; and</w:t>
      </w:r>
    </w:p>
    <w:p>
      <w:pPr>
        <w:spacing w:after="0" w:line="46" w:lineRule="exact"/>
        <w:rPr>
          <w:rFonts w:ascii="Arial" w:cs="Arial" w:eastAsia="Arial" w:hAnsi="Arial"/>
          <w:sz w:val="11"/>
          <w:szCs w:val="11"/>
          <w:color w:val="auto"/>
        </w:rPr>
      </w:pPr>
    </w:p>
    <w:p>
      <w:pPr>
        <w:ind w:left="1660" w:right="680" w:hanging="275"/>
        <w:spacing w:after="0" w:line="256" w:lineRule="auto"/>
        <w:tabs>
          <w:tab w:leader="none" w:pos="1660" w:val="left"/>
        </w:tabs>
        <w:numPr>
          <w:ilvl w:val="2"/>
          <w:numId w:val="170"/>
        </w:numPr>
        <w:rPr>
          <w:rFonts w:ascii="Arial" w:cs="Arial" w:eastAsia="Arial" w:hAnsi="Arial"/>
          <w:sz w:val="11"/>
          <w:szCs w:val="11"/>
          <w:color w:val="auto"/>
        </w:rPr>
      </w:pPr>
      <w:r>
        <w:rPr>
          <w:rFonts w:ascii="Arial" w:cs="Arial" w:eastAsia="Arial" w:hAnsi="Arial"/>
          <w:sz w:val="11"/>
          <w:szCs w:val="11"/>
          <w:color w:val="auto"/>
        </w:rPr>
        <w:t>steps are taken as quickly as possible to rectify the non- compliance, eliminate or reduce any liability arising from the non-compliance and to ensure the non-compliance does not recur;</w:t>
      </w:r>
    </w:p>
    <w:p>
      <w:pPr>
        <w:spacing w:after="0" w:line="37" w:lineRule="exact"/>
        <w:rPr>
          <w:rFonts w:ascii="Arial" w:cs="Arial" w:eastAsia="Arial" w:hAnsi="Arial"/>
          <w:sz w:val="11"/>
          <w:szCs w:val="11"/>
          <w:color w:val="auto"/>
        </w:rPr>
      </w:pPr>
    </w:p>
    <w:p>
      <w:pPr>
        <w:ind w:left="1400" w:hanging="285"/>
        <w:spacing w:after="0"/>
        <w:tabs>
          <w:tab w:leader="none" w:pos="1400" w:val="left"/>
        </w:tabs>
        <w:numPr>
          <w:ilvl w:val="1"/>
          <w:numId w:val="170"/>
        </w:numPr>
        <w:rPr>
          <w:rFonts w:ascii="Arial" w:cs="Arial" w:eastAsia="Arial" w:hAnsi="Arial"/>
          <w:sz w:val="11"/>
          <w:szCs w:val="11"/>
          <w:color w:val="auto"/>
        </w:rPr>
      </w:pPr>
      <w:r>
        <w:rPr>
          <w:rFonts w:ascii="Arial" w:cs="Arial" w:eastAsia="Arial" w:hAnsi="Arial"/>
          <w:sz w:val="11"/>
          <w:szCs w:val="11"/>
          <w:color w:val="auto"/>
        </w:rPr>
        <w:t>it or any person on the Land does not:</w:t>
      </w:r>
    </w:p>
    <w:p>
      <w:pPr>
        <w:spacing w:after="0" w:line="68" w:lineRule="exact"/>
        <w:rPr>
          <w:rFonts w:ascii="Arial" w:cs="Arial" w:eastAsia="Arial" w:hAnsi="Arial"/>
          <w:sz w:val="11"/>
          <w:szCs w:val="11"/>
          <w:color w:val="auto"/>
        </w:rPr>
      </w:pPr>
    </w:p>
    <w:p>
      <w:pPr>
        <w:ind w:left="1660" w:hanging="275"/>
        <w:spacing w:after="0"/>
        <w:tabs>
          <w:tab w:leader="none" w:pos="1660" w:val="left"/>
        </w:tabs>
        <w:numPr>
          <w:ilvl w:val="2"/>
          <w:numId w:val="170"/>
        </w:numPr>
        <w:rPr>
          <w:rFonts w:ascii="Arial" w:cs="Arial" w:eastAsia="Arial" w:hAnsi="Arial"/>
          <w:sz w:val="11"/>
          <w:szCs w:val="11"/>
          <w:color w:val="auto"/>
        </w:rPr>
      </w:pPr>
      <w:r>
        <w:rPr>
          <w:rFonts w:ascii="Arial" w:cs="Arial" w:eastAsia="Arial" w:hAnsi="Arial"/>
          <w:sz w:val="11"/>
          <w:szCs w:val="11"/>
          <w:color w:val="auto"/>
        </w:rPr>
        <w:t>allow onto or permit to exist on the Land any Contaminant; or</w:t>
      </w:r>
    </w:p>
    <w:p>
      <w:pPr>
        <w:spacing w:after="0" w:line="46" w:lineRule="exact"/>
        <w:rPr>
          <w:rFonts w:ascii="Arial" w:cs="Arial" w:eastAsia="Arial" w:hAnsi="Arial"/>
          <w:sz w:val="11"/>
          <w:szCs w:val="11"/>
          <w:color w:val="auto"/>
        </w:rPr>
      </w:pPr>
    </w:p>
    <w:p>
      <w:pPr>
        <w:ind w:left="1660" w:hanging="275"/>
        <w:spacing w:after="0"/>
        <w:tabs>
          <w:tab w:leader="none" w:pos="1660" w:val="left"/>
        </w:tabs>
        <w:numPr>
          <w:ilvl w:val="2"/>
          <w:numId w:val="170"/>
        </w:numPr>
        <w:rPr>
          <w:rFonts w:ascii="Arial" w:cs="Arial" w:eastAsia="Arial" w:hAnsi="Arial"/>
          <w:sz w:val="11"/>
          <w:szCs w:val="11"/>
          <w:color w:val="auto"/>
        </w:rPr>
      </w:pPr>
      <w:r>
        <w:rPr>
          <w:rFonts w:ascii="Arial" w:cs="Arial" w:eastAsia="Arial" w:hAnsi="Arial"/>
          <w:sz w:val="11"/>
          <w:szCs w:val="11"/>
          <w:color w:val="auto"/>
        </w:rPr>
        <w:t>allow a Contaminant to escape or be released into the environment,</w:t>
      </w:r>
    </w:p>
    <w:p>
      <w:pPr>
        <w:spacing w:after="0" w:line="46" w:lineRule="exact"/>
        <w:rPr>
          <w:rFonts w:ascii="Arial" w:cs="Arial" w:eastAsia="Arial" w:hAnsi="Arial"/>
          <w:sz w:val="11"/>
          <w:szCs w:val="11"/>
          <w:color w:val="auto"/>
        </w:rPr>
      </w:pPr>
    </w:p>
    <w:p>
      <w:pPr>
        <w:ind w:left="1680" w:right="540"/>
        <w:spacing w:after="0" w:line="256" w:lineRule="auto"/>
        <w:rPr>
          <w:rFonts w:ascii="Arial" w:cs="Arial" w:eastAsia="Arial" w:hAnsi="Arial"/>
          <w:sz w:val="11"/>
          <w:szCs w:val="11"/>
          <w:color w:val="auto"/>
        </w:rPr>
      </w:pPr>
      <w:r>
        <w:rPr>
          <w:rFonts w:ascii="Arial" w:cs="Arial" w:eastAsia="Arial" w:hAnsi="Arial"/>
          <w:sz w:val="11"/>
          <w:szCs w:val="11"/>
          <w:color w:val="auto"/>
        </w:rPr>
        <w:t>if to do so would be in breach of any Environmental Law or any consent, permit, approval, licence, authorisation, certification, order or direction granted or issued under any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49</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17" w:name="page118"/>
    <w:bookmarkEnd w:id="117"/>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Environmental Law or could give rise to an order or direction being issued under any Environmental Law; and</w:t>
      </w:r>
    </w:p>
    <w:p>
      <w:pPr>
        <w:spacing w:after="0" w:line="46" w:lineRule="exact"/>
        <w:rPr>
          <w:sz w:val="20"/>
          <w:szCs w:val="20"/>
          <w:color w:val="auto"/>
        </w:rPr>
      </w:pPr>
    </w:p>
    <w:p>
      <w:pPr>
        <w:ind w:left="1400" w:right="300" w:hanging="285"/>
        <w:spacing w:after="0" w:line="256" w:lineRule="auto"/>
        <w:tabs>
          <w:tab w:leader="none" w:pos="1400" w:val="left"/>
        </w:tabs>
        <w:numPr>
          <w:ilvl w:val="1"/>
          <w:numId w:val="171"/>
        </w:numPr>
        <w:rPr>
          <w:rFonts w:ascii="Arial" w:cs="Arial" w:eastAsia="Arial" w:hAnsi="Arial"/>
          <w:sz w:val="11"/>
          <w:szCs w:val="11"/>
          <w:color w:val="auto"/>
        </w:rPr>
      </w:pPr>
      <w:r>
        <w:rPr>
          <w:rFonts w:ascii="Arial" w:cs="Arial" w:eastAsia="Arial" w:hAnsi="Arial"/>
          <w:sz w:val="11"/>
          <w:szCs w:val="11"/>
          <w:color w:val="auto"/>
        </w:rPr>
        <w:t>if any Contaminant is discovered on or affecting the Land (other than a Contaminant which is safely stored in accordance with lawful authority) or, without lawful authority, escapes or is released from the Land into the environment:</w:t>
      </w:r>
    </w:p>
    <w:p>
      <w:pPr>
        <w:spacing w:after="0" w:line="22" w:lineRule="exact"/>
        <w:rPr>
          <w:rFonts w:ascii="Arial" w:cs="Arial" w:eastAsia="Arial" w:hAnsi="Arial"/>
          <w:sz w:val="11"/>
          <w:szCs w:val="11"/>
          <w:color w:val="auto"/>
        </w:rPr>
      </w:pPr>
    </w:p>
    <w:p>
      <w:pPr>
        <w:ind w:left="1660" w:hanging="275"/>
        <w:spacing w:after="0"/>
        <w:tabs>
          <w:tab w:leader="none" w:pos="1660" w:val="left"/>
        </w:tabs>
        <w:numPr>
          <w:ilvl w:val="2"/>
          <w:numId w:val="171"/>
        </w:numPr>
        <w:rPr>
          <w:rFonts w:ascii="Arial" w:cs="Arial" w:eastAsia="Arial" w:hAnsi="Arial"/>
          <w:sz w:val="11"/>
          <w:szCs w:val="11"/>
          <w:color w:val="auto"/>
        </w:rPr>
      </w:pPr>
      <w:r>
        <w:rPr>
          <w:rFonts w:ascii="Arial" w:cs="Arial" w:eastAsia="Arial" w:hAnsi="Arial"/>
          <w:sz w:val="11"/>
          <w:szCs w:val="11"/>
          <w:color w:val="auto"/>
        </w:rPr>
        <w:t>the impact on the Land and the environment is minimised; and</w:t>
      </w:r>
    </w:p>
    <w:p>
      <w:pPr>
        <w:spacing w:after="0" w:line="46" w:lineRule="exact"/>
        <w:rPr>
          <w:rFonts w:ascii="Arial" w:cs="Arial" w:eastAsia="Arial" w:hAnsi="Arial"/>
          <w:sz w:val="11"/>
          <w:szCs w:val="11"/>
          <w:color w:val="auto"/>
        </w:rPr>
      </w:pPr>
    </w:p>
    <w:p>
      <w:pPr>
        <w:jc w:val="both"/>
        <w:ind w:left="1660" w:right="260" w:hanging="275"/>
        <w:spacing w:after="0" w:line="242" w:lineRule="auto"/>
        <w:tabs>
          <w:tab w:leader="none" w:pos="1660" w:val="left"/>
        </w:tabs>
        <w:numPr>
          <w:ilvl w:val="2"/>
          <w:numId w:val="171"/>
        </w:numPr>
        <w:rPr>
          <w:rFonts w:ascii="Arial" w:cs="Arial" w:eastAsia="Arial" w:hAnsi="Arial"/>
          <w:sz w:val="11"/>
          <w:szCs w:val="11"/>
          <w:color w:val="auto"/>
        </w:rPr>
      </w:pPr>
      <w:r>
        <w:rPr>
          <w:rFonts w:ascii="Arial" w:cs="Arial" w:eastAsia="Arial" w:hAnsi="Arial"/>
          <w:sz w:val="11"/>
          <w:szCs w:val="11"/>
          <w:color w:val="auto"/>
        </w:rPr>
        <w:t>steps are taken as quickly as possible to safely contain the Contaminant and to remove the Contaminant from the environment or the Land or reduce the levels of the Contaminant to a level required or recommended by the relevant Government Body as safe and in either case to eliminate or reduce any liability arising from the Contaminant and do all things necessary to restore the Land and the environment.</w:t>
      </w:r>
    </w:p>
    <w:p>
      <w:pPr>
        <w:spacing w:after="0" w:line="23" w:lineRule="exact"/>
        <w:rPr>
          <w:rFonts w:ascii="Arial" w:cs="Arial" w:eastAsia="Arial" w:hAnsi="Arial"/>
          <w:sz w:val="11"/>
          <w:szCs w:val="11"/>
          <w:color w:val="auto"/>
        </w:rPr>
      </w:pPr>
    </w:p>
    <w:p>
      <w:pPr>
        <w:ind w:left="1080" w:right="500" w:hanging="280"/>
        <w:spacing w:after="0" w:line="287" w:lineRule="auto"/>
        <w:tabs>
          <w:tab w:leader="none" w:pos="1080" w:val="left"/>
        </w:tabs>
        <w:numPr>
          <w:ilvl w:val="0"/>
          <w:numId w:val="172"/>
        </w:numPr>
        <w:rPr>
          <w:rFonts w:ascii="Arial" w:cs="Arial" w:eastAsia="Arial" w:hAnsi="Arial"/>
          <w:sz w:val="11"/>
          <w:szCs w:val="11"/>
          <w:color w:val="auto"/>
        </w:rPr>
      </w:pPr>
      <w:r>
        <w:rPr>
          <w:rFonts w:ascii="Arial" w:cs="Arial" w:eastAsia="Arial" w:hAnsi="Arial"/>
          <w:sz w:val="11"/>
          <w:szCs w:val="11"/>
          <w:color w:val="auto"/>
        </w:rPr>
        <w:t xml:space="preserve">If there is any non-compliance under </w:t>
      </w:r>
      <w:r>
        <w:rPr>
          <w:rFonts w:ascii="Arial" w:cs="Arial" w:eastAsia="Arial" w:hAnsi="Arial"/>
          <w:sz w:val="11"/>
          <w:szCs w:val="11"/>
          <w:b w:val="1"/>
          <w:bCs w:val="1"/>
          <w:color w:val="auto"/>
        </w:rPr>
        <w:t>clauses 9.9(a)(i)</w:t>
      </w:r>
      <w:r>
        <w:rPr>
          <w:rFonts w:ascii="Arial" w:cs="Arial" w:eastAsia="Arial" w:hAnsi="Arial"/>
          <w:sz w:val="11"/>
          <w:szCs w:val="11"/>
          <w:color w:val="auto"/>
        </w:rPr>
        <w:t xml:space="preserve">, </w:t>
      </w:r>
      <w:r>
        <w:rPr>
          <w:rFonts w:ascii="Arial" w:cs="Arial" w:eastAsia="Arial" w:hAnsi="Arial"/>
          <w:sz w:val="11"/>
          <w:szCs w:val="11"/>
          <w:b w:val="1"/>
          <w:bCs w:val="1"/>
          <w:color w:val="auto"/>
        </w:rPr>
        <w:t>(ii)</w:t>
      </w:r>
      <w:r>
        <w:rPr>
          <w:rFonts w:ascii="Arial" w:cs="Arial" w:eastAsia="Arial" w:hAnsi="Arial"/>
          <w:sz w:val="11"/>
          <w:szCs w:val="11"/>
          <w:color w:val="auto"/>
        </w:rPr>
        <w:t xml:space="preserve"> or </w:t>
      </w:r>
      <w:r>
        <w:rPr>
          <w:rFonts w:ascii="Arial" w:cs="Arial" w:eastAsia="Arial" w:hAnsi="Arial"/>
          <w:sz w:val="11"/>
          <w:szCs w:val="11"/>
          <w:b w:val="1"/>
          <w:bCs w:val="1"/>
          <w:color w:val="auto"/>
        </w:rPr>
        <w:t>(iii)</w:t>
      </w:r>
      <w:r>
        <w:rPr>
          <w:rFonts w:ascii="Arial" w:cs="Arial" w:eastAsia="Arial" w:hAnsi="Arial"/>
          <w:sz w:val="11"/>
          <w:szCs w:val="11"/>
          <w:color w:val="auto"/>
        </w:rPr>
        <w:t xml:space="preserve"> or any Contaminant is discovered or the Borrower has reason to believe that there is some Contaminant on the Land requiring action to be taken under </w:t>
      </w:r>
      <w:r>
        <w:rPr>
          <w:rFonts w:ascii="Arial" w:cs="Arial" w:eastAsia="Arial" w:hAnsi="Arial"/>
          <w:sz w:val="11"/>
          <w:szCs w:val="11"/>
          <w:b w:val="1"/>
          <w:bCs w:val="1"/>
          <w:color w:val="auto"/>
        </w:rPr>
        <w:t>clause 9.9(a)(iv)</w:t>
      </w:r>
      <w:r>
        <w:rPr>
          <w:rFonts w:ascii="Arial" w:cs="Arial" w:eastAsia="Arial" w:hAnsi="Arial"/>
          <w:sz w:val="11"/>
          <w:szCs w:val="11"/>
          <w:color w:val="auto"/>
        </w:rPr>
        <w:t>, the Borrower must immediately notify the Bank.</w:t>
      </w:r>
    </w:p>
    <w:p>
      <w:pPr>
        <w:spacing w:after="0" w:line="3" w:lineRule="exact"/>
        <w:rPr>
          <w:rFonts w:ascii="Arial" w:cs="Arial" w:eastAsia="Arial" w:hAnsi="Arial"/>
          <w:sz w:val="11"/>
          <w:szCs w:val="11"/>
          <w:color w:val="auto"/>
        </w:rPr>
      </w:pPr>
    </w:p>
    <w:p>
      <w:pPr>
        <w:ind w:left="1080" w:hanging="280"/>
        <w:spacing w:after="0"/>
        <w:tabs>
          <w:tab w:leader="none" w:pos="1080" w:val="left"/>
        </w:tabs>
        <w:numPr>
          <w:ilvl w:val="0"/>
          <w:numId w:val="172"/>
        </w:numPr>
        <w:rPr>
          <w:rFonts w:ascii="Arial" w:cs="Arial" w:eastAsia="Arial" w:hAnsi="Arial"/>
          <w:sz w:val="11"/>
          <w:szCs w:val="11"/>
          <w:color w:val="auto"/>
        </w:rPr>
      </w:pPr>
      <w:r>
        <w:rPr>
          <w:rFonts w:ascii="Arial" w:cs="Arial" w:eastAsia="Arial" w:hAnsi="Arial"/>
          <w:sz w:val="11"/>
          <w:szCs w:val="11"/>
          <w:color w:val="auto"/>
        </w:rPr>
        <w:t>If there is or the Bank has reason to believe that there may be any</w:t>
      </w:r>
    </w:p>
    <w:p>
      <w:pPr>
        <w:spacing w:after="0" w:line="15" w:lineRule="exact"/>
        <w:rPr>
          <w:rFonts w:ascii="Arial" w:cs="Arial" w:eastAsia="Arial" w:hAnsi="Arial"/>
          <w:sz w:val="11"/>
          <w:szCs w:val="11"/>
          <w:color w:val="auto"/>
        </w:rPr>
      </w:pPr>
    </w:p>
    <w:p>
      <w:pPr>
        <w:ind w:left="1100" w:right="380"/>
        <w:spacing w:after="0" w:line="228" w:lineRule="auto"/>
        <w:rPr>
          <w:rFonts w:ascii="Arial" w:cs="Arial" w:eastAsia="Arial" w:hAnsi="Arial"/>
          <w:sz w:val="11"/>
          <w:szCs w:val="11"/>
          <w:color w:val="auto"/>
        </w:rPr>
      </w:pPr>
      <w:r>
        <w:rPr>
          <w:rFonts w:ascii="Arial" w:cs="Arial" w:eastAsia="Arial" w:hAnsi="Arial"/>
          <w:sz w:val="11"/>
          <w:szCs w:val="11"/>
          <w:color w:val="auto"/>
        </w:rPr>
        <w:t xml:space="preserve">non-compliance under </w:t>
      </w:r>
      <w:r>
        <w:rPr>
          <w:rFonts w:ascii="Arial" w:cs="Arial" w:eastAsia="Arial" w:hAnsi="Arial"/>
          <w:sz w:val="11"/>
          <w:szCs w:val="11"/>
          <w:b w:val="1"/>
          <w:bCs w:val="1"/>
          <w:color w:val="auto"/>
        </w:rPr>
        <w:t>clauses 9.9(a)(i)</w:t>
      </w:r>
      <w:r>
        <w:rPr>
          <w:rFonts w:ascii="Arial" w:cs="Arial" w:eastAsia="Arial" w:hAnsi="Arial"/>
          <w:sz w:val="11"/>
          <w:szCs w:val="11"/>
          <w:color w:val="auto"/>
        </w:rPr>
        <w:t xml:space="preserve">, </w:t>
      </w:r>
      <w:r>
        <w:rPr>
          <w:rFonts w:ascii="Arial" w:cs="Arial" w:eastAsia="Arial" w:hAnsi="Arial"/>
          <w:sz w:val="11"/>
          <w:szCs w:val="11"/>
          <w:b w:val="1"/>
          <w:bCs w:val="1"/>
          <w:color w:val="auto"/>
        </w:rPr>
        <w:t>(ii)</w:t>
      </w:r>
      <w:r>
        <w:rPr>
          <w:rFonts w:ascii="Arial" w:cs="Arial" w:eastAsia="Arial" w:hAnsi="Arial"/>
          <w:sz w:val="11"/>
          <w:szCs w:val="11"/>
          <w:color w:val="auto"/>
        </w:rPr>
        <w:t xml:space="preserve"> or </w:t>
      </w:r>
      <w:r>
        <w:rPr>
          <w:rFonts w:ascii="Arial" w:cs="Arial" w:eastAsia="Arial" w:hAnsi="Arial"/>
          <w:sz w:val="11"/>
          <w:szCs w:val="11"/>
          <w:b w:val="1"/>
          <w:bCs w:val="1"/>
          <w:color w:val="auto"/>
        </w:rPr>
        <w:t>(iii)</w:t>
      </w:r>
      <w:r>
        <w:rPr>
          <w:rFonts w:ascii="Arial" w:cs="Arial" w:eastAsia="Arial" w:hAnsi="Arial"/>
          <w:sz w:val="11"/>
          <w:szCs w:val="11"/>
          <w:color w:val="auto"/>
        </w:rPr>
        <w:t xml:space="preserve"> or any Contaminant is discovered or the Bank has reason to believe that there is some Contaminant on the Land requiring action to be taken under</w:t>
      </w:r>
    </w:p>
    <w:p>
      <w:pPr>
        <w:ind w:left="1100" w:right="2220"/>
        <w:spacing w:after="0" w:line="241" w:lineRule="auto"/>
        <w:rPr>
          <w:rFonts w:ascii="Arial" w:cs="Arial" w:eastAsia="Arial" w:hAnsi="Arial"/>
          <w:sz w:val="11"/>
          <w:szCs w:val="11"/>
          <w:color w:val="auto"/>
        </w:rPr>
      </w:pPr>
      <w:r>
        <w:rPr>
          <w:rFonts w:ascii="Arial" w:cs="Arial" w:eastAsia="Arial" w:hAnsi="Arial"/>
          <w:sz w:val="11"/>
          <w:szCs w:val="11"/>
          <w:b w:val="1"/>
          <w:bCs w:val="1"/>
          <w:color w:val="auto"/>
        </w:rPr>
        <w:t>clause 9.9(a)(iv)</w:t>
      </w:r>
      <w:r>
        <w:rPr>
          <w:rFonts w:ascii="Arial" w:cs="Arial" w:eastAsia="Arial" w:hAnsi="Arial"/>
          <w:sz w:val="11"/>
          <w:szCs w:val="11"/>
          <w:color w:val="auto"/>
        </w:rPr>
        <w:t>, the Borrower, at the request of the Bank, must procure and furnish to the Bank, in a form acceptable to</w:t>
      </w:r>
      <w:r>
        <w:rPr>
          <w:rFonts w:ascii="Arial" w:cs="Arial" w:eastAsia="Arial" w:hAnsi="Arial"/>
          <w:sz w:val="11"/>
          <w:szCs w:val="11"/>
          <w:b w:val="1"/>
          <w:bCs w:val="1"/>
          <w:color w:val="auto"/>
        </w:rPr>
        <w:t xml:space="preserve"> </w:t>
      </w:r>
      <w:r>
        <w:rPr>
          <w:rFonts w:ascii="Arial" w:cs="Arial" w:eastAsia="Arial" w:hAnsi="Arial"/>
          <w:sz w:val="11"/>
          <w:szCs w:val="11"/>
          <w:color w:val="auto"/>
        </w:rPr>
        <w:t>the Bank, an Environmental Assessment Report in relation to the Land and any operations conducted on it.</w:t>
      </w:r>
    </w:p>
    <w:p>
      <w:pPr>
        <w:spacing w:after="0" w:line="45" w:lineRule="exact"/>
        <w:rPr>
          <w:rFonts w:ascii="Arial" w:cs="Arial" w:eastAsia="Arial" w:hAnsi="Arial"/>
          <w:sz w:val="11"/>
          <w:szCs w:val="11"/>
          <w:color w:val="auto"/>
        </w:rPr>
      </w:pPr>
    </w:p>
    <w:p>
      <w:pPr>
        <w:ind w:left="1080" w:hanging="280"/>
        <w:spacing w:after="0"/>
        <w:tabs>
          <w:tab w:leader="none" w:pos="1080" w:val="left"/>
        </w:tabs>
        <w:numPr>
          <w:ilvl w:val="0"/>
          <w:numId w:val="172"/>
        </w:numPr>
        <w:rPr>
          <w:rFonts w:ascii="Arial" w:cs="Arial" w:eastAsia="Arial" w:hAnsi="Arial"/>
          <w:sz w:val="11"/>
          <w:szCs w:val="11"/>
          <w:color w:val="auto"/>
        </w:rPr>
      </w:pPr>
      <w:r>
        <w:rPr>
          <w:rFonts w:ascii="Arial" w:cs="Arial" w:eastAsia="Arial" w:hAnsi="Arial"/>
          <w:sz w:val="11"/>
          <w:szCs w:val="11"/>
          <w:color w:val="auto"/>
        </w:rPr>
        <w:t>The Borrower indemnifies the Bank from and against all:</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172"/>
        </w:numPr>
        <w:rPr>
          <w:rFonts w:ascii="Arial" w:cs="Arial" w:eastAsia="Arial" w:hAnsi="Arial"/>
          <w:sz w:val="11"/>
          <w:szCs w:val="11"/>
          <w:color w:val="auto"/>
        </w:rPr>
      </w:pPr>
      <w:r>
        <w:rPr>
          <w:rFonts w:ascii="Arial" w:cs="Arial" w:eastAsia="Arial" w:hAnsi="Arial"/>
          <w:sz w:val="11"/>
          <w:szCs w:val="11"/>
          <w:color w:val="auto"/>
        </w:rPr>
        <w:t>Environmental Liability; and</w:t>
      </w:r>
    </w:p>
    <w:p>
      <w:pPr>
        <w:spacing w:after="0" w:line="68" w:lineRule="exact"/>
        <w:rPr>
          <w:rFonts w:ascii="Arial" w:cs="Arial" w:eastAsia="Arial" w:hAnsi="Arial"/>
          <w:sz w:val="11"/>
          <w:szCs w:val="11"/>
          <w:color w:val="auto"/>
        </w:rPr>
      </w:pPr>
    </w:p>
    <w:p>
      <w:pPr>
        <w:ind w:left="1400" w:right="1080" w:hanging="285"/>
        <w:spacing w:after="0" w:line="256" w:lineRule="auto"/>
        <w:tabs>
          <w:tab w:leader="none" w:pos="1400" w:val="left"/>
        </w:tabs>
        <w:numPr>
          <w:ilvl w:val="1"/>
          <w:numId w:val="172"/>
        </w:numPr>
        <w:rPr>
          <w:rFonts w:ascii="Arial" w:cs="Arial" w:eastAsia="Arial" w:hAnsi="Arial"/>
          <w:sz w:val="11"/>
          <w:szCs w:val="11"/>
          <w:color w:val="auto"/>
        </w:rPr>
      </w:pPr>
      <w:r>
        <w:rPr>
          <w:rFonts w:ascii="Arial" w:cs="Arial" w:eastAsia="Arial" w:hAnsi="Arial"/>
          <w:sz w:val="11"/>
          <w:szCs w:val="11"/>
          <w:color w:val="auto"/>
        </w:rPr>
        <w:t>damages, losses, outgoings, costs, charges or expenses suffered or incurred by the Bank in respect of any action, claim or demand made or brought in respect of or otherwise arising from or in connection with any breach of any Environmental Law in relation to the Land.</w:t>
      </w:r>
    </w:p>
    <w:p>
      <w:pPr>
        <w:spacing w:after="0" w:line="30" w:lineRule="exact"/>
        <w:rPr>
          <w:rFonts w:ascii="Arial" w:cs="Arial" w:eastAsia="Arial" w:hAnsi="Arial"/>
          <w:sz w:val="11"/>
          <w:szCs w:val="11"/>
          <w:color w:val="auto"/>
        </w:rPr>
      </w:pPr>
    </w:p>
    <w:p>
      <w:pPr>
        <w:ind w:left="1080" w:hanging="280"/>
        <w:spacing w:after="0"/>
        <w:tabs>
          <w:tab w:leader="none" w:pos="1080" w:val="left"/>
        </w:tabs>
        <w:numPr>
          <w:ilvl w:val="0"/>
          <w:numId w:val="172"/>
        </w:numPr>
        <w:rPr>
          <w:rFonts w:ascii="Arial" w:cs="Arial" w:eastAsia="Arial" w:hAnsi="Arial"/>
          <w:sz w:val="11"/>
          <w:szCs w:val="11"/>
          <w:color w:val="auto"/>
        </w:rPr>
      </w:pPr>
      <w:r>
        <w:rPr>
          <w:rFonts w:ascii="Arial" w:cs="Arial" w:eastAsia="Arial" w:hAnsi="Arial"/>
          <w:sz w:val="11"/>
          <w:szCs w:val="11"/>
          <w:color w:val="auto"/>
        </w:rPr>
        <w:t>The Borrower must immediately notify the Bank of:</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172"/>
        </w:numPr>
        <w:rPr>
          <w:rFonts w:ascii="Arial" w:cs="Arial" w:eastAsia="Arial" w:hAnsi="Arial"/>
          <w:sz w:val="11"/>
          <w:szCs w:val="11"/>
          <w:color w:val="auto"/>
        </w:rPr>
      </w:pPr>
      <w:r>
        <w:rPr>
          <w:rFonts w:ascii="Arial" w:cs="Arial" w:eastAsia="Arial" w:hAnsi="Arial"/>
          <w:sz w:val="11"/>
          <w:szCs w:val="11"/>
          <w:color w:val="auto"/>
        </w:rPr>
        <w:t>the existence of any Contaminant on or adjacent to or affecting the Land; and</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72"/>
        </w:numPr>
        <w:rPr>
          <w:rFonts w:ascii="Arial" w:cs="Arial" w:eastAsia="Arial" w:hAnsi="Arial"/>
          <w:sz w:val="11"/>
          <w:szCs w:val="11"/>
          <w:color w:val="auto"/>
        </w:rPr>
      </w:pPr>
      <w:r>
        <w:rPr>
          <w:rFonts w:ascii="Arial" w:cs="Arial" w:eastAsia="Arial" w:hAnsi="Arial"/>
          <w:sz w:val="11"/>
          <w:szCs w:val="11"/>
          <w:color w:val="auto"/>
        </w:rPr>
        <w:t>the receipt by any Transaction Party of any notice, order or direction:</w:t>
      </w:r>
    </w:p>
    <w:p>
      <w:pPr>
        <w:spacing w:after="0" w:line="61" w:lineRule="exact"/>
        <w:rPr>
          <w:rFonts w:ascii="Arial" w:cs="Arial" w:eastAsia="Arial" w:hAnsi="Arial"/>
          <w:sz w:val="11"/>
          <w:szCs w:val="11"/>
          <w:color w:val="auto"/>
        </w:rPr>
      </w:pPr>
    </w:p>
    <w:p>
      <w:pPr>
        <w:ind w:left="1660" w:hanging="275"/>
        <w:spacing w:after="0"/>
        <w:tabs>
          <w:tab w:leader="none" w:pos="1660" w:val="left"/>
        </w:tabs>
        <w:numPr>
          <w:ilvl w:val="2"/>
          <w:numId w:val="172"/>
        </w:numPr>
        <w:rPr>
          <w:rFonts w:ascii="Arial" w:cs="Arial" w:eastAsia="Arial" w:hAnsi="Arial"/>
          <w:sz w:val="11"/>
          <w:szCs w:val="11"/>
          <w:color w:val="auto"/>
        </w:rPr>
      </w:pPr>
      <w:r>
        <w:rPr>
          <w:rFonts w:ascii="Arial" w:cs="Arial" w:eastAsia="Arial" w:hAnsi="Arial"/>
          <w:sz w:val="11"/>
          <w:szCs w:val="11"/>
          <w:color w:val="auto"/>
        </w:rPr>
        <w:t>to clean up any Contaminant on the Land; or</w:t>
      </w:r>
    </w:p>
    <w:p>
      <w:pPr>
        <w:spacing w:after="0" w:line="76" w:lineRule="exact"/>
        <w:rPr>
          <w:rFonts w:ascii="Arial" w:cs="Arial" w:eastAsia="Arial" w:hAnsi="Arial"/>
          <w:sz w:val="11"/>
          <w:szCs w:val="11"/>
          <w:color w:val="auto"/>
        </w:rPr>
      </w:pPr>
    </w:p>
    <w:p>
      <w:pPr>
        <w:ind w:left="1660" w:hanging="275"/>
        <w:spacing w:after="0"/>
        <w:tabs>
          <w:tab w:leader="none" w:pos="1660" w:val="left"/>
        </w:tabs>
        <w:numPr>
          <w:ilvl w:val="2"/>
          <w:numId w:val="172"/>
        </w:numPr>
        <w:rPr>
          <w:rFonts w:ascii="Arial" w:cs="Arial" w:eastAsia="Arial" w:hAnsi="Arial"/>
          <w:sz w:val="11"/>
          <w:szCs w:val="11"/>
          <w:color w:val="auto"/>
        </w:rPr>
      </w:pPr>
      <w:r>
        <w:rPr>
          <w:rFonts w:ascii="Arial" w:cs="Arial" w:eastAsia="Arial" w:hAnsi="Arial"/>
          <w:sz w:val="11"/>
          <w:szCs w:val="11"/>
          <w:color w:val="auto"/>
        </w:rPr>
        <w:t>alleging any breach of Environmental Law.</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00" w:type="dxa"/>
            <w:vAlign w:val="bottom"/>
          </w:tcPr>
          <w:p>
            <w:pPr>
              <w:ind w:left="3800"/>
              <w:spacing w:after="0"/>
              <w:rPr>
                <w:sz w:val="20"/>
                <w:szCs w:val="20"/>
                <w:color w:val="auto"/>
              </w:rPr>
            </w:pPr>
            <w:r>
              <w:rPr>
                <w:rFonts w:ascii="Arial" w:cs="Arial" w:eastAsia="Arial" w:hAnsi="Arial"/>
                <w:sz w:val="8"/>
                <w:szCs w:val="8"/>
                <w:color w:val="auto"/>
                <w:w w:val="96"/>
              </w:rPr>
              <w:t>page 50</w:t>
            </w:r>
          </w:p>
        </w:tc>
      </w:tr>
      <w:tr>
        <w:trPr>
          <w:trHeight w:val="94"/>
        </w:trPr>
        <w:tc>
          <w:tcPr>
            <w:tcW w:w="51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0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565" w:right="1260" w:bottom="1440" w:gutter="0" w:footer="0" w:header="0"/>
        </w:sectPr>
      </w:pPr>
    </w:p>
    <w:bookmarkStart w:id="118" w:name="page119"/>
    <w:bookmarkEnd w:id="118"/>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80" w:hanging="280"/>
        <w:spacing w:after="0"/>
        <w:tabs>
          <w:tab w:leader="none" w:pos="1080" w:val="left"/>
        </w:tabs>
        <w:numPr>
          <w:ilvl w:val="0"/>
          <w:numId w:val="173"/>
        </w:numPr>
        <w:rPr>
          <w:rFonts w:ascii="Arial" w:cs="Arial" w:eastAsia="Arial" w:hAnsi="Arial"/>
          <w:sz w:val="11"/>
          <w:szCs w:val="11"/>
          <w:color w:val="auto"/>
        </w:rPr>
      </w:pPr>
      <w:r>
        <w:rPr>
          <w:rFonts w:ascii="Arial" w:cs="Arial" w:eastAsia="Arial" w:hAnsi="Arial"/>
          <w:sz w:val="11"/>
          <w:szCs w:val="11"/>
          <w:color w:val="auto"/>
        </w:rPr>
        <w:t>If requested by the Bank, the Borrower must provide the Bank with a copy of each</w:t>
      </w:r>
    </w:p>
    <w:p>
      <w:pPr>
        <w:spacing w:after="0" w:line="1" w:lineRule="exact"/>
        <w:rPr>
          <w:rFonts w:ascii="Arial" w:cs="Arial" w:eastAsia="Arial" w:hAnsi="Arial"/>
          <w:sz w:val="11"/>
          <w:szCs w:val="11"/>
          <w:color w:val="auto"/>
        </w:rPr>
      </w:pPr>
    </w:p>
    <w:p>
      <w:pPr>
        <w:ind w:left="1080"/>
        <w:spacing w:after="0"/>
        <w:rPr>
          <w:rFonts w:ascii="Arial" w:cs="Arial" w:eastAsia="Arial" w:hAnsi="Arial"/>
          <w:sz w:val="11"/>
          <w:szCs w:val="11"/>
          <w:color w:val="auto"/>
        </w:rPr>
      </w:pPr>
      <w:r>
        <w:rPr>
          <w:rFonts w:ascii="Arial" w:cs="Arial" w:eastAsia="Arial" w:hAnsi="Arial"/>
          <w:sz w:val="11"/>
          <w:szCs w:val="11"/>
          <w:color w:val="auto"/>
        </w:rPr>
        <w:t>environmental consent, permit, approval, licence, authorisation, certification, order and direction relating to the Land together with confirmation that:</w:t>
      </w:r>
    </w:p>
    <w:p>
      <w:pPr>
        <w:spacing w:after="0" w:line="38" w:lineRule="exact"/>
        <w:rPr>
          <w:rFonts w:ascii="Arial" w:cs="Arial" w:eastAsia="Arial" w:hAnsi="Arial"/>
          <w:sz w:val="11"/>
          <w:szCs w:val="11"/>
          <w:color w:val="auto"/>
        </w:rPr>
      </w:pPr>
    </w:p>
    <w:p>
      <w:pPr>
        <w:ind w:left="1400" w:hanging="285"/>
        <w:spacing w:after="0"/>
        <w:tabs>
          <w:tab w:leader="none" w:pos="1400" w:val="left"/>
        </w:tabs>
        <w:numPr>
          <w:ilvl w:val="1"/>
          <w:numId w:val="173"/>
        </w:numPr>
        <w:rPr>
          <w:rFonts w:ascii="Arial" w:cs="Arial" w:eastAsia="Arial" w:hAnsi="Arial"/>
          <w:sz w:val="11"/>
          <w:szCs w:val="11"/>
          <w:color w:val="auto"/>
        </w:rPr>
      </w:pPr>
      <w:r>
        <w:rPr>
          <w:rFonts w:ascii="Arial" w:cs="Arial" w:eastAsia="Arial" w:hAnsi="Arial"/>
          <w:sz w:val="11"/>
          <w:szCs w:val="11"/>
          <w:color w:val="auto"/>
        </w:rPr>
        <w:t>it is complying with the terms and conditions of each consent, permit, approval, licence, authorisation, certification, order and direction; and</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73"/>
        </w:numPr>
        <w:rPr>
          <w:rFonts w:ascii="Arial" w:cs="Arial" w:eastAsia="Arial" w:hAnsi="Arial"/>
          <w:sz w:val="11"/>
          <w:szCs w:val="11"/>
          <w:color w:val="auto"/>
        </w:rPr>
      </w:pPr>
      <w:r>
        <w:rPr>
          <w:rFonts w:ascii="Arial" w:cs="Arial" w:eastAsia="Arial" w:hAnsi="Arial"/>
          <w:sz w:val="11"/>
          <w:szCs w:val="11"/>
          <w:color w:val="auto"/>
        </w:rPr>
        <w:t>it has renewed each consent, permit, approval, licence, authorisation, certification, order and direction as appropriate.</w:t>
      </w:r>
    </w:p>
    <w:p>
      <w:pPr>
        <w:spacing w:after="0" w:line="53" w:lineRule="exact"/>
        <w:rPr>
          <w:rFonts w:ascii="Arial" w:cs="Arial" w:eastAsia="Arial" w:hAnsi="Arial"/>
          <w:sz w:val="11"/>
          <w:szCs w:val="11"/>
          <w:color w:val="auto"/>
        </w:rPr>
      </w:pPr>
    </w:p>
    <w:p>
      <w:pPr>
        <w:ind w:left="1080" w:hanging="280"/>
        <w:spacing w:after="0"/>
        <w:tabs>
          <w:tab w:leader="none" w:pos="1080" w:val="left"/>
        </w:tabs>
        <w:numPr>
          <w:ilvl w:val="0"/>
          <w:numId w:val="173"/>
        </w:numPr>
        <w:rPr>
          <w:rFonts w:ascii="Arial" w:cs="Arial" w:eastAsia="Arial" w:hAnsi="Arial"/>
          <w:sz w:val="11"/>
          <w:szCs w:val="11"/>
          <w:color w:val="auto"/>
        </w:rPr>
      </w:pPr>
      <w:r>
        <w:rPr>
          <w:rFonts w:ascii="Arial" w:cs="Arial" w:eastAsia="Arial" w:hAnsi="Arial"/>
          <w:sz w:val="11"/>
          <w:szCs w:val="11"/>
          <w:color w:val="auto"/>
        </w:rPr>
        <w:t>The Borrower must:</w:t>
      </w:r>
    </w:p>
    <w:p>
      <w:pPr>
        <w:spacing w:after="0" w:line="68" w:lineRule="exact"/>
        <w:rPr>
          <w:rFonts w:ascii="Arial" w:cs="Arial" w:eastAsia="Arial" w:hAnsi="Arial"/>
          <w:sz w:val="11"/>
          <w:szCs w:val="11"/>
          <w:color w:val="auto"/>
        </w:rPr>
      </w:pPr>
    </w:p>
    <w:p>
      <w:pPr>
        <w:ind w:left="1400" w:right="540" w:hanging="285"/>
        <w:spacing w:after="0" w:line="256" w:lineRule="auto"/>
        <w:tabs>
          <w:tab w:leader="none" w:pos="1400" w:val="left"/>
        </w:tabs>
        <w:numPr>
          <w:ilvl w:val="1"/>
          <w:numId w:val="173"/>
        </w:numPr>
        <w:rPr>
          <w:rFonts w:ascii="Arial" w:cs="Arial" w:eastAsia="Arial" w:hAnsi="Arial"/>
          <w:sz w:val="11"/>
          <w:szCs w:val="11"/>
          <w:color w:val="auto"/>
        </w:rPr>
      </w:pPr>
      <w:r>
        <w:rPr>
          <w:rFonts w:ascii="Arial" w:cs="Arial" w:eastAsia="Arial" w:hAnsi="Arial"/>
          <w:sz w:val="11"/>
          <w:szCs w:val="11"/>
          <w:color w:val="auto"/>
        </w:rPr>
        <w:t>when reasonably required by the Bank, obtain or permit the Bank to obtain an Environmental Assessment Report from a person approved by the Bank in relation to the Land; and</w:t>
      </w:r>
    </w:p>
    <w:p>
      <w:pPr>
        <w:spacing w:after="0" w:line="22" w:lineRule="exact"/>
        <w:rPr>
          <w:rFonts w:ascii="Arial" w:cs="Arial" w:eastAsia="Arial" w:hAnsi="Arial"/>
          <w:sz w:val="11"/>
          <w:szCs w:val="11"/>
          <w:color w:val="auto"/>
        </w:rPr>
      </w:pPr>
    </w:p>
    <w:p>
      <w:pPr>
        <w:ind w:left="1400" w:right="440" w:hanging="285"/>
        <w:spacing w:after="0" w:line="235" w:lineRule="auto"/>
        <w:tabs>
          <w:tab w:leader="none" w:pos="1400" w:val="left"/>
        </w:tabs>
        <w:numPr>
          <w:ilvl w:val="1"/>
          <w:numId w:val="173"/>
        </w:numPr>
        <w:rPr>
          <w:rFonts w:ascii="Arial" w:cs="Arial" w:eastAsia="Arial" w:hAnsi="Arial"/>
          <w:sz w:val="11"/>
          <w:szCs w:val="11"/>
          <w:color w:val="auto"/>
        </w:rPr>
      </w:pPr>
      <w:r>
        <w:rPr>
          <w:rFonts w:ascii="Arial" w:cs="Arial" w:eastAsia="Arial" w:hAnsi="Arial"/>
          <w:sz w:val="11"/>
          <w:szCs w:val="11"/>
          <w:color w:val="auto"/>
        </w:rPr>
        <w:t>promptly comply with any reasonable recommendation contained in any Environmental Assessment Report relating to compliance with Environmental Law in relation to the Land and obtain any consent, permit, approval, licence, authorisation, certification, order and direction required in order to comply</w:t>
      </w:r>
    </w:p>
    <w:p>
      <w:pPr>
        <w:ind w:left="1400"/>
        <w:spacing w:after="0"/>
        <w:rPr>
          <w:rFonts w:ascii="Arial" w:cs="Arial" w:eastAsia="Arial" w:hAnsi="Arial"/>
          <w:sz w:val="11"/>
          <w:szCs w:val="11"/>
          <w:color w:val="auto"/>
        </w:rPr>
      </w:pPr>
      <w:r>
        <w:rPr>
          <w:rFonts w:ascii="Arial" w:cs="Arial" w:eastAsia="Arial" w:hAnsi="Arial"/>
          <w:sz w:val="11"/>
          <w:szCs w:val="11"/>
          <w:color w:val="auto"/>
        </w:rPr>
        <w:t>with that recommendation.</w:t>
      </w:r>
    </w:p>
    <w:p>
      <w:pPr>
        <w:spacing w:after="0" w:line="70"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9.10</w:t>
        <w:tab/>
        <w:t>No default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Borrower must ensure that an Event of Default does not occur.</w:t>
      </w:r>
    </w:p>
    <w:p>
      <w:pPr>
        <w:spacing w:after="0" w:line="101"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9.11</w:t>
      </w:r>
      <w:r>
        <w:rPr>
          <w:sz w:val="20"/>
          <w:szCs w:val="20"/>
          <w:color w:val="auto"/>
        </w:rPr>
        <w:tab/>
      </w:r>
      <w:r>
        <w:rPr>
          <w:rFonts w:ascii="Arial" w:cs="Arial" w:eastAsia="Arial" w:hAnsi="Arial"/>
          <w:sz w:val="11"/>
          <w:szCs w:val="11"/>
          <w:b w:val="1"/>
          <w:bCs w:val="1"/>
          <w:color w:val="auto"/>
        </w:rPr>
        <w:t>Obligations of Trustees</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If a Transaction Party is a Trustee the Borrower must ensure that it:</w:t>
      </w:r>
    </w:p>
    <w:p>
      <w:pPr>
        <w:spacing w:after="0" w:line="69" w:lineRule="exact"/>
        <w:rPr>
          <w:sz w:val="20"/>
          <w:szCs w:val="20"/>
          <w:color w:val="auto"/>
        </w:rPr>
      </w:pPr>
    </w:p>
    <w:p>
      <w:pPr>
        <w:ind w:left="1080" w:hanging="280"/>
        <w:spacing w:after="0"/>
        <w:tabs>
          <w:tab w:leader="none" w:pos="1080" w:val="left"/>
        </w:tabs>
        <w:numPr>
          <w:ilvl w:val="0"/>
          <w:numId w:val="174"/>
        </w:numPr>
        <w:rPr>
          <w:rFonts w:ascii="Arial" w:cs="Arial" w:eastAsia="Arial" w:hAnsi="Arial"/>
          <w:sz w:val="11"/>
          <w:szCs w:val="11"/>
          <w:color w:val="auto"/>
        </w:rPr>
      </w:pPr>
      <w:r>
        <w:rPr>
          <w:rFonts w:ascii="Arial" w:cs="Arial" w:eastAsia="Arial" w:hAnsi="Arial"/>
          <w:sz w:val="11"/>
          <w:szCs w:val="11"/>
          <w:color w:val="auto"/>
        </w:rPr>
        <w:t>ensures that the property of the Trust is not mixed with any other property;</w:t>
      </w:r>
    </w:p>
    <w:p>
      <w:pPr>
        <w:spacing w:after="0" w:line="53" w:lineRule="exact"/>
        <w:rPr>
          <w:rFonts w:ascii="Arial" w:cs="Arial" w:eastAsia="Arial" w:hAnsi="Arial"/>
          <w:sz w:val="11"/>
          <w:szCs w:val="11"/>
          <w:color w:val="auto"/>
        </w:rPr>
      </w:pPr>
    </w:p>
    <w:p>
      <w:pPr>
        <w:ind w:left="1080" w:hanging="280"/>
        <w:spacing w:after="0"/>
        <w:tabs>
          <w:tab w:leader="none" w:pos="1080" w:val="left"/>
        </w:tabs>
        <w:numPr>
          <w:ilvl w:val="0"/>
          <w:numId w:val="174"/>
        </w:numPr>
        <w:rPr>
          <w:rFonts w:ascii="Arial" w:cs="Arial" w:eastAsia="Arial" w:hAnsi="Arial"/>
          <w:sz w:val="11"/>
          <w:szCs w:val="11"/>
          <w:color w:val="auto"/>
        </w:rPr>
      </w:pPr>
      <w:r>
        <w:rPr>
          <w:rFonts w:ascii="Arial" w:cs="Arial" w:eastAsia="Arial" w:hAnsi="Arial"/>
          <w:sz w:val="11"/>
          <w:szCs w:val="11"/>
          <w:color w:val="auto"/>
        </w:rPr>
        <w:t>complies with its obligations as trustee of the Trust;</w:t>
      </w:r>
    </w:p>
    <w:p>
      <w:pPr>
        <w:spacing w:after="0" w:line="69" w:lineRule="exact"/>
        <w:rPr>
          <w:sz w:val="20"/>
          <w:szCs w:val="20"/>
          <w:color w:val="auto"/>
        </w:rPr>
      </w:pPr>
    </w:p>
    <w:p>
      <w:pPr>
        <w:ind w:left="1080" w:right="360" w:hanging="279"/>
        <w:spacing w:after="0" w:line="256" w:lineRule="auto"/>
        <w:tabs>
          <w:tab w:leader="none" w:pos="1060" w:val="left"/>
        </w:tabs>
        <w:rPr>
          <w:sz w:val="20"/>
          <w:szCs w:val="20"/>
          <w:color w:val="auto"/>
        </w:rPr>
      </w:pPr>
      <w:r>
        <w:rPr>
          <w:rFonts w:ascii="Arial" w:cs="Arial" w:eastAsia="Arial" w:hAnsi="Arial"/>
          <w:sz w:val="11"/>
          <w:szCs w:val="11"/>
          <w:color w:val="auto"/>
        </w:rPr>
        <w:t>(c)</w:t>
      </w:r>
      <w:r>
        <w:rPr>
          <w:sz w:val="20"/>
          <w:szCs w:val="20"/>
          <w:color w:val="auto"/>
        </w:rPr>
        <w:tab/>
      </w:r>
      <w:r>
        <w:rPr>
          <w:rFonts w:ascii="Arial" w:cs="Arial" w:eastAsia="Arial" w:hAnsi="Arial"/>
          <w:sz w:val="11"/>
          <w:szCs w:val="11"/>
          <w:color w:val="auto"/>
        </w:rPr>
        <w:t>does not release, dispose of or otherwise prejudice its right of indemnity against, and equitable lien over, the property of the Trust and its right of indemnity (if any) against the beneficiaries of the Trust in relation to any money owing to the Bank;</w:t>
      </w:r>
    </w:p>
    <w:p>
      <w:pPr>
        <w:spacing w:after="0" w:line="38" w:lineRule="exact"/>
        <w:rPr>
          <w:sz w:val="20"/>
          <w:szCs w:val="20"/>
          <w:color w:val="auto"/>
        </w:rPr>
      </w:pPr>
    </w:p>
    <w:p>
      <w:pPr>
        <w:ind w:left="1080" w:hanging="280"/>
        <w:spacing w:after="0"/>
        <w:tabs>
          <w:tab w:leader="none" w:pos="1080" w:val="left"/>
        </w:tabs>
        <w:numPr>
          <w:ilvl w:val="0"/>
          <w:numId w:val="175"/>
        </w:numPr>
        <w:rPr>
          <w:rFonts w:ascii="Arial" w:cs="Arial" w:eastAsia="Arial" w:hAnsi="Arial"/>
          <w:sz w:val="11"/>
          <w:szCs w:val="11"/>
          <w:color w:val="auto"/>
        </w:rPr>
      </w:pPr>
      <w:r>
        <w:rPr>
          <w:rFonts w:ascii="Arial" w:cs="Arial" w:eastAsia="Arial" w:hAnsi="Arial"/>
          <w:sz w:val="11"/>
          <w:szCs w:val="11"/>
          <w:color w:val="auto"/>
        </w:rPr>
        <w:t>at the Bank’s request:</w:t>
      </w:r>
    </w:p>
    <w:p>
      <w:pPr>
        <w:spacing w:after="0" w:line="68" w:lineRule="exact"/>
        <w:rPr>
          <w:rFonts w:ascii="Arial" w:cs="Arial" w:eastAsia="Arial" w:hAnsi="Arial"/>
          <w:sz w:val="11"/>
          <w:szCs w:val="11"/>
          <w:color w:val="auto"/>
        </w:rPr>
      </w:pPr>
    </w:p>
    <w:p>
      <w:pPr>
        <w:ind w:left="1400" w:right="620" w:hanging="285"/>
        <w:spacing w:after="0" w:line="256" w:lineRule="auto"/>
        <w:tabs>
          <w:tab w:leader="none" w:pos="1400" w:val="left"/>
        </w:tabs>
        <w:numPr>
          <w:ilvl w:val="1"/>
          <w:numId w:val="175"/>
        </w:numPr>
        <w:rPr>
          <w:rFonts w:ascii="Arial" w:cs="Arial" w:eastAsia="Arial" w:hAnsi="Arial"/>
          <w:sz w:val="11"/>
          <w:szCs w:val="11"/>
          <w:color w:val="auto"/>
        </w:rPr>
      </w:pPr>
      <w:r>
        <w:rPr>
          <w:rFonts w:ascii="Arial" w:cs="Arial" w:eastAsia="Arial" w:hAnsi="Arial"/>
          <w:sz w:val="11"/>
          <w:szCs w:val="11"/>
          <w:color w:val="auto"/>
        </w:rPr>
        <w:t>exercises its right of indemnity against, and equitable lien over, the property of the Trust and its right of indemnity (if any) against the beneficiaries of the Trust in relation to any money owing to the Bank; and</w:t>
      </w:r>
    </w:p>
    <w:p>
      <w:pPr>
        <w:spacing w:after="0" w:line="22" w:lineRule="exact"/>
        <w:rPr>
          <w:rFonts w:ascii="Arial" w:cs="Arial" w:eastAsia="Arial" w:hAnsi="Arial"/>
          <w:sz w:val="11"/>
          <w:szCs w:val="11"/>
          <w:color w:val="auto"/>
        </w:rPr>
      </w:pPr>
    </w:p>
    <w:p>
      <w:pPr>
        <w:ind w:left="1400" w:right="520" w:hanging="285"/>
        <w:spacing w:after="0" w:line="256" w:lineRule="auto"/>
        <w:tabs>
          <w:tab w:leader="none" w:pos="1400" w:val="left"/>
        </w:tabs>
        <w:numPr>
          <w:ilvl w:val="1"/>
          <w:numId w:val="175"/>
        </w:numPr>
        <w:rPr>
          <w:rFonts w:ascii="Arial" w:cs="Arial" w:eastAsia="Arial" w:hAnsi="Arial"/>
          <w:sz w:val="11"/>
          <w:szCs w:val="11"/>
          <w:color w:val="auto"/>
        </w:rPr>
      </w:pPr>
      <w:r>
        <w:rPr>
          <w:rFonts w:ascii="Arial" w:cs="Arial" w:eastAsia="Arial" w:hAnsi="Arial"/>
          <w:sz w:val="11"/>
          <w:szCs w:val="11"/>
          <w:color w:val="auto"/>
        </w:rPr>
        <w:t>assigns to the Bank those indemnities and that equitable lien and otherwise facilitates the subrogation of the Bank to those indemnities and that equitable lien;</w:t>
      </w:r>
    </w:p>
    <w:p>
      <w:pPr>
        <w:spacing w:after="0" w:line="30" w:lineRule="exact"/>
        <w:rPr>
          <w:rFonts w:ascii="Arial" w:cs="Arial" w:eastAsia="Arial" w:hAnsi="Arial"/>
          <w:sz w:val="11"/>
          <w:szCs w:val="11"/>
          <w:color w:val="auto"/>
        </w:rPr>
      </w:pPr>
    </w:p>
    <w:p>
      <w:pPr>
        <w:ind w:left="1080" w:hanging="280"/>
        <w:spacing w:after="0"/>
        <w:tabs>
          <w:tab w:leader="none" w:pos="1080" w:val="left"/>
        </w:tabs>
        <w:numPr>
          <w:ilvl w:val="0"/>
          <w:numId w:val="175"/>
        </w:numPr>
        <w:rPr>
          <w:rFonts w:ascii="Arial" w:cs="Arial" w:eastAsia="Arial" w:hAnsi="Arial"/>
          <w:sz w:val="11"/>
          <w:szCs w:val="11"/>
          <w:color w:val="auto"/>
        </w:rPr>
      </w:pPr>
      <w:r>
        <w:rPr>
          <w:rFonts w:ascii="Arial" w:cs="Arial" w:eastAsia="Arial" w:hAnsi="Arial"/>
          <w:sz w:val="11"/>
          <w:szCs w:val="11"/>
          <w:color w:val="auto"/>
        </w:rPr>
        <w:t>does not, if the Trust is a unit trust, consent to or register the transfer of units in the Trust or cancel, repurchase, redeem or issue any units in the Trust;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51</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19" w:name="page120"/>
    <w:bookmarkEnd w:id="119"/>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80" w:hanging="280"/>
        <w:spacing w:after="0"/>
        <w:tabs>
          <w:tab w:leader="none" w:pos="1080" w:val="left"/>
        </w:tabs>
        <w:numPr>
          <w:ilvl w:val="0"/>
          <w:numId w:val="176"/>
        </w:numPr>
        <w:rPr>
          <w:rFonts w:ascii="Arial" w:cs="Arial" w:eastAsia="Arial" w:hAnsi="Arial"/>
          <w:sz w:val="11"/>
          <w:szCs w:val="11"/>
          <w:color w:val="auto"/>
        </w:rPr>
      </w:pPr>
      <w:r>
        <w:rPr>
          <w:rFonts w:ascii="Arial" w:cs="Arial" w:eastAsia="Arial" w:hAnsi="Arial"/>
          <w:sz w:val="11"/>
          <w:szCs w:val="11"/>
          <w:color w:val="auto"/>
        </w:rPr>
        <w:t>ensures that:</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176"/>
        </w:numPr>
        <w:rPr>
          <w:rFonts w:ascii="Arial" w:cs="Arial" w:eastAsia="Arial" w:hAnsi="Arial"/>
          <w:sz w:val="11"/>
          <w:szCs w:val="11"/>
          <w:color w:val="auto"/>
        </w:rPr>
      </w:pPr>
      <w:r>
        <w:rPr>
          <w:rFonts w:ascii="Arial" w:cs="Arial" w:eastAsia="Arial" w:hAnsi="Arial"/>
          <w:sz w:val="11"/>
          <w:szCs w:val="11"/>
          <w:color w:val="auto"/>
        </w:rPr>
        <w:t>another person is not appointed as trustee of the Trust;</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176"/>
        </w:numPr>
        <w:rPr>
          <w:rFonts w:ascii="Arial" w:cs="Arial" w:eastAsia="Arial" w:hAnsi="Arial"/>
          <w:sz w:val="11"/>
          <w:szCs w:val="11"/>
          <w:color w:val="auto"/>
        </w:rPr>
      </w:pPr>
      <w:r>
        <w:rPr>
          <w:rFonts w:ascii="Arial" w:cs="Arial" w:eastAsia="Arial" w:hAnsi="Arial"/>
          <w:sz w:val="11"/>
          <w:szCs w:val="11"/>
          <w:color w:val="auto"/>
        </w:rPr>
        <w:t>the Trust is not terminated or its terms varied;</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176"/>
        </w:numPr>
        <w:rPr>
          <w:rFonts w:ascii="Arial" w:cs="Arial" w:eastAsia="Arial" w:hAnsi="Arial"/>
          <w:sz w:val="11"/>
          <w:szCs w:val="11"/>
          <w:color w:val="auto"/>
        </w:rPr>
      </w:pPr>
      <w:r>
        <w:rPr>
          <w:rFonts w:ascii="Arial" w:cs="Arial" w:eastAsia="Arial" w:hAnsi="Arial"/>
          <w:sz w:val="11"/>
          <w:szCs w:val="11"/>
          <w:color w:val="auto"/>
        </w:rPr>
        <w:t>the Trustee does not resign and is not removed or replaced as trustee of the Trust;</w:t>
      </w:r>
    </w:p>
    <w:p>
      <w:pPr>
        <w:spacing w:after="0" w:line="53" w:lineRule="exact"/>
        <w:rPr>
          <w:rFonts w:ascii="Arial" w:cs="Arial" w:eastAsia="Arial" w:hAnsi="Arial"/>
          <w:sz w:val="11"/>
          <w:szCs w:val="11"/>
          <w:color w:val="auto"/>
        </w:rPr>
      </w:pPr>
    </w:p>
    <w:p>
      <w:pPr>
        <w:ind w:left="1400" w:hanging="285"/>
        <w:spacing w:after="0"/>
        <w:tabs>
          <w:tab w:leader="none" w:pos="1400" w:val="left"/>
        </w:tabs>
        <w:numPr>
          <w:ilvl w:val="1"/>
          <w:numId w:val="176"/>
        </w:numPr>
        <w:rPr>
          <w:rFonts w:ascii="Arial" w:cs="Arial" w:eastAsia="Arial" w:hAnsi="Arial"/>
          <w:sz w:val="11"/>
          <w:szCs w:val="11"/>
          <w:color w:val="auto"/>
        </w:rPr>
      </w:pPr>
      <w:r>
        <w:rPr>
          <w:rFonts w:ascii="Arial" w:cs="Arial" w:eastAsia="Arial" w:hAnsi="Arial"/>
          <w:sz w:val="11"/>
          <w:szCs w:val="11"/>
          <w:color w:val="auto"/>
        </w:rPr>
        <w:t>the property of the Trust is not resettled;</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176"/>
        </w:numPr>
        <w:rPr>
          <w:rFonts w:ascii="Arial" w:cs="Arial" w:eastAsia="Arial" w:hAnsi="Arial"/>
          <w:sz w:val="11"/>
          <w:szCs w:val="11"/>
          <w:color w:val="auto"/>
        </w:rPr>
      </w:pPr>
      <w:r>
        <w:rPr>
          <w:rFonts w:ascii="Arial" w:cs="Arial" w:eastAsia="Arial" w:hAnsi="Arial"/>
          <w:sz w:val="11"/>
          <w:szCs w:val="11"/>
          <w:color w:val="auto"/>
        </w:rPr>
        <w:t>the capital of the property of the Trust is not distributed at any time; and</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76"/>
        </w:numPr>
        <w:rPr>
          <w:rFonts w:ascii="Arial" w:cs="Arial" w:eastAsia="Arial" w:hAnsi="Arial"/>
          <w:sz w:val="11"/>
          <w:szCs w:val="11"/>
          <w:color w:val="auto"/>
        </w:rPr>
      </w:pPr>
      <w:r>
        <w:rPr>
          <w:rFonts w:ascii="Arial" w:cs="Arial" w:eastAsia="Arial" w:hAnsi="Arial"/>
          <w:sz w:val="11"/>
          <w:szCs w:val="11"/>
          <w:color w:val="auto"/>
        </w:rPr>
        <w:t>income of the Trust is not distributed to anyone other than a Transaction Party while an Event of Default or Potential Event of Default subsists;</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176"/>
        </w:numPr>
        <w:rPr>
          <w:rFonts w:ascii="Arial" w:cs="Arial" w:eastAsia="Arial" w:hAnsi="Arial"/>
          <w:sz w:val="11"/>
          <w:szCs w:val="11"/>
          <w:color w:val="auto"/>
        </w:rPr>
      </w:pPr>
      <w:r>
        <w:rPr>
          <w:rFonts w:ascii="Arial" w:cs="Arial" w:eastAsia="Arial" w:hAnsi="Arial"/>
          <w:sz w:val="11"/>
          <w:szCs w:val="11"/>
          <w:color w:val="auto"/>
        </w:rPr>
        <w:t>prepares and keeps full and true records and books of accounts of the Trust and makes them available for inspection and copying by the Bank on demand; and</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176"/>
        </w:numPr>
        <w:rPr>
          <w:rFonts w:ascii="Arial" w:cs="Arial" w:eastAsia="Arial" w:hAnsi="Arial"/>
          <w:sz w:val="11"/>
          <w:szCs w:val="11"/>
          <w:color w:val="auto"/>
        </w:rPr>
      </w:pPr>
      <w:r>
        <w:rPr>
          <w:rFonts w:ascii="Arial" w:cs="Arial" w:eastAsia="Arial" w:hAnsi="Arial"/>
          <w:sz w:val="11"/>
          <w:szCs w:val="11"/>
          <w:color w:val="auto"/>
        </w:rPr>
        <w:t>does not default in performing or observing its obligations under the Transaction Documents.</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9.12</w:t>
      </w:r>
      <w:r>
        <w:rPr>
          <w:sz w:val="20"/>
          <w:szCs w:val="20"/>
          <w:color w:val="auto"/>
        </w:rPr>
        <w:tab/>
      </w:r>
      <w:r>
        <w:rPr>
          <w:rFonts w:ascii="Arial" w:cs="Arial" w:eastAsia="Arial" w:hAnsi="Arial"/>
          <w:sz w:val="11"/>
          <w:szCs w:val="11"/>
          <w:b w:val="1"/>
          <w:bCs w:val="1"/>
          <w:color w:val="auto"/>
        </w:rPr>
        <w:t>Release for Permitted Disposals</w:t>
      </w:r>
    </w:p>
    <w:p>
      <w:pPr>
        <w:spacing w:after="0" w:line="47" w:lineRule="exact"/>
        <w:rPr>
          <w:sz w:val="20"/>
          <w:szCs w:val="20"/>
          <w:color w:val="auto"/>
        </w:rPr>
      </w:pPr>
    </w:p>
    <w:p>
      <w:pPr>
        <w:ind w:left="840" w:right="560"/>
        <w:spacing w:after="0" w:line="256" w:lineRule="auto"/>
        <w:rPr>
          <w:sz w:val="20"/>
          <w:szCs w:val="20"/>
          <w:color w:val="auto"/>
        </w:rPr>
      </w:pPr>
      <w:r>
        <w:rPr>
          <w:rFonts w:ascii="Arial" w:cs="Arial" w:eastAsia="Arial" w:hAnsi="Arial"/>
          <w:sz w:val="11"/>
          <w:szCs w:val="11"/>
          <w:color w:val="auto"/>
        </w:rPr>
        <w:t>The Bank must on request from (and at the cost of) a Transaction Party release from the Collateral Security that part of the Secured Property that is the subject of a Permitted Disposal (other than a Permitted Disposal of the kind referred to in paragraph (a) of that term's definition).</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 xml:space="preserve">9.13 </w:t>
      </w:r>
      <w:r>
        <w:rPr>
          <w:rFonts w:ascii="Arial" w:cs="Arial" w:eastAsia="Arial" w:hAnsi="Arial"/>
          <w:sz w:val="12"/>
          <w:szCs w:val="12"/>
          <w:b w:val="1"/>
          <w:bCs w:val="1"/>
          <w:color w:val="B5082D"/>
          <w:strike w:val="1"/>
        </w:rPr>
        <w:t>Net Sale Proceeds</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B5082D"/>
          <w:strike w:val="1"/>
        </w:rPr>
        <w:t>Each Transaction Party must, in relation to the Net Sale Proceeds, ensure that Reading Entertainment Australia Group retains:</w:t>
      </w:r>
    </w:p>
    <w:p>
      <w:pPr>
        <w:spacing w:after="0" w:line="78" w:lineRule="exact"/>
        <w:rPr>
          <w:sz w:val="20"/>
          <w:szCs w:val="20"/>
          <w:color w:val="auto"/>
        </w:rPr>
      </w:pPr>
    </w:p>
    <w:p>
      <w:pPr>
        <w:ind w:left="800"/>
        <w:spacing w:after="0"/>
        <w:tabs>
          <w:tab w:leader="none" w:pos="1680" w:val="left"/>
          <w:tab w:leader="none" w:pos="5380" w:val="left"/>
        </w:tabs>
        <w:rPr>
          <w:sz w:val="20"/>
          <w:szCs w:val="20"/>
          <w:color w:val="auto"/>
        </w:rPr>
      </w:pPr>
      <w:r>
        <w:rPr>
          <w:rFonts w:ascii="Arial" w:cs="Arial" w:eastAsia="Arial" w:hAnsi="Arial"/>
          <w:sz w:val="11"/>
          <w:szCs w:val="11"/>
          <w:color w:val="auto"/>
        </w:rPr>
        <w:t>(a)</w:t>
      </w:r>
      <w:r>
        <w:rPr>
          <w:sz w:val="20"/>
          <w:szCs w:val="20"/>
          <w:color w:val="auto"/>
        </w:rPr>
        <w:tab/>
      </w:r>
      <w:r>
        <w:rPr>
          <w:rFonts w:ascii="Arial" w:cs="Arial" w:eastAsia="Arial" w:hAnsi="Arial"/>
          <w:sz w:val="11"/>
          <w:szCs w:val="11"/>
          <w:color w:val="B5082D"/>
          <w:strike w:val="1"/>
        </w:rPr>
        <w:t xml:space="preserve">an amount equal to $15,000,000, subject to </w:t>
      </w:r>
      <w:r>
        <w:rPr>
          <w:rFonts w:ascii="Arial" w:cs="Arial" w:eastAsia="Arial" w:hAnsi="Arial"/>
          <w:sz w:val="11"/>
          <w:szCs w:val="11"/>
          <w:b w:val="1"/>
          <w:bCs w:val="1"/>
          <w:color w:val="B5082D"/>
          <w:strike w:val="1"/>
        </w:rPr>
        <w:t>clause 9.6(f)</w:t>
      </w:r>
      <w:r>
        <w:rPr>
          <w:rFonts w:ascii="Arial" w:cs="Arial" w:eastAsia="Arial" w:hAnsi="Arial"/>
          <w:sz w:val="11"/>
          <w:szCs w:val="11"/>
          <w:color w:val="B5082D"/>
          <w:strike w:val="1"/>
        </w:rPr>
        <w:t>; and (b)</w:t>
      </w:r>
      <w:r>
        <w:rPr>
          <w:sz w:val="20"/>
          <w:szCs w:val="20"/>
          <w:color w:val="auto"/>
        </w:rPr>
        <w:tab/>
      </w:r>
      <w:r>
        <w:rPr>
          <w:rFonts w:ascii="Arial" w:cs="Arial" w:eastAsia="Arial" w:hAnsi="Arial"/>
          <w:sz w:val="11"/>
          <w:szCs w:val="11"/>
          <w:color w:val="B5082D"/>
          <w:strike w:val="1"/>
        </w:rPr>
        <w:t>sufficient funds to pay any Taxes (including capital gains tax).</w:t>
      </w:r>
    </w:p>
    <w:p>
      <w:pPr>
        <w:spacing w:after="0" w:line="264"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6"/>
          <w:szCs w:val="16"/>
          <w:color w:val="auto"/>
        </w:rPr>
        <w:t>10</w:t>
        <w:tab/>
        <w:t>Events of Default</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10.1</w:t>
      </w:r>
      <w:r>
        <w:rPr>
          <w:sz w:val="20"/>
          <w:szCs w:val="20"/>
          <w:color w:val="auto"/>
        </w:rPr>
        <w:tab/>
      </w:r>
      <w:r>
        <w:rPr>
          <w:rFonts w:ascii="Arial" w:cs="Arial" w:eastAsia="Arial" w:hAnsi="Arial"/>
          <w:sz w:val="11"/>
          <w:szCs w:val="11"/>
          <w:b w:val="1"/>
          <w:bCs w:val="1"/>
          <w:color w:val="auto"/>
        </w:rPr>
        <w:t>Nature</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Each of the following is an Event of Default (whether or not caused by anything outside the control of any Transaction Party):</w:t>
      </w:r>
    </w:p>
    <w:p>
      <w:pPr>
        <w:spacing w:after="0" w:line="40" w:lineRule="exact"/>
        <w:rPr>
          <w:sz w:val="20"/>
          <w:szCs w:val="20"/>
          <w:color w:val="auto"/>
        </w:rPr>
      </w:pPr>
    </w:p>
    <w:p>
      <w:pPr>
        <w:ind w:left="1080" w:right="300" w:hanging="280"/>
        <w:spacing w:after="0" w:line="247" w:lineRule="auto"/>
        <w:tabs>
          <w:tab w:leader="none" w:pos="1080" w:val="left"/>
        </w:tabs>
        <w:numPr>
          <w:ilvl w:val="0"/>
          <w:numId w:val="177"/>
        </w:numPr>
        <w:rPr>
          <w:rFonts w:ascii="Arial" w:cs="Arial" w:eastAsia="Arial" w:hAnsi="Arial"/>
          <w:sz w:val="11"/>
          <w:szCs w:val="11"/>
          <w:color w:val="auto"/>
        </w:rPr>
      </w:pPr>
      <w:r>
        <w:rPr>
          <w:rFonts w:ascii="Arial" w:cs="Arial" w:eastAsia="Arial" w:hAnsi="Arial"/>
          <w:sz w:val="11"/>
          <w:szCs w:val="11"/>
          <w:b w:val="1"/>
          <w:bCs w:val="1"/>
          <w:color w:val="auto"/>
        </w:rPr>
        <w:t xml:space="preserve">non-payment: </w:t>
      </w:r>
      <w:r>
        <w:rPr>
          <w:rFonts w:ascii="Arial" w:cs="Arial" w:eastAsia="Arial" w:hAnsi="Arial"/>
          <w:sz w:val="11"/>
          <w:szCs w:val="11"/>
          <w:color w:val="auto"/>
        </w:rPr>
        <w:t>a Transaction Party does not pay on the due date any principal, interest and fees due for payment by it under a Transaction Document in</w:t>
      </w:r>
      <w:r>
        <w:rPr>
          <w:rFonts w:ascii="Arial" w:cs="Arial" w:eastAsia="Arial" w:hAnsi="Arial"/>
          <w:sz w:val="11"/>
          <w:szCs w:val="11"/>
          <w:b w:val="1"/>
          <w:bCs w:val="1"/>
          <w:color w:val="auto"/>
        </w:rPr>
        <w:t xml:space="preserve"> </w:t>
      </w:r>
      <w:r>
        <w:rPr>
          <w:rFonts w:ascii="Arial" w:cs="Arial" w:eastAsia="Arial" w:hAnsi="Arial"/>
          <w:sz w:val="11"/>
          <w:szCs w:val="11"/>
          <w:color w:val="auto"/>
        </w:rPr>
        <w:t>accordance with the relevant Transaction Document unless the Bank is satisfied that the sole reason for such failure to pay is caused by administrative or technical error in the banking system generally which is beyond the control of that Transaction Party and payment is made within 2 Business Days after its due date;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52</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20" w:name="page121"/>
    <w:bookmarkEnd w:id="120"/>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80" w:right="460" w:hanging="280"/>
        <w:spacing w:after="0" w:line="268" w:lineRule="auto"/>
        <w:tabs>
          <w:tab w:leader="none" w:pos="1080" w:val="left"/>
        </w:tabs>
        <w:numPr>
          <w:ilvl w:val="0"/>
          <w:numId w:val="178"/>
        </w:numPr>
        <w:rPr>
          <w:rFonts w:ascii="Arial" w:cs="Arial" w:eastAsia="Arial" w:hAnsi="Arial"/>
          <w:sz w:val="11"/>
          <w:szCs w:val="11"/>
          <w:color w:val="auto"/>
        </w:rPr>
      </w:pPr>
      <w:r>
        <w:rPr>
          <w:rFonts w:ascii="Arial" w:cs="Arial" w:eastAsia="Arial" w:hAnsi="Arial"/>
          <w:sz w:val="11"/>
          <w:szCs w:val="11"/>
          <w:b w:val="1"/>
          <w:bCs w:val="1"/>
          <w:color w:val="auto"/>
        </w:rPr>
        <w:t xml:space="preserve">other non-compliance: </w:t>
      </w:r>
      <w:r>
        <w:rPr>
          <w:rFonts w:ascii="Arial" w:cs="Arial" w:eastAsia="Arial" w:hAnsi="Arial"/>
          <w:sz w:val="11"/>
          <w:szCs w:val="11"/>
          <w:color w:val="auto"/>
        </w:rPr>
        <w:t>(subject to</w:t>
      </w:r>
      <w:r>
        <w:rPr>
          <w:rFonts w:ascii="Arial" w:cs="Arial" w:eastAsia="Arial" w:hAnsi="Arial"/>
          <w:sz w:val="11"/>
          <w:szCs w:val="11"/>
          <w:b w:val="1"/>
          <w:bCs w:val="1"/>
          <w:color w:val="auto"/>
        </w:rPr>
        <w:t xml:space="preserve"> clause 10.6 </w:t>
      </w:r>
      <w:r>
        <w:rPr>
          <w:rFonts w:ascii="Arial" w:cs="Arial" w:eastAsia="Arial" w:hAnsi="Arial"/>
          <w:sz w:val="11"/>
          <w:szCs w:val="11"/>
          <w:color w:val="auto"/>
        </w:rPr>
        <w:t>in the case of a failure to comply with a Financial Ratio other than the Fixed Charges Cover Ratio) a Transaction</w:t>
      </w:r>
      <w:r>
        <w:rPr>
          <w:rFonts w:ascii="Arial" w:cs="Arial" w:eastAsia="Arial" w:hAnsi="Arial"/>
          <w:sz w:val="11"/>
          <w:szCs w:val="11"/>
          <w:b w:val="1"/>
          <w:bCs w:val="1"/>
          <w:color w:val="auto"/>
        </w:rPr>
        <w:t xml:space="preserve"> </w:t>
      </w:r>
      <w:r>
        <w:rPr>
          <w:rFonts w:ascii="Arial" w:cs="Arial" w:eastAsia="Arial" w:hAnsi="Arial"/>
          <w:sz w:val="11"/>
          <w:szCs w:val="11"/>
          <w:color w:val="auto"/>
        </w:rPr>
        <w:t>Party does not comply with any other obligation under a Transaction Document and if that default is capable of rectification:</w:t>
      </w:r>
    </w:p>
    <w:p>
      <w:pPr>
        <w:spacing w:after="0" w:line="16" w:lineRule="exact"/>
        <w:rPr>
          <w:rFonts w:ascii="Arial" w:cs="Arial" w:eastAsia="Arial" w:hAnsi="Arial"/>
          <w:sz w:val="11"/>
          <w:szCs w:val="11"/>
          <w:color w:val="auto"/>
        </w:rPr>
      </w:pPr>
    </w:p>
    <w:p>
      <w:pPr>
        <w:ind w:left="1400" w:hanging="285"/>
        <w:spacing w:after="0"/>
        <w:tabs>
          <w:tab w:leader="none" w:pos="1400" w:val="left"/>
        </w:tabs>
        <w:numPr>
          <w:ilvl w:val="1"/>
          <w:numId w:val="178"/>
        </w:numPr>
        <w:rPr>
          <w:rFonts w:ascii="Arial" w:cs="Arial" w:eastAsia="Arial" w:hAnsi="Arial"/>
          <w:sz w:val="11"/>
          <w:szCs w:val="11"/>
          <w:color w:val="auto"/>
        </w:rPr>
      </w:pPr>
      <w:r>
        <w:rPr>
          <w:rFonts w:ascii="Arial" w:cs="Arial" w:eastAsia="Arial" w:hAnsi="Arial"/>
          <w:sz w:val="11"/>
          <w:szCs w:val="11"/>
          <w:color w:val="auto"/>
        </w:rPr>
        <w:t>it is not rectified within 10 Business Days (or any other longer period agreed by the Bank) after its occurrence; or</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78"/>
        </w:numPr>
        <w:rPr>
          <w:rFonts w:ascii="Arial" w:cs="Arial" w:eastAsia="Arial" w:hAnsi="Arial"/>
          <w:sz w:val="11"/>
          <w:szCs w:val="11"/>
          <w:color w:val="auto"/>
        </w:rPr>
      </w:pPr>
      <w:r>
        <w:rPr>
          <w:rFonts w:ascii="Arial" w:cs="Arial" w:eastAsia="Arial" w:hAnsi="Arial"/>
          <w:sz w:val="11"/>
          <w:szCs w:val="11"/>
          <w:color w:val="auto"/>
        </w:rPr>
        <w:t>the Transaction Party does not during that period take all action which in the Bank’s reasonable opinion is necessary to rectify that default;</w:t>
      </w:r>
    </w:p>
    <w:p>
      <w:pPr>
        <w:spacing w:after="0" w:line="40" w:lineRule="exact"/>
        <w:rPr>
          <w:rFonts w:ascii="Arial" w:cs="Arial" w:eastAsia="Arial" w:hAnsi="Arial"/>
          <w:sz w:val="11"/>
          <w:szCs w:val="11"/>
          <w:color w:val="auto"/>
        </w:rPr>
      </w:pPr>
    </w:p>
    <w:p>
      <w:pPr>
        <w:ind w:left="1080" w:right="300" w:hanging="280"/>
        <w:spacing w:after="0" w:line="268" w:lineRule="auto"/>
        <w:tabs>
          <w:tab w:leader="none" w:pos="1080" w:val="left"/>
        </w:tabs>
        <w:numPr>
          <w:ilvl w:val="0"/>
          <w:numId w:val="178"/>
        </w:numPr>
        <w:rPr>
          <w:rFonts w:ascii="Arial" w:cs="Arial" w:eastAsia="Arial" w:hAnsi="Arial"/>
          <w:sz w:val="11"/>
          <w:szCs w:val="11"/>
          <w:color w:val="auto"/>
        </w:rPr>
      </w:pPr>
      <w:r>
        <w:rPr>
          <w:rFonts w:ascii="Arial" w:cs="Arial" w:eastAsia="Arial" w:hAnsi="Arial"/>
          <w:sz w:val="11"/>
          <w:szCs w:val="11"/>
          <w:b w:val="1"/>
          <w:bCs w:val="1"/>
          <w:color w:val="auto"/>
        </w:rPr>
        <w:t xml:space="preserve">untrue warranty: </w:t>
      </w:r>
      <w:r>
        <w:rPr>
          <w:rFonts w:ascii="Arial" w:cs="Arial" w:eastAsia="Arial" w:hAnsi="Arial"/>
          <w:sz w:val="11"/>
          <w:szCs w:val="11"/>
          <w:color w:val="auto"/>
        </w:rPr>
        <w:t>a representation, warranty or statement made or deemed to be made by a Transaction Party in a Transaction Document is untrue or misleading in</w:t>
      </w:r>
      <w:r>
        <w:rPr>
          <w:rFonts w:ascii="Arial" w:cs="Arial" w:eastAsia="Arial" w:hAnsi="Arial"/>
          <w:sz w:val="11"/>
          <w:szCs w:val="11"/>
          <w:b w:val="1"/>
          <w:bCs w:val="1"/>
          <w:color w:val="auto"/>
        </w:rPr>
        <w:t xml:space="preserve"> </w:t>
      </w:r>
      <w:r>
        <w:rPr>
          <w:rFonts w:ascii="Arial" w:cs="Arial" w:eastAsia="Arial" w:hAnsi="Arial"/>
          <w:sz w:val="11"/>
          <w:szCs w:val="11"/>
          <w:color w:val="auto"/>
        </w:rPr>
        <w:t>any material respect or a reply by a Transaction Party to a requisition made by, or on behalf of, the Bank is untrue or misleading in any material respect;</w:t>
      </w:r>
    </w:p>
    <w:p>
      <w:pPr>
        <w:spacing w:after="0" w:line="10" w:lineRule="exact"/>
        <w:rPr>
          <w:rFonts w:ascii="Arial" w:cs="Arial" w:eastAsia="Arial" w:hAnsi="Arial"/>
          <w:sz w:val="11"/>
          <w:szCs w:val="11"/>
          <w:color w:val="auto"/>
        </w:rPr>
      </w:pPr>
    </w:p>
    <w:p>
      <w:pPr>
        <w:ind w:left="1080" w:hanging="280"/>
        <w:spacing w:after="0"/>
        <w:tabs>
          <w:tab w:leader="none" w:pos="1080" w:val="left"/>
        </w:tabs>
        <w:numPr>
          <w:ilvl w:val="0"/>
          <w:numId w:val="178"/>
        </w:numPr>
        <w:rPr>
          <w:rFonts w:ascii="Arial" w:cs="Arial" w:eastAsia="Arial" w:hAnsi="Arial"/>
          <w:sz w:val="11"/>
          <w:szCs w:val="11"/>
          <w:color w:val="auto"/>
        </w:rPr>
      </w:pPr>
      <w:r>
        <w:rPr>
          <w:rFonts w:ascii="Arial" w:cs="Arial" w:eastAsia="Arial" w:hAnsi="Arial"/>
          <w:sz w:val="11"/>
          <w:szCs w:val="11"/>
          <w:b w:val="1"/>
          <w:bCs w:val="1"/>
          <w:color w:val="auto"/>
        </w:rPr>
        <w:t xml:space="preserve">void document: </w:t>
      </w:r>
      <w:r>
        <w:rPr>
          <w:rFonts w:ascii="Arial" w:cs="Arial" w:eastAsia="Arial" w:hAnsi="Arial"/>
          <w:sz w:val="11"/>
          <w:szCs w:val="11"/>
          <w:color w:val="auto"/>
        </w:rPr>
        <w:t>a Transaction Document is void, voidable or otherwise unenforceable by the Bank or is claimed to be so by a Transaction Party;</w:t>
      </w:r>
    </w:p>
    <w:p>
      <w:pPr>
        <w:spacing w:after="0" w:line="46" w:lineRule="exact"/>
        <w:rPr>
          <w:rFonts w:ascii="Arial" w:cs="Arial" w:eastAsia="Arial" w:hAnsi="Arial"/>
          <w:sz w:val="11"/>
          <w:szCs w:val="11"/>
          <w:color w:val="auto"/>
        </w:rPr>
      </w:pPr>
    </w:p>
    <w:p>
      <w:pPr>
        <w:ind w:left="1080" w:right="720" w:hanging="280"/>
        <w:spacing w:after="0" w:line="268" w:lineRule="auto"/>
        <w:tabs>
          <w:tab w:leader="none" w:pos="1080" w:val="left"/>
        </w:tabs>
        <w:numPr>
          <w:ilvl w:val="0"/>
          <w:numId w:val="178"/>
        </w:numPr>
        <w:rPr>
          <w:rFonts w:ascii="Arial" w:cs="Arial" w:eastAsia="Arial" w:hAnsi="Arial"/>
          <w:sz w:val="11"/>
          <w:szCs w:val="11"/>
          <w:color w:val="auto"/>
        </w:rPr>
      </w:pPr>
      <w:r>
        <w:rPr>
          <w:rFonts w:ascii="Arial" w:cs="Arial" w:eastAsia="Arial" w:hAnsi="Arial"/>
          <w:sz w:val="11"/>
          <w:szCs w:val="11"/>
          <w:b w:val="1"/>
          <w:bCs w:val="1"/>
          <w:color w:val="auto"/>
        </w:rPr>
        <w:t xml:space="preserve">compliance unlawful: </w:t>
      </w:r>
      <w:r>
        <w:rPr>
          <w:rFonts w:ascii="Arial" w:cs="Arial" w:eastAsia="Arial" w:hAnsi="Arial"/>
          <w:sz w:val="11"/>
          <w:szCs w:val="11"/>
          <w:color w:val="auto"/>
        </w:rPr>
        <w:t>it is unlawful for a Transaction Party to comply with any of its obligations under a Transaction Document or it is claimed to be so by a</w:t>
      </w:r>
      <w:r>
        <w:rPr>
          <w:rFonts w:ascii="Arial" w:cs="Arial" w:eastAsia="Arial" w:hAnsi="Arial"/>
          <w:sz w:val="11"/>
          <w:szCs w:val="11"/>
          <w:b w:val="1"/>
          <w:bCs w:val="1"/>
          <w:color w:val="auto"/>
        </w:rPr>
        <w:t xml:space="preserve"> </w:t>
      </w:r>
      <w:r>
        <w:rPr>
          <w:rFonts w:ascii="Arial" w:cs="Arial" w:eastAsia="Arial" w:hAnsi="Arial"/>
          <w:sz w:val="11"/>
          <w:szCs w:val="11"/>
          <w:color w:val="auto"/>
        </w:rPr>
        <w:t>Transaction Party;</w:t>
      </w:r>
    </w:p>
    <w:p>
      <w:pPr>
        <w:spacing w:after="0" w:line="10" w:lineRule="exact"/>
        <w:rPr>
          <w:rFonts w:ascii="Arial" w:cs="Arial" w:eastAsia="Arial" w:hAnsi="Arial"/>
          <w:sz w:val="11"/>
          <w:szCs w:val="11"/>
          <w:color w:val="auto"/>
        </w:rPr>
      </w:pPr>
    </w:p>
    <w:p>
      <w:pPr>
        <w:ind w:left="1080" w:right="380" w:hanging="280"/>
        <w:spacing w:after="0" w:line="247" w:lineRule="auto"/>
        <w:tabs>
          <w:tab w:leader="none" w:pos="1080" w:val="left"/>
        </w:tabs>
        <w:numPr>
          <w:ilvl w:val="0"/>
          <w:numId w:val="178"/>
        </w:numPr>
        <w:rPr>
          <w:rFonts w:ascii="Arial" w:cs="Arial" w:eastAsia="Arial" w:hAnsi="Arial"/>
          <w:sz w:val="11"/>
          <w:szCs w:val="11"/>
          <w:color w:val="auto"/>
        </w:rPr>
      </w:pPr>
      <w:r>
        <w:rPr>
          <w:rFonts w:ascii="Arial" w:cs="Arial" w:eastAsia="Arial" w:hAnsi="Arial"/>
          <w:sz w:val="11"/>
          <w:szCs w:val="11"/>
          <w:b w:val="1"/>
          <w:bCs w:val="1"/>
          <w:color w:val="auto"/>
        </w:rPr>
        <w:t xml:space="preserve">loss of priority: </w:t>
      </w:r>
      <w:r>
        <w:rPr>
          <w:rFonts w:ascii="Arial" w:cs="Arial" w:eastAsia="Arial" w:hAnsi="Arial"/>
          <w:sz w:val="11"/>
          <w:szCs w:val="11"/>
          <w:color w:val="auto"/>
        </w:rPr>
        <w:t>a Security Interest created by or purportedly created by a Collateral Security does not have or ceases to have the priority which it purports to have</w:t>
      </w:r>
      <w:r>
        <w:rPr>
          <w:rFonts w:ascii="Arial" w:cs="Arial" w:eastAsia="Arial" w:hAnsi="Arial"/>
          <w:sz w:val="11"/>
          <w:szCs w:val="11"/>
          <w:b w:val="1"/>
          <w:bCs w:val="1"/>
          <w:color w:val="auto"/>
        </w:rPr>
        <w:t xml:space="preserve"> </w:t>
      </w:r>
      <w:r>
        <w:rPr>
          <w:rFonts w:ascii="Arial" w:cs="Arial" w:eastAsia="Arial" w:hAnsi="Arial"/>
          <w:sz w:val="11"/>
          <w:szCs w:val="11"/>
          <w:color w:val="auto"/>
        </w:rPr>
        <w:t>under the relevant Transaction Document or becomes ineffective to secure the payment of the money or compliance with the obligations which it purports to secure, otherwise than by any act of the Bank;</w:t>
      </w:r>
    </w:p>
    <w:p>
      <w:pPr>
        <w:spacing w:after="0" w:line="23" w:lineRule="exact"/>
        <w:rPr>
          <w:rFonts w:ascii="Arial" w:cs="Arial" w:eastAsia="Arial" w:hAnsi="Arial"/>
          <w:sz w:val="11"/>
          <w:szCs w:val="11"/>
          <w:color w:val="auto"/>
        </w:rPr>
      </w:pPr>
    </w:p>
    <w:p>
      <w:pPr>
        <w:ind w:left="1080" w:hanging="280"/>
        <w:spacing w:after="0"/>
        <w:tabs>
          <w:tab w:leader="none" w:pos="1080" w:val="left"/>
        </w:tabs>
        <w:numPr>
          <w:ilvl w:val="0"/>
          <w:numId w:val="178"/>
        </w:numPr>
        <w:rPr>
          <w:rFonts w:ascii="Arial" w:cs="Arial" w:eastAsia="Arial" w:hAnsi="Arial"/>
          <w:sz w:val="11"/>
          <w:szCs w:val="11"/>
          <w:color w:val="auto"/>
        </w:rPr>
      </w:pPr>
      <w:r>
        <w:rPr>
          <w:rFonts w:ascii="Arial" w:cs="Arial" w:eastAsia="Arial" w:hAnsi="Arial"/>
          <w:sz w:val="11"/>
          <w:szCs w:val="11"/>
          <w:b w:val="1"/>
          <w:bCs w:val="1"/>
          <w:color w:val="auto"/>
        </w:rPr>
        <w:t xml:space="preserve">Insolvency Event: </w:t>
      </w:r>
      <w:r>
        <w:rPr>
          <w:rFonts w:ascii="Arial" w:cs="Arial" w:eastAsia="Arial" w:hAnsi="Arial"/>
          <w:sz w:val="11"/>
          <w:szCs w:val="11"/>
          <w:color w:val="auto"/>
        </w:rPr>
        <w:t>an Insolvency Event occurs in relation to a Transaction Party;</w:t>
      </w:r>
    </w:p>
    <w:p>
      <w:pPr>
        <w:spacing w:after="0" w:line="38" w:lineRule="exact"/>
        <w:rPr>
          <w:rFonts w:ascii="Arial" w:cs="Arial" w:eastAsia="Arial" w:hAnsi="Arial"/>
          <w:sz w:val="11"/>
          <w:szCs w:val="11"/>
          <w:color w:val="auto"/>
        </w:rPr>
      </w:pPr>
    </w:p>
    <w:p>
      <w:pPr>
        <w:ind w:left="1080" w:hanging="280"/>
        <w:spacing w:after="0"/>
        <w:tabs>
          <w:tab w:leader="none" w:pos="1080" w:val="left"/>
        </w:tabs>
        <w:numPr>
          <w:ilvl w:val="0"/>
          <w:numId w:val="178"/>
        </w:numPr>
        <w:rPr>
          <w:rFonts w:ascii="Arial" w:cs="Arial" w:eastAsia="Arial" w:hAnsi="Arial"/>
          <w:sz w:val="11"/>
          <w:szCs w:val="11"/>
          <w:color w:val="auto"/>
        </w:rPr>
      </w:pPr>
      <w:r>
        <w:rPr>
          <w:rFonts w:ascii="Arial" w:cs="Arial" w:eastAsia="Arial" w:hAnsi="Arial"/>
          <w:sz w:val="11"/>
          <w:szCs w:val="11"/>
          <w:b w:val="1"/>
          <w:bCs w:val="1"/>
          <w:color w:val="auto"/>
        </w:rPr>
        <w:t xml:space="preserve">authorisation ceasing: </w:t>
      </w:r>
      <w:r>
        <w:rPr>
          <w:rFonts w:ascii="Arial" w:cs="Arial" w:eastAsia="Arial" w:hAnsi="Arial"/>
          <w:sz w:val="11"/>
          <w:szCs w:val="11"/>
          <w:color w:val="auto"/>
        </w:rPr>
        <w:t>an Authorisation from a Government Body necessary to enable:</w:t>
      </w:r>
    </w:p>
    <w:p>
      <w:pPr>
        <w:spacing w:after="0" w:line="43" w:lineRule="exact"/>
        <w:rPr>
          <w:rFonts w:ascii="Arial" w:cs="Arial" w:eastAsia="Arial" w:hAnsi="Arial"/>
          <w:sz w:val="11"/>
          <w:szCs w:val="11"/>
          <w:color w:val="auto"/>
        </w:rPr>
      </w:pPr>
    </w:p>
    <w:p>
      <w:pPr>
        <w:ind w:left="1400" w:hanging="285"/>
        <w:spacing w:after="0"/>
        <w:tabs>
          <w:tab w:leader="none" w:pos="1400" w:val="left"/>
        </w:tabs>
        <w:numPr>
          <w:ilvl w:val="1"/>
          <w:numId w:val="178"/>
        </w:numPr>
        <w:rPr>
          <w:rFonts w:ascii="Arial" w:cs="Arial" w:eastAsia="Arial" w:hAnsi="Arial"/>
          <w:sz w:val="11"/>
          <w:szCs w:val="11"/>
          <w:color w:val="auto"/>
        </w:rPr>
      </w:pPr>
      <w:r>
        <w:rPr>
          <w:rFonts w:ascii="Arial" w:cs="Arial" w:eastAsia="Arial" w:hAnsi="Arial"/>
          <w:sz w:val="11"/>
          <w:szCs w:val="11"/>
          <w:color w:val="auto"/>
        </w:rPr>
        <w:t>a Transaction Party to comply with its obligations under a Transaction Document or carry on its principal business or activity;</w:t>
      </w:r>
    </w:p>
    <w:p>
      <w:pPr>
        <w:spacing w:after="0" w:line="61" w:lineRule="exact"/>
        <w:rPr>
          <w:rFonts w:ascii="Arial" w:cs="Arial" w:eastAsia="Arial" w:hAnsi="Arial"/>
          <w:sz w:val="11"/>
          <w:szCs w:val="11"/>
          <w:color w:val="auto"/>
        </w:rPr>
      </w:pPr>
    </w:p>
    <w:p>
      <w:pPr>
        <w:ind w:left="1400" w:hanging="285"/>
        <w:spacing w:after="0"/>
        <w:tabs>
          <w:tab w:leader="none" w:pos="1400" w:val="left"/>
        </w:tabs>
        <w:numPr>
          <w:ilvl w:val="1"/>
          <w:numId w:val="178"/>
        </w:numPr>
        <w:rPr>
          <w:rFonts w:ascii="Arial" w:cs="Arial" w:eastAsia="Arial" w:hAnsi="Arial"/>
          <w:sz w:val="11"/>
          <w:szCs w:val="11"/>
          <w:color w:val="auto"/>
        </w:rPr>
      </w:pPr>
      <w:r>
        <w:rPr>
          <w:rFonts w:ascii="Arial" w:cs="Arial" w:eastAsia="Arial" w:hAnsi="Arial"/>
          <w:sz w:val="11"/>
          <w:szCs w:val="11"/>
          <w:color w:val="auto"/>
        </w:rPr>
        <w:t>a Transaction Party to carry on its principal business or activity; or</w:t>
      </w:r>
    </w:p>
    <w:p>
      <w:pPr>
        <w:spacing w:after="0" w:line="15" w:lineRule="exact"/>
        <w:rPr>
          <w:rFonts w:ascii="Arial" w:cs="Arial" w:eastAsia="Arial" w:hAnsi="Arial"/>
          <w:sz w:val="11"/>
          <w:szCs w:val="11"/>
          <w:color w:val="auto"/>
        </w:rPr>
      </w:pPr>
    </w:p>
    <w:p>
      <w:pPr>
        <w:ind w:left="1740" w:hanging="625"/>
        <w:spacing w:after="0"/>
        <w:tabs>
          <w:tab w:leader="none" w:pos="1740" w:val="left"/>
        </w:tabs>
        <w:numPr>
          <w:ilvl w:val="1"/>
          <w:numId w:val="178"/>
        </w:numPr>
        <w:rPr>
          <w:rFonts w:ascii="Arial" w:cs="Arial" w:eastAsia="Arial" w:hAnsi="Arial"/>
          <w:sz w:val="11"/>
          <w:szCs w:val="11"/>
          <w:color w:val="auto"/>
        </w:rPr>
      </w:pPr>
      <w:r>
        <w:rPr>
          <w:rFonts w:ascii="Arial" w:cs="Arial" w:eastAsia="Arial" w:hAnsi="Arial"/>
          <w:sz w:val="11"/>
          <w:szCs w:val="11"/>
          <w:color w:val="auto"/>
        </w:rPr>
        <w:t>the Bank to exercise its rights under a Transaction Document, is withheld or ceases to be in full force and effect and, in the case of</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auto"/>
        </w:rPr>
        <w:t>clause 10.1(h)(i)</w:t>
      </w:r>
      <w:r>
        <w:rPr>
          <w:rFonts w:ascii="Arial" w:cs="Arial" w:eastAsia="Arial" w:hAnsi="Arial"/>
          <w:sz w:val="11"/>
          <w:szCs w:val="11"/>
          <w:color w:val="auto"/>
        </w:rPr>
        <w:t>, would have a Material Adverse Effect;</w:t>
      </w:r>
    </w:p>
    <w:p>
      <w:pPr>
        <w:spacing w:after="0" w:line="48" w:lineRule="exact"/>
        <w:rPr>
          <w:sz w:val="20"/>
          <w:szCs w:val="20"/>
          <w:color w:val="auto"/>
        </w:rPr>
      </w:pPr>
    </w:p>
    <w:p>
      <w:pPr>
        <w:ind w:left="1080" w:right="620" w:hanging="280"/>
        <w:spacing w:after="0" w:line="268" w:lineRule="auto"/>
        <w:tabs>
          <w:tab w:leader="none" w:pos="1080" w:val="left"/>
        </w:tabs>
        <w:numPr>
          <w:ilvl w:val="0"/>
          <w:numId w:val="179"/>
        </w:numPr>
        <w:rPr>
          <w:rFonts w:ascii="Arial" w:cs="Arial" w:eastAsia="Arial" w:hAnsi="Arial"/>
          <w:sz w:val="11"/>
          <w:szCs w:val="11"/>
          <w:color w:val="auto"/>
        </w:rPr>
      </w:pPr>
      <w:r>
        <w:rPr>
          <w:rFonts w:ascii="Arial" w:cs="Arial" w:eastAsia="Arial" w:hAnsi="Arial"/>
          <w:sz w:val="11"/>
          <w:szCs w:val="11"/>
          <w:b w:val="1"/>
          <w:bCs w:val="1"/>
          <w:color w:val="auto"/>
        </w:rPr>
        <w:t xml:space="preserve">Material Adverse Effect: </w:t>
      </w:r>
      <w:r>
        <w:rPr>
          <w:rFonts w:ascii="Arial" w:cs="Arial" w:eastAsia="Arial" w:hAnsi="Arial"/>
          <w:sz w:val="11"/>
          <w:szCs w:val="11"/>
          <w:color w:val="auto"/>
        </w:rPr>
        <w:t>an event or series of events whether related or not, including any material adverse change in the property or financial condition of a</w:t>
      </w:r>
      <w:r>
        <w:rPr>
          <w:rFonts w:ascii="Arial" w:cs="Arial" w:eastAsia="Arial" w:hAnsi="Arial"/>
          <w:sz w:val="11"/>
          <w:szCs w:val="11"/>
          <w:b w:val="1"/>
          <w:bCs w:val="1"/>
          <w:color w:val="auto"/>
        </w:rPr>
        <w:t xml:space="preserve"> </w:t>
      </w:r>
      <w:r>
        <w:rPr>
          <w:rFonts w:ascii="Arial" w:cs="Arial" w:eastAsia="Arial" w:hAnsi="Arial"/>
          <w:sz w:val="11"/>
          <w:szCs w:val="11"/>
          <w:color w:val="auto"/>
        </w:rPr>
        <w:t>Transaction Party, occurs which has a Material Adverse Effect;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53</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21" w:name="page122"/>
    <w:bookmarkEnd w:id="121"/>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80" w:hanging="280"/>
        <w:spacing w:after="0"/>
        <w:tabs>
          <w:tab w:leader="none" w:pos="1080" w:val="left"/>
        </w:tabs>
        <w:numPr>
          <w:ilvl w:val="0"/>
          <w:numId w:val="180"/>
        </w:numPr>
        <w:rPr>
          <w:rFonts w:ascii="Arial" w:cs="Arial" w:eastAsia="Arial" w:hAnsi="Arial"/>
          <w:sz w:val="11"/>
          <w:szCs w:val="11"/>
          <w:b w:val="1"/>
          <w:bCs w:val="1"/>
          <w:color w:val="auto"/>
        </w:rPr>
      </w:pPr>
      <w:r>
        <w:rPr>
          <w:rFonts w:ascii="Arial" w:cs="Arial" w:eastAsia="Arial" w:hAnsi="Arial"/>
          <w:sz w:val="11"/>
          <w:szCs w:val="11"/>
          <w:b w:val="1"/>
          <w:bCs w:val="1"/>
          <w:color w:val="auto"/>
        </w:rPr>
        <w:t>cross default:</w:t>
      </w:r>
    </w:p>
    <w:p>
      <w:pPr>
        <w:spacing w:after="0" w:line="74" w:lineRule="exact"/>
        <w:rPr>
          <w:rFonts w:ascii="Arial" w:cs="Arial" w:eastAsia="Arial" w:hAnsi="Arial"/>
          <w:sz w:val="11"/>
          <w:szCs w:val="11"/>
          <w:b w:val="1"/>
          <w:bCs w:val="1"/>
          <w:color w:val="auto"/>
        </w:rPr>
      </w:pPr>
    </w:p>
    <w:p>
      <w:pPr>
        <w:ind w:left="1400" w:right="600" w:hanging="285"/>
        <w:spacing w:after="0" w:line="256" w:lineRule="auto"/>
        <w:tabs>
          <w:tab w:leader="none" w:pos="1400" w:val="left"/>
        </w:tabs>
        <w:numPr>
          <w:ilvl w:val="1"/>
          <w:numId w:val="180"/>
        </w:numPr>
        <w:rPr>
          <w:rFonts w:ascii="Arial" w:cs="Arial" w:eastAsia="Arial" w:hAnsi="Arial"/>
          <w:sz w:val="11"/>
          <w:szCs w:val="11"/>
          <w:color w:val="auto"/>
        </w:rPr>
      </w:pPr>
      <w:r>
        <w:rPr>
          <w:rFonts w:ascii="Arial" w:cs="Arial" w:eastAsia="Arial" w:hAnsi="Arial"/>
          <w:sz w:val="11"/>
          <w:szCs w:val="11"/>
          <w:color w:val="auto"/>
        </w:rPr>
        <w:t>Financial Indebtedness (other than Excluded Financial Indebtedness) of a Transaction Party in excess of $500,000 becomes due for payment before its stated maturity other than by the exercise of an option of the Transaction Party to pay it before its maturity;</w:t>
      </w:r>
    </w:p>
    <w:p>
      <w:pPr>
        <w:spacing w:after="0" w:line="22" w:lineRule="exact"/>
        <w:rPr>
          <w:rFonts w:ascii="Arial" w:cs="Arial" w:eastAsia="Arial" w:hAnsi="Arial"/>
          <w:sz w:val="11"/>
          <w:szCs w:val="11"/>
          <w:color w:val="auto"/>
        </w:rPr>
      </w:pPr>
    </w:p>
    <w:p>
      <w:pPr>
        <w:ind w:left="1400" w:right="3300" w:hanging="285"/>
        <w:spacing w:after="0" w:line="256" w:lineRule="auto"/>
        <w:tabs>
          <w:tab w:leader="none" w:pos="1400" w:val="left"/>
        </w:tabs>
        <w:numPr>
          <w:ilvl w:val="1"/>
          <w:numId w:val="180"/>
        </w:numPr>
        <w:rPr>
          <w:rFonts w:ascii="Arial" w:cs="Arial" w:eastAsia="Arial" w:hAnsi="Arial"/>
          <w:sz w:val="11"/>
          <w:szCs w:val="11"/>
          <w:color w:val="auto"/>
        </w:rPr>
      </w:pPr>
      <w:r>
        <w:rPr>
          <w:rFonts w:ascii="Arial" w:cs="Arial" w:eastAsia="Arial" w:hAnsi="Arial"/>
          <w:sz w:val="11"/>
          <w:szCs w:val="11"/>
          <w:color w:val="auto"/>
        </w:rPr>
        <w:t>a Transaction Party fails to pay when due for payment (or within any applicable grace period) any Financial Indebtedness (other than Excluded Financial Indebtedness) in excess of $500,000;</w:t>
      </w:r>
    </w:p>
    <w:p>
      <w:pPr>
        <w:spacing w:after="0" w:line="22" w:lineRule="exact"/>
        <w:rPr>
          <w:rFonts w:ascii="Arial" w:cs="Arial" w:eastAsia="Arial" w:hAnsi="Arial"/>
          <w:sz w:val="11"/>
          <w:szCs w:val="11"/>
          <w:color w:val="auto"/>
        </w:rPr>
      </w:pPr>
    </w:p>
    <w:p>
      <w:pPr>
        <w:ind w:left="1400" w:right="360" w:hanging="285"/>
        <w:spacing w:after="0" w:line="235" w:lineRule="auto"/>
        <w:tabs>
          <w:tab w:leader="none" w:pos="1400" w:val="left"/>
        </w:tabs>
        <w:numPr>
          <w:ilvl w:val="1"/>
          <w:numId w:val="180"/>
        </w:numPr>
        <w:rPr>
          <w:rFonts w:ascii="Arial" w:cs="Arial" w:eastAsia="Arial" w:hAnsi="Arial"/>
          <w:sz w:val="11"/>
          <w:szCs w:val="11"/>
          <w:color w:val="auto"/>
        </w:rPr>
      </w:pPr>
      <w:r>
        <w:rPr>
          <w:rFonts w:ascii="Arial" w:cs="Arial" w:eastAsia="Arial" w:hAnsi="Arial"/>
          <w:sz w:val="11"/>
          <w:szCs w:val="11"/>
          <w:color w:val="auto"/>
        </w:rPr>
        <w:t>an obligation by a person to a Transaction Party to provide financial accommodation or to acquire or underwrite Financial Indebtedness (other than Excluded Financial Indebtedness) in excess of $500,000 ceases before its stated maturity other than by the exercise of an option of the Transaction Party to</w:t>
      </w:r>
    </w:p>
    <w:p>
      <w:pPr>
        <w:ind w:left="1400"/>
        <w:spacing w:after="0"/>
        <w:rPr>
          <w:rFonts w:ascii="Arial" w:cs="Arial" w:eastAsia="Arial" w:hAnsi="Arial"/>
          <w:sz w:val="11"/>
          <w:szCs w:val="11"/>
          <w:color w:val="auto"/>
        </w:rPr>
      </w:pPr>
      <w:r>
        <w:rPr>
          <w:rFonts w:ascii="Arial" w:cs="Arial" w:eastAsia="Arial" w:hAnsi="Arial"/>
          <w:sz w:val="11"/>
          <w:szCs w:val="11"/>
          <w:color w:val="auto"/>
        </w:rPr>
        <w:t>cancel that obligation; or</w:t>
      </w:r>
    </w:p>
    <w:p>
      <w:pPr>
        <w:spacing w:after="0" w:line="38" w:lineRule="exact"/>
        <w:rPr>
          <w:rFonts w:ascii="Arial" w:cs="Arial" w:eastAsia="Arial" w:hAnsi="Arial"/>
          <w:sz w:val="11"/>
          <w:szCs w:val="11"/>
          <w:color w:val="auto"/>
        </w:rPr>
      </w:pPr>
    </w:p>
    <w:p>
      <w:pPr>
        <w:ind w:left="1400" w:right="600" w:hanging="285"/>
        <w:spacing w:after="0" w:line="256" w:lineRule="auto"/>
        <w:tabs>
          <w:tab w:leader="none" w:pos="1400" w:val="left"/>
        </w:tabs>
        <w:numPr>
          <w:ilvl w:val="1"/>
          <w:numId w:val="180"/>
        </w:numPr>
        <w:rPr>
          <w:rFonts w:ascii="Arial" w:cs="Arial" w:eastAsia="Arial" w:hAnsi="Arial"/>
          <w:sz w:val="11"/>
          <w:szCs w:val="11"/>
          <w:color w:val="auto"/>
        </w:rPr>
      </w:pPr>
      <w:r>
        <w:rPr>
          <w:rFonts w:ascii="Arial" w:cs="Arial" w:eastAsia="Arial" w:hAnsi="Arial"/>
          <w:sz w:val="11"/>
          <w:szCs w:val="11"/>
          <w:color w:val="auto"/>
        </w:rPr>
        <w:t>a marketable security issued by a Transaction Party and having a face value over $500,000 is required to be redeemed or repurchased before its stated maturity other than by the exercise of an option of the issuer to redeem or repurchase;</w:t>
      </w:r>
    </w:p>
    <w:p>
      <w:pPr>
        <w:spacing w:after="0" w:line="16" w:lineRule="exact"/>
        <w:rPr>
          <w:rFonts w:ascii="Arial" w:cs="Arial" w:eastAsia="Arial" w:hAnsi="Arial"/>
          <w:sz w:val="11"/>
          <w:szCs w:val="11"/>
          <w:color w:val="auto"/>
        </w:rPr>
      </w:pPr>
    </w:p>
    <w:p>
      <w:pPr>
        <w:ind w:left="1080" w:hanging="280"/>
        <w:spacing w:after="0"/>
        <w:tabs>
          <w:tab w:leader="none" w:pos="1080" w:val="left"/>
        </w:tabs>
        <w:numPr>
          <w:ilvl w:val="0"/>
          <w:numId w:val="180"/>
        </w:numPr>
        <w:rPr>
          <w:rFonts w:ascii="Arial" w:cs="Arial" w:eastAsia="Arial" w:hAnsi="Arial"/>
          <w:sz w:val="11"/>
          <w:szCs w:val="11"/>
          <w:color w:val="auto"/>
        </w:rPr>
      </w:pPr>
      <w:r>
        <w:rPr>
          <w:rFonts w:ascii="Arial" w:cs="Arial" w:eastAsia="Arial" w:hAnsi="Arial"/>
          <w:sz w:val="11"/>
          <w:szCs w:val="11"/>
          <w:b w:val="1"/>
          <w:bCs w:val="1"/>
          <w:color w:val="auto"/>
        </w:rPr>
        <w:t xml:space="preserve">cessation of business: </w:t>
      </w:r>
      <w:r>
        <w:rPr>
          <w:rFonts w:ascii="Arial" w:cs="Arial" w:eastAsia="Arial" w:hAnsi="Arial"/>
          <w:sz w:val="11"/>
          <w:szCs w:val="11"/>
          <w:color w:val="auto"/>
        </w:rPr>
        <w:t>a Transaction Party ceases or threatens to cease to carry on its business or a substantial part of its business;</w:t>
      </w:r>
    </w:p>
    <w:p>
      <w:pPr>
        <w:spacing w:after="0" w:line="46" w:lineRule="exact"/>
        <w:rPr>
          <w:rFonts w:ascii="Arial" w:cs="Arial" w:eastAsia="Arial" w:hAnsi="Arial"/>
          <w:sz w:val="11"/>
          <w:szCs w:val="11"/>
          <w:color w:val="auto"/>
        </w:rPr>
      </w:pPr>
    </w:p>
    <w:p>
      <w:pPr>
        <w:ind w:left="1080" w:right="500" w:hanging="280"/>
        <w:spacing w:after="0" w:line="268" w:lineRule="auto"/>
        <w:tabs>
          <w:tab w:leader="none" w:pos="1080" w:val="left"/>
        </w:tabs>
        <w:numPr>
          <w:ilvl w:val="0"/>
          <w:numId w:val="180"/>
        </w:numPr>
        <w:rPr>
          <w:rFonts w:ascii="Arial" w:cs="Arial" w:eastAsia="Arial" w:hAnsi="Arial"/>
          <w:sz w:val="11"/>
          <w:szCs w:val="11"/>
          <w:color w:val="auto"/>
        </w:rPr>
      </w:pPr>
      <w:r>
        <w:rPr>
          <w:rFonts w:ascii="Arial" w:cs="Arial" w:eastAsia="Arial" w:hAnsi="Arial"/>
          <w:sz w:val="11"/>
          <w:szCs w:val="11"/>
          <w:b w:val="1"/>
          <w:bCs w:val="1"/>
          <w:color w:val="auto"/>
        </w:rPr>
        <w:t xml:space="preserve">enforcement of other Security: </w:t>
      </w:r>
      <w:r>
        <w:rPr>
          <w:rFonts w:ascii="Arial" w:cs="Arial" w:eastAsia="Arial" w:hAnsi="Arial"/>
          <w:sz w:val="11"/>
          <w:szCs w:val="11"/>
          <w:color w:val="auto"/>
        </w:rPr>
        <w:t>a person who holds a Security over property of a Transaction Party exercises a right under that Security against the property to</w:t>
      </w:r>
      <w:r>
        <w:rPr>
          <w:rFonts w:ascii="Arial" w:cs="Arial" w:eastAsia="Arial" w:hAnsi="Arial"/>
          <w:sz w:val="11"/>
          <w:szCs w:val="11"/>
          <w:b w:val="1"/>
          <w:bCs w:val="1"/>
          <w:color w:val="auto"/>
        </w:rPr>
        <w:t xml:space="preserve"> </w:t>
      </w:r>
      <w:r>
        <w:rPr>
          <w:rFonts w:ascii="Arial" w:cs="Arial" w:eastAsia="Arial" w:hAnsi="Arial"/>
          <w:sz w:val="11"/>
          <w:szCs w:val="11"/>
          <w:color w:val="auto"/>
        </w:rPr>
        <w:t>recover any money the payment of which is secured by that Security or enforce any other obligation the compliance with which is secured by it;</w:t>
      </w:r>
    </w:p>
    <w:p>
      <w:pPr>
        <w:spacing w:after="0" w:line="10" w:lineRule="exact"/>
        <w:rPr>
          <w:rFonts w:ascii="Arial" w:cs="Arial" w:eastAsia="Arial" w:hAnsi="Arial"/>
          <w:sz w:val="11"/>
          <w:szCs w:val="11"/>
          <w:color w:val="auto"/>
        </w:rPr>
      </w:pPr>
    </w:p>
    <w:p>
      <w:pPr>
        <w:ind w:left="1080" w:right="220" w:hanging="280"/>
        <w:spacing w:after="0" w:line="268" w:lineRule="auto"/>
        <w:tabs>
          <w:tab w:leader="none" w:pos="1080" w:val="left"/>
        </w:tabs>
        <w:numPr>
          <w:ilvl w:val="0"/>
          <w:numId w:val="180"/>
        </w:numPr>
        <w:rPr>
          <w:rFonts w:ascii="Arial" w:cs="Arial" w:eastAsia="Arial" w:hAnsi="Arial"/>
          <w:sz w:val="11"/>
          <w:szCs w:val="11"/>
          <w:color w:val="auto"/>
        </w:rPr>
      </w:pPr>
      <w:r>
        <w:rPr>
          <w:rFonts w:ascii="Arial" w:cs="Arial" w:eastAsia="Arial" w:hAnsi="Arial"/>
          <w:sz w:val="11"/>
          <w:szCs w:val="11"/>
          <w:b w:val="1"/>
          <w:bCs w:val="1"/>
          <w:color w:val="auto"/>
        </w:rPr>
        <w:t xml:space="preserve">undertaking: </w:t>
      </w:r>
      <w:r>
        <w:rPr>
          <w:rFonts w:ascii="Arial" w:cs="Arial" w:eastAsia="Arial" w:hAnsi="Arial"/>
          <w:sz w:val="11"/>
          <w:szCs w:val="11"/>
          <w:color w:val="auto"/>
        </w:rPr>
        <w:t>an undertaking given to the Bank (or its lawyers) by or on behalf of a Transaction Party (or its lawyers) is not honoured in accordance with its terms and</w:t>
      </w:r>
      <w:r>
        <w:rPr>
          <w:rFonts w:ascii="Arial" w:cs="Arial" w:eastAsia="Arial" w:hAnsi="Arial"/>
          <w:sz w:val="11"/>
          <w:szCs w:val="11"/>
          <w:b w:val="1"/>
          <w:bCs w:val="1"/>
          <w:color w:val="auto"/>
        </w:rPr>
        <w:t xml:space="preserve"> </w:t>
      </w:r>
      <w:r>
        <w:rPr>
          <w:rFonts w:ascii="Arial" w:cs="Arial" w:eastAsia="Arial" w:hAnsi="Arial"/>
          <w:sz w:val="11"/>
          <w:szCs w:val="11"/>
          <w:color w:val="auto"/>
        </w:rPr>
        <w:t>if capable of rectification, is not rectified within three Business Days (or any other longer period agreed by the Bank) after its occurrence;</w:t>
      </w:r>
    </w:p>
    <w:p>
      <w:pPr>
        <w:spacing w:after="0" w:line="18" w:lineRule="exact"/>
        <w:rPr>
          <w:rFonts w:ascii="Arial" w:cs="Arial" w:eastAsia="Arial" w:hAnsi="Arial"/>
          <w:sz w:val="11"/>
          <w:szCs w:val="11"/>
          <w:color w:val="auto"/>
        </w:rPr>
      </w:pPr>
    </w:p>
    <w:p>
      <w:pPr>
        <w:ind w:left="1080" w:hanging="280"/>
        <w:spacing w:after="0"/>
        <w:tabs>
          <w:tab w:leader="none" w:pos="1080" w:val="left"/>
        </w:tabs>
        <w:numPr>
          <w:ilvl w:val="0"/>
          <w:numId w:val="180"/>
        </w:numPr>
        <w:rPr>
          <w:rFonts w:ascii="Arial" w:cs="Arial" w:eastAsia="Arial" w:hAnsi="Arial"/>
          <w:sz w:val="11"/>
          <w:szCs w:val="11"/>
          <w:color w:val="auto"/>
        </w:rPr>
      </w:pPr>
      <w:r>
        <w:rPr>
          <w:rFonts w:ascii="Arial" w:cs="Arial" w:eastAsia="Arial" w:hAnsi="Arial"/>
          <w:sz w:val="11"/>
          <w:szCs w:val="11"/>
          <w:b w:val="1"/>
          <w:bCs w:val="1"/>
          <w:color w:val="auto"/>
        </w:rPr>
        <w:t xml:space="preserve">reduction of capital: </w:t>
      </w:r>
      <w:r>
        <w:rPr>
          <w:rFonts w:ascii="Arial" w:cs="Arial" w:eastAsia="Arial" w:hAnsi="Arial"/>
          <w:sz w:val="11"/>
          <w:szCs w:val="11"/>
          <w:color w:val="auto"/>
        </w:rPr>
        <w:t>if a Transaction Party is a corporation:</w:t>
      </w:r>
    </w:p>
    <w:p>
      <w:pPr>
        <w:spacing w:after="0" w:line="58" w:lineRule="exact"/>
        <w:rPr>
          <w:rFonts w:ascii="Arial" w:cs="Arial" w:eastAsia="Arial" w:hAnsi="Arial"/>
          <w:sz w:val="11"/>
          <w:szCs w:val="11"/>
          <w:color w:val="auto"/>
        </w:rPr>
      </w:pPr>
    </w:p>
    <w:p>
      <w:pPr>
        <w:ind w:left="1400" w:hanging="285"/>
        <w:spacing w:after="0"/>
        <w:tabs>
          <w:tab w:leader="none" w:pos="1400" w:val="left"/>
        </w:tabs>
        <w:numPr>
          <w:ilvl w:val="1"/>
          <w:numId w:val="180"/>
        </w:numPr>
        <w:rPr>
          <w:rFonts w:ascii="Arial" w:cs="Arial" w:eastAsia="Arial" w:hAnsi="Arial"/>
          <w:sz w:val="11"/>
          <w:szCs w:val="11"/>
          <w:color w:val="auto"/>
        </w:rPr>
      </w:pPr>
      <w:r>
        <w:rPr>
          <w:rFonts w:ascii="Arial" w:cs="Arial" w:eastAsia="Arial" w:hAnsi="Arial"/>
          <w:sz w:val="11"/>
          <w:szCs w:val="11"/>
          <w:color w:val="auto"/>
        </w:rPr>
        <w:t>it reduces or takes any action to reduce its capital other than by the redemption of redeemable preference shares;</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80"/>
        </w:numPr>
        <w:rPr>
          <w:rFonts w:ascii="Arial" w:cs="Arial" w:eastAsia="Arial" w:hAnsi="Arial"/>
          <w:sz w:val="11"/>
          <w:szCs w:val="11"/>
          <w:color w:val="auto"/>
        </w:rPr>
      </w:pPr>
      <w:r>
        <w:rPr>
          <w:rFonts w:ascii="Arial" w:cs="Arial" w:eastAsia="Arial" w:hAnsi="Arial"/>
          <w:sz w:val="11"/>
          <w:szCs w:val="11"/>
          <w:color w:val="auto"/>
        </w:rPr>
        <w:t>it passes or takes any action to pass a resolution of the type referred to in section 254N of the Corporations Act;</w:t>
      </w:r>
    </w:p>
    <w:p>
      <w:pPr>
        <w:spacing w:after="0" w:line="61" w:lineRule="exact"/>
        <w:rPr>
          <w:rFonts w:ascii="Arial" w:cs="Arial" w:eastAsia="Arial" w:hAnsi="Arial"/>
          <w:sz w:val="11"/>
          <w:szCs w:val="11"/>
          <w:color w:val="auto"/>
        </w:rPr>
      </w:pPr>
    </w:p>
    <w:p>
      <w:pPr>
        <w:ind w:left="1400" w:hanging="285"/>
        <w:spacing w:after="0"/>
        <w:tabs>
          <w:tab w:leader="none" w:pos="1400" w:val="left"/>
        </w:tabs>
        <w:numPr>
          <w:ilvl w:val="1"/>
          <w:numId w:val="180"/>
        </w:numPr>
        <w:rPr>
          <w:rFonts w:ascii="Arial" w:cs="Arial" w:eastAsia="Arial" w:hAnsi="Arial"/>
          <w:sz w:val="11"/>
          <w:szCs w:val="11"/>
          <w:color w:val="auto"/>
        </w:rPr>
      </w:pPr>
      <w:r>
        <w:rPr>
          <w:rFonts w:ascii="Arial" w:cs="Arial" w:eastAsia="Arial" w:hAnsi="Arial"/>
          <w:sz w:val="11"/>
          <w:szCs w:val="11"/>
          <w:color w:val="auto"/>
        </w:rPr>
        <w:t>it:</w:t>
      </w:r>
    </w:p>
    <w:p>
      <w:pPr>
        <w:spacing w:after="0" w:line="76" w:lineRule="exact"/>
        <w:rPr>
          <w:rFonts w:ascii="Arial" w:cs="Arial" w:eastAsia="Arial" w:hAnsi="Arial"/>
          <w:sz w:val="11"/>
          <w:szCs w:val="11"/>
          <w:color w:val="auto"/>
        </w:rPr>
      </w:pPr>
    </w:p>
    <w:p>
      <w:pPr>
        <w:ind w:left="1660" w:hanging="275"/>
        <w:spacing w:after="0"/>
        <w:tabs>
          <w:tab w:leader="none" w:pos="1660" w:val="left"/>
        </w:tabs>
        <w:numPr>
          <w:ilvl w:val="2"/>
          <w:numId w:val="180"/>
        </w:numPr>
        <w:rPr>
          <w:rFonts w:ascii="Arial" w:cs="Arial" w:eastAsia="Arial" w:hAnsi="Arial"/>
          <w:sz w:val="11"/>
          <w:szCs w:val="11"/>
          <w:color w:val="auto"/>
        </w:rPr>
      </w:pPr>
      <w:r>
        <w:rPr>
          <w:rFonts w:ascii="Arial" w:cs="Arial" w:eastAsia="Arial" w:hAnsi="Arial"/>
          <w:sz w:val="11"/>
          <w:szCs w:val="11"/>
          <w:color w:val="auto"/>
        </w:rPr>
        <w:t>buys or takes any action to buy, or</w:t>
      </w:r>
    </w:p>
    <w:p>
      <w:pPr>
        <w:spacing w:after="0" w:line="68" w:lineRule="exact"/>
        <w:rPr>
          <w:rFonts w:ascii="Arial" w:cs="Arial" w:eastAsia="Arial" w:hAnsi="Arial"/>
          <w:sz w:val="11"/>
          <w:szCs w:val="11"/>
          <w:color w:val="auto"/>
        </w:rPr>
      </w:pPr>
    </w:p>
    <w:p>
      <w:pPr>
        <w:ind w:left="1660" w:hanging="275"/>
        <w:spacing w:after="0"/>
        <w:tabs>
          <w:tab w:leader="none" w:pos="1660" w:val="left"/>
        </w:tabs>
        <w:numPr>
          <w:ilvl w:val="2"/>
          <w:numId w:val="180"/>
        </w:numPr>
        <w:rPr>
          <w:rFonts w:ascii="Arial" w:cs="Arial" w:eastAsia="Arial" w:hAnsi="Arial"/>
          <w:sz w:val="11"/>
          <w:szCs w:val="11"/>
          <w:color w:val="auto"/>
        </w:rPr>
      </w:pPr>
      <w:r>
        <w:rPr>
          <w:rFonts w:ascii="Arial" w:cs="Arial" w:eastAsia="Arial" w:hAnsi="Arial"/>
          <w:sz w:val="11"/>
          <w:szCs w:val="11"/>
          <w:color w:val="auto"/>
        </w:rPr>
        <w:t>financially assists (within the meaning of section 260A of the Corporations Act) or takes any action to financially assist any person to acquire,</w:t>
      </w:r>
    </w:p>
    <w:p>
      <w:pPr>
        <w:spacing w:after="0" w:line="54" w:lineRule="exact"/>
        <w:rPr>
          <w:sz w:val="20"/>
          <w:szCs w:val="20"/>
          <w:color w:val="auto"/>
        </w:rPr>
      </w:pPr>
    </w:p>
    <w:p>
      <w:pPr>
        <w:ind w:left="1400"/>
        <w:spacing w:after="0"/>
        <w:rPr>
          <w:sz w:val="20"/>
          <w:szCs w:val="20"/>
          <w:color w:val="auto"/>
        </w:rPr>
      </w:pPr>
      <w:r>
        <w:rPr>
          <w:rFonts w:ascii="Arial" w:cs="Arial" w:eastAsia="Arial" w:hAnsi="Arial"/>
          <w:sz w:val="11"/>
          <w:szCs w:val="11"/>
          <w:color w:val="auto"/>
        </w:rPr>
        <w:t>shares in itself or in a holding company of it,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54</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22" w:name="page123"/>
    <w:bookmarkEnd w:id="122"/>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80" w:right="280" w:hanging="280"/>
        <w:spacing w:after="0" w:line="268" w:lineRule="auto"/>
        <w:tabs>
          <w:tab w:leader="none" w:pos="1080" w:val="left"/>
        </w:tabs>
        <w:numPr>
          <w:ilvl w:val="0"/>
          <w:numId w:val="181"/>
        </w:numPr>
        <w:rPr>
          <w:rFonts w:ascii="Arial" w:cs="Arial" w:eastAsia="Arial" w:hAnsi="Arial"/>
          <w:sz w:val="11"/>
          <w:szCs w:val="11"/>
          <w:color w:val="auto"/>
        </w:rPr>
      </w:pPr>
      <w:r>
        <w:rPr>
          <w:rFonts w:ascii="Arial" w:cs="Arial" w:eastAsia="Arial" w:hAnsi="Arial"/>
          <w:sz w:val="11"/>
          <w:szCs w:val="11"/>
          <w:b w:val="1"/>
          <w:bCs w:val="1"/>
          <w:color w:val="auto"/>
        </w:rPr>
        <w:t xml:space="preserve">investigation: </w:t>
      </w:r>
      <w:r>
        <w:rPr>
          <w:rFonts w:ascii="Arial" w:cs="Arial" w:eastAsia="Arial" w:hAnsi="Arial"/>
          <w:sz w:val="11"/>
          <w:szCs w:val="11"/>
          <w:color w:val="auto"/>
        </w:rPr>
        <w:t>if a Transaction Party is a corporation, an investigation is instituted under the Corporations Act or other legislation into, or an inspector is appointed to</w:t>
      </w:r>
      <w:r>
        <w:rPr>
          <w:rFonts w:ascii="Arial" w:cs="Arial" w:eastAsia="Arial" w:hAnsi="Arial"/>
          <w:sz w:val="11"/>
          <w:szCs w:val="11"/>
          <w:b w:val="1"/>
          <w:bCs w:val="1"/>
          <w:color w:val="auto"/>
        </w:rPr>
        <w:t xml:space="preserve"> </w:t>
      </w:r>
      <w:r>
        <w:rPr>
          <w:rFonts w:ascii="Arial" w:cs="Arial" w:eastAsia="Arial" w:hAnsi="Arial"/>
          <w:sz w:val="11"/>
          <w:szCs w:val="11"/>
          <w:color w:val="auto"/>
        </w:rPr>
        <w:t>investigate, its affairs, which would have a Material Adverse Effect;</w:t>
      </w:r>
    </w:p>
    <w:p>
      <w:pPr>
        <w:spacing w:after="0" w:line="10" w:lineRule="exact"/>
        <w:rPr>
          <w:rFonts w:ascii="Arial" w:cs="Arial" w:eastAsia="Arial" w:hAnsi="Arial"/>
          <w:sz w:val="11"/>
          <w:szCs w:val="11"/>
          <w:color w:val="auto"/>
        </w:rPr>
      </w:pPr>
    </w:p>
    <w:p>
      <w:pPr>
        <w:ind w:left="1080" w:right="220" w:hanging="280"/>
        <w:spacing w:after="0" w:line="268" w:lineRule="auto"/>
        <w:tabs>
          <w:tab w:leader="none" w:pos="1080" w:val="left"/>
        </w:tabs>
        <w:numPr>
          <w:ilvl w:val="0"/>
          <w:numId w:val="181"/>
        </w:numPr>
        <w:rPr>
          <w:rFonts w:ascii="Arial" w:cs="Arial" w:eastAsia="Arial" w:hAnsi="Arial"/>
          <w:sz w:val="11"/>
          <w:szCs w:val="11"/>
          <w:color w:val="auto"/>
        </w:rPr>
      </w:pPr>
      <w:r>
        <w:rPr>
          <w:rFonts w:ascii="Arial" w:cs="Arial" w:eastAsia="Arial" w:hAnsi="Arial"/>
          <w:sz w:val="11"/>
          <w:szCs w:val="11"/>
          <w:b w:val="1"/>
          <w:bCs w:val="1"/>
          <w:color w:val="auto"/>
        </w:rPr>
        <w:t>environmental claim</w:t>
      </w:r>
      <w:r>
        <w:rPr>
          <w:rFonts w:ascii="Arial" w:cs="Arial" w:eastAsia="Arial" w:hAnsi="Arial"/>
          <w:sz w:val="11"/>
          <w:szCs w:val="11"/>
          <w:color w:val="auto"/>
        </w:rPr>
        <w:t>: a Government Body takes any action, there is a legally valid claim or there is a legally enforceable requirement for expenditure or for cessation</w:t>
      </w:r>
      <w:r>
        <w:rPr>
          <w:rFonts w:ascii="Arial" w:cs="Arial" w:eastAsia="Arial" w:hAnsi="Arial"/>
          <w:sz w:val="11"/>
          <w:szCs w:val="11"/>
          <w:b w:val="1"/>
          <w:bCs w:val="1"/>
          <w:color w:val="auto"/>
        </w:rPr>
        <w:t xml:space="preserve"> </w:t>
      </w:r>
      <w:r>
        <w:rPr>
          <w:rFonts w:ascii="Arial" w:cs="Arial" w:eastAsia="Arial" w:hAnsi="Arial"/>
          <w:sz w:val="11"/>
          <w:szCs w:val="11"/>
          <w:color w:val="auto"/>
        </w:rPr>
        <w:t>or alteration of activity under an Environmental Law, which, in the reasonable opinion of the Bank, would have a Material Adverse Effect;</w:t>
      </w:r>
    </w:p>
    <w:p>
      <w:pPr>
        <w:spacing w:after="0" w:line="17" w:lineRule="exact"/>
        <w:rPr>
          <w:rFonts w:ascii="Arial" w:cs="Arial" w:eastAsia="Arial" w:hAnsi="Arial"/>
          <w:sz w:val="11"/>
          <w:szCs w:val="11"/>
          <w:color w:val="auto"/>
        </w:rPr>
      </w:pPr>
    </w:p>
    <w:p>
      <w:pPr>
        <w:ind w:left="1080" w:hanging="280"/>
        <w:spacing w:after="0"/>
        <w:tabs>
          <w:tab w:leader="none" w:pos="1080" w:val="left"/>
        </w:tabs>
        <w:numPr>
          <w:ilvl w:val="0"/>
          <w:numId w:val="181"/>
        </w:numPr>
        <w:rPr>
          <w:rFonts w:ascii="Arial" w:cs="Arial" w:eastAsia="Arial" w:hAnsi="Arial"/>
          <w:sz w:val="11"/>
          <w:szCs w:val="11"/>
          <w:color w:val="auto"/>
        </w:rPr>
      </w:pPr>
      <w:r>
        <w:rPr>
          <w:rFonts w:ascii="Arial" w:cs="Arial" w:eastAsia="Arial" w:hAnsi="Arial"/>
          <w:sz w:val="11"/>
          <w:szCs w:val="11"/>
          <w:b w:val="1"/>
          <w:bCs w:val="1"/>
          <w:color w:val="auto"/>
        </w:rPr>
        <w:t xml:space="preserve">Trust: </w:t>
      </w:r>
      <w:r>
        <w:rPr>
          <w:rFonts w:ascii="Arial" w:cs="Arial" w:eastAsia="Arial" w:hAnsi="Arial"/>
          <w:sz w:val="11"/>
          <w:szCs w:val="11"/>
          <w:color w:val="auto"/>
        </w:rPr>
        <w:t>if a Transaction Party is a Trustee:</w:t>
      </w:r>
    </w:p>
    <w:p>
      <w:pPr>
        <w:spacing w:after="0" w:line="74" w:lineRule="exact"/>
        <w:rPr>
          <w:rFonts w:ascii="Arial" w:cs="Arial" w:eastAsia="Arial" w:hAnsi="Arial"/>
          <w:sz w:val="11"/>
          <w:szCs w:val="11"/>
          <w:color w:val="auto"/>
        </w:rPr>
      </w:pPr>
    </w:p>
    <w:p>
      <w:pPr>
        <w:ind w:left="1400" w:right="580" w:hanging="285"/>
        <w:spacing w:after="0" w:line="256" w:lineRule="auto"/>
        <w:tabs>
          <w:tab w:leader="none" w:pos="1400" w:val="left"/>
        </w:tabs>
        <w:numPr>
          <w:ilvl w:val="1"/>
          <w:numId w:val="181"/>
        </w:numPr>
        <w:rPr>
          <w:rFonts w:ascii="Arial" w:cs="Arial" w:eastAsia="Arial" w:hAnsi="Arial"/>
          <w:sz w:val="11"/>
          <w:szCs w:val="11"/>
          <w:color w:val="auto"/>
        </w:rPr>
      </w:pPr>
      <w:r>
        <w:rPr>
          <w:rFonts w:ascii="Arial" w:cs="Arial" w:eastAsia="Arial" w:hAnsi="Arial"/>
          <w:sz w:val="11"/>
          <w:szCs w:val="11"/>
          <w:color w:val="auto"/>
        </w:rPr>
        <w:t>the Trustee ceases to be the trustee or the only trustee of the Trust or any action is taken for the removal of the Trustee as trustee of the Trust, or for the appointment of another person as trustee in addition to the Trustee;</w:t>
      </w:r>
    </w:p>
    <w:p>
      <w:pPr>
        <w:spacing w:after="0" w:line="22" w:lineRule="exact"/>
        <w:rPr>
          <w:rFonts w:ascii="Arial" w:cs="Arial" w:eastAsia="Arial" w:hAnsi="Arial"/>
          <w:sz w:val="11"/>
          <w:szCs w:val="11"/>
          <w:color w:val="auto"/>
        </w:rPr>
      </w:pPr>
    </w:p>
    <w:p>
      <w:pPr>
        <w:ind w:left="1400" w:hanging="285"/>
        <w:spacing w:after="0"/>
        <w:tabs>
          <w:tab w:leader="none" w:pos="1400" w:val="left"/>
        </w:tabs>
        <w:numPr>
          <w:ilvl w:val="1"/>
          <w:numId w:val="181"/>
        </w:numPr>
        <w:rPr>
          <w:rFonts w:ascii="Arial" w:cs="Arial" w:eastAsia="Arial" w:hAnsi="Arial"/>
          <w:sz w:val="11"/>
          <w:szCs w:val="11"/>
          <w:color w:val="auto"/>
        </w:rPr>
      </w:pPr>
      <w:r>
        <w:rPr>
          <w:rFonts w:ascii="Arial" w:cs="Arial" w:eastAsia="Arial" w:hAnsi="Arial"/>
          <w:sz w:val="11"/>
          <w:szCs w:val="11"/>
          <w:color w:val="auto"/>
        </w:rPr>
        <w:t>an application or order is sought or made in any court, which is not withdrawn or dismissed within ten Business Days, for:</w:t>
      </w:r>
    </w:p>
    <w:p>
      <w:pPr>
        <w:spacing w:after="0" w:line="61" w:lineRule="exact"/>
        <w:rPr>
          <w:rFonts w:ascii="Arial" w:cs="Arial" w:eastAsia="Arial" w:hAnsi="Arial"/>
          <w:sz w:val="11"/>
          <w:szCs w:val="11"/>
          <w:color w:val="auto"/>
        </w:rPr>
      </w:pPr>
    </w:p>
    <w:p>
      <w:pPr>
        <w:ind w:left="1660" w:hanging="275"/>
        <w:spacing w:after="0"/>
        <w:tabs>
          <w:tab w:leader="none" w:pos="1660" w:val="left"/>
        </w:tabs>
        <w:numPr>
          <w:ilvl w:val="2"/>
          <w:numId w:val="181"/>
        </w:numPr>
        <w:rPr>
          <w:rFonts w:ascii="Arial" w:cs="Arial" w:eastAsia="Arial" w:hAnsi="Arial"/>
          <w:sz w:val="11"/>
          <w:szCs w:val="11"/>
          <w:color w:val="auto"/>
        </w:rPr>
      </w:pPr>
      <w:r>
        <w:rPr>
          <w:rFonts w:ascii="Arial" w:cs="Arial" w:eastAsia="Arial" w:hAnsi="Arial"/>
          <w:sz w:val="11"/>
          <w:szCs w:val="11"/>
          <w:color w:val="auto"/>
        </w:rPr>
        <w:t>the property of the Trust to be administered by the court; or</w:t>
      </w:r>
    </w:p>
    <w:p>
      <w:pPr>
        <w:spacing w:after="0" w:line="76" w:lineRule="exact"/>
        <w:rPr>
          <w:rFonts w:ascii="Arial" w:cs="Arial" w:eastAsia="Arial" w:hAnsi="Arial"/>
          <w:sz w:val="11"/>
          <w:szCs w:val="11"/>
          <w:color w:val="auto"/>
        </w:rPr>
      </w:pPr>
    </w:p>
    <w:p>
      <w:pPr>
        <w:ind w:left="1660" w:hanging="275"/>
        <w:spacing w:after="0"/>
        <w:tabs>
          <w:tab w:leader="none" w:pos="1660" w:val="left"/>
        </w:tabs>
        <w:numPr>
          <w:ilvl w:val="2"/>
          <w:numId w:val="181"/>
        </w:numPr>
        <w:rPr>
          <w:rFonts w:ascii="Arial" w:cs="Arial" w:eastAsia="Arial" w:hAnsi="Arial"/>
          <w:sz w:val="11"/>
          <w:szCs w:val="11"/>
          <w:color w:val="auto"/>
        </w:rPr>
      </w:pPr>
      <w:r>
        <w:rPr>
          <w:rFonts w:ascii="Arial" w:cs="Arial" w:eastAsia="Arial" w:hAnsi="Arial"/>
          <w:sz w:val="11"/>
          <w:szCs w:val="11"/>
          <w:color w:val="auto"/>
        </w:rPr>
        <w:t>an account to be taken in relation to the Trust; or</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181"/>
        </w:numPr>
        <w:rPr>
          <w:rFonts w:ascii="Arial" w:cs="Arial" w:eastAsia="Arial" w:hAnsi="Arial"/>
          <w:sz w:val="11"/>
          <w:szCs w:val="11"/>
          <w:color w:val="auto"/>
        </w:rPr>
      </w:pPr>
      <w:r>
        <w:rPr>
          <w:rFonts w:ascii="Arial" w:cs="Arial" w:eastAsia="Arial" w:hAnsi="Arial"/>
          <w:sz w:val="11"/>
          <w:szCs w:val="11"/>
          <w:color w:val="auto"/>
        </w:rPr>
        <w:t>non-compliance by the Trustee with its obligations as trustee under the Trust Deed which has a Material Adverse Effect.</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10.2</w:t>
      </w:r>
      <w:r>
        <w:rPr>
          <w:sz w:val="20"/>
          <w:szCs w:val="20"/>
          <w:color w:val="auto"/>
        </w:rPr>
        <w:tab/>
      </w:r>
      <w:r>
        <w:rPr>
          <w:rFonts w:ascii="Arial" w:cs="Arial" w:eastAsia="Arial" w:hAnsi="Arial"/>
          <w:sz w:val="11"/>
          <w:szCs w:val="11"/>
          <w:b w:val="1"/>
          <w:bCs w:val="1"/>
          <w:color w:val="auto"/>
        </w:rPr>
        <w:t>Effect of Event of Default</w:t>
      </w:r>
    </w:p>
    <w:p>
      <w:pPr>
        <w:spacing w:after="0" w:line="47" w:lineRule="exact"/>
        <w:rPr>
          <w:sz w:val="20"/>
          <w:szCs w:val="20"/>
          <w:color w:val="auto"/>
        </w:rPr>
      </w:pPr>
    </w:p>
    <w:p>
      <w:pPr>
        <w:ind w:left="1080" w:hanging="280"/>
        <w:spacing w:after="0"/>
        <w:tabs>
          <w:tab w:leader="none" w:pos="1080" w:val="left"/>
        </w:tabs>
        <w:numPr>
          <w:ilvl w:val="0"/>
          <w:numId w:val="182"/>
        </w:numPr>
        <w:rPr>
          <w:rFonts w:ascii="Arial" w:cs="Arial" w:eastAsia="Arial" w:hAnsi="Arial"/>
          <w:sz w:val="11"/>
          <w:szCs w:val="11"/>
          <w:color w:val="auto"/>
        </w:rPr>
      </w:pPr>
      <w:r>
        <w:rPr>
          <w:rFonts w:ascii="Arial" w:cs="Arial" w:eastAsia="Arial" w:hAnsi="Arial"/>
          <w:sz w:val="11"/>
          <w:szCs w:val="11"/>
          <w:color w:val="auto"/>
        </w:rPr>
        <w:t>If an Event of Default subsists the Bank may at any time by notice to the Borrower do any or all of the following:</w:t>
      </w:r>
    </w:p>
    <w:p>
      <w:pPr>
        <w:spacing w:after="0" w:line="40" w:lineRule="exact"/>
        <w:rPr>
          <w:rFonts w:ascii="Arial" w:cs="Arial" w:eastAsia="Arial" w:hAnsi="Arial"/>
          <w:sz w:val="11"/>
          <w:szCs w:val="11"/>
          <w:color w:val="auto"/>
        </w:rPr>
      </w:pPr>
    </w:p>
    <w:p>
      <w:pPr>
        <w:ind w:left="1400" w:hanging="285"/>
        <w:spacing w:after="0"/>
        <w:tabs>
          <w:tab w:leader="none" w:pos="1400" w:val="left"/>
        </w:tabs>
        <w:numPr>
          <w:ilvl w:val="1"/>
          <w:numId w:val="182"/>
        </w:numPr>
        <w:rPr>
          <w:rFonts w:ascii="Arial" w:cs="Arial" w:eastAsia="Arial" w:hAnsi="Arial"/>
          <w:sz w:val="11"/>
          <w:szCs w:val="11"/>
          <w:color w:val="auto"/>
        </w:rPr>
      </w:pPr>
      <w:r>
        <w:rPr>
          <w:rFonts w:ascii="Arial" w:cs="Arial" w:eastAsia="Arial" w:hAnsi="Arial"/>
          <w:sz w:val="11"/>
          <w:szCs w:val="11"/>
          <w:b w:val="1"/>
          <w:bCs w:val="1"/>
          <w:color w:val="auto"/>
        </w:rPr>
        <w:t xml:space="preserve">cancel Facility: </w:t>
      </w:r>
      <w:r>
        <w:rPr>
          <w:rFonts w:ascii="Arial" w:cs="Arial" w:eastAsia="Arial" w:hAnsi="Arial"/>
          <w:sz w:val="11"/>
          <w:szCs w:val="11"/>
          <w:color w:val="auto"/>
        </w:rPr>
        <w:t>cancel any or all of the Facilities or any part of a Facility, specified in the notice;</w:t>
      </w:r>
    </w:p>
    <w:p>
      <w:pPr>
        <w:spacing w:after="0" w:line="46" w:lineRule="exact"/>
        <w:rPr>
          <w:rFonts w:ascii="Arial" w:cs="Arial" w:eastAsia="Arial" w:hAnsi="Arial"/>
          <w:sz w:val="11"/>
          <w:szCs w:val="11"/>
          <w:color w:val="auto"/>
        </w:rPr>
      </w:pPr>
    </w:p>
    <w:p>
      <w:pPr>
        <w:ind w:left="1400" w:right="380" w:hanging="285"/>
        <w:spacing w:after="0" w:line="268" w:lineRule="auto"/>
        <w:tabs>
          <w:tab w:leader="none" w:pos="1400" w:val="left"/>
        </w:tabs>
        <w:numPr>
          <w:ilvl w:val="1"/>
          <w:numId w:val="182"/>
        </w:numPr>
        <w:rPr>
          <w:rFonts w:ascii="Arial" w:cs="Arial" w:eastAsia="Arial" w:hAnsi="Arial"/>
          <w:sz w:val="11"/>
          <w:szCs w:val="11"/>
          <w:color w:val="auto"/>
        </w:rPr>
      </w:pPr>
      <w:r>
        <w:rPr>
          <w:rFonts w:ascii="Arial" w:cs="Arial" w:eastAsia="Arial" w:hAnsi="Arial"/>
          <w:sz w:val="11"/>
          <w:szCs w:val="11"/>
          <w:b w:val="1"/>
          <w:bCs w:val="1"/>
          <w:color w:val="auto"/>
        </w:rPr>
        <w:t xml:space="preserve">accelerate: </w:t>
      </w:r>
      <w:r>
        <w:rPr>
          <w:rFonts w:ascii="Arial" w:cs="Arial" w:eastAsia="Arial" w:hAnsi="Arial"/>
          <w:sz w:val="11"/>
          <w:szCs w:val="11"/>
          <w:color w:val="auto"/>
        </w:rPr>
        <w:t>make so much of the Outstanding Accommodation which is not then immediately due and payable, any unpaid accrued interest or fees and any</w:t>
      </w:r>
      <w:r>
        <w:rPr>
          <w:rFonts w:ascii="Arial" w:cs="Arial" w:eastAsia="Arial" w:hAnsi="Arial"/>
          <w:sz w:val="11"/>
          <w:szCs w:val="11"/>
          <w:b w:val="1"/>
          <w:bCs w:val="1"/>
          <w:color w:val="auto"/>
        </w:rPr>
        <w:t xml:space="preserve"> </w:t>
      </w:r>
      <w:r>
        <w:rPr>
          <w:rFonts w:ascii="Arial" w:cs="Arial" w:eastAsia="Arial" w:hAnsi="Arial"/>
          <w:sz w:val="11"/>
          <w:szCs w:val="11"/>
          <w:color w:val="auto"/>
        </w:rPr>
        <w:t>other money owing by the Borrower to the Bank in relation to the Transaction Documents either:</w:t>
      </w:r>
    </w:p>
    <w:p>
      <w:pPr>
        <w:spacing w:after="0" w:line="31" w:lineRule="exact"/>
        <w:rPr>
          <w:rFonts w:ascii="Arial" w:cs="Arial" w:eastAsia="Arial" w:hAnsi="Arial"/>
          <w:sz w:val="11"/>
          <w:szCs w:val="11"/>
          <w:color w:val="auto"/>
        </w:rPr>
      </w:pPr>
    </w:p>
    <w:p>
      <w:pPr>
        <w:ind w:left="1660" w:hanging="275"/>
        <w:spacing w:after="0"/>
        <w:tabs>
          <w:tab w:leader="none" w:pos="1660" w:val="left"/>
        </w:tabs>
        <w:numPr>
          <w:ilvl w:val="2"/>
          <w:numId w:val="182"/>
        </w:numPr>
        <w:rPr>
          <w:rFonts w:ascii="Arial" w:cs="Arial" w:eastAsia="Arial" w:hAnsi="Arial"/>
          <w:sz w:val="11"/>
          <w:szCs w:val="11"/>
          <w:color w:val="auto"/>
        </w:rPr>
      </w:pPr>
      <w:r>
        <w:rPr>
          <w:rFonts w:ascii="Arial" w:cs="Arial" w:eastAsia="Arial" w:hAnsi="Arial"/>
          <w:sz w:val="11"/>
          <w:szCs w:val="11"/>
          <w:color w:val="auto"/>
        </w:rPr>
        <w:t>payable on demand; or</w:t>
      </w:r>
    </w:p>
    <w:p>
      <w:pPr>
        <w:spacing w:after="0" w:line="76" w:lineRule="exact"/>
        <w:rPr>
          <w:rFonts w:ascii="Arial" w:cs="Arial" w:eastAsia="Arial" w:hAnsi="Arial"/>
          <w:sz w:val="11"/>
          <w:szCs w:val="11"/>
          <w:color w:val="auto"/>
        </w:rPr>
      </w:pPr>
    </w:p>
    <w:p>
      <w:pPr>
        <w:ind w:left="1660" w:hanging="275"/>
        <w:spacing w:after="0"/>
        <w:tabs>
          <w:tab w:leader="none" w:pos="1660" w:val="left"/>
        </w:tabs>
        <w:numPr>
          <w:ilvl w:val="2"/>
          <w:numId w:val="182"/>
        </w:numPr>
        <w:rPr>
          <w:rFonts w:ascii="Arial" w:cs="Arial" w:eastAsia="Arial" w:hAnsi="Arial"/>
          <w:sz w:val="11"/>
          <w:szCs w:val="11"/>
          <w:color w:val="auto"/>
        </w:rPr>
      </w:pPr>
      <w:r>
        <w:rPr>
          <w:rFonts w:ascii="Arial" w:cs="Arial" w:eastAsia="Arial" w:hAnsi="Arial"/>
          <w:sz w:val="11"/>
          <w:szCs w:val="11"/>
          <w:color w:val="auto"/>
        </w:rPr>
        <w:t>immediately due for payment;</w:t>
      </w:r>
    </w:p>
    <w:p>
      <w:pPr>
        <w:spacing w:after="0" w:line="70" w:lineRule="exact"/>
        <w:rPr>
          <w:rFonts w:ascii="Arial" w:cs="Arial" w:eastAsia="Arial" w:hAnsi="Arial"/>
          <w:sz w:val="11"/>
          <w:szCs w:val="11"/>
          <w:color w:val="auto"/>
        </w:rPr>
      </w:pPr>
    </w:p>
    <w:p>
      <w:pPr>
        <w:ind w:left="1400" w:hanging="285"/>
        <w:spacing w:after="0"/>
        <w:tabs>
          <w:tab w:leader="none" w:pos="1400" w:val="left"/>
        </w:tabs>
        <w:numPr>
          <w:ilvl w:val="1"/>
          <w:numId w:val="182"/>
        </w:numPr>
        <w:rPr>
          <w:rFonts w:ascii="Arial" w:cs="Arial" w:eastAsia="Arial" w:hAnsi="Arial"/>
          <w:sz w:val="11"/>
          <w:szCs w:val="11"/>
          <w:b w:val="1"/>
          <w:bCs w:val="1"/>
          <w:color w:val="auto"/>
        </w:rPr>
      </w:pPr>
      <w:r>
        <w:rPr>
          <w:rFonts w:ascii="Arial" w:cs="Arial" w:eastAsia="Arial" w:hAnsi="Arial"/>
          <w:sz w:val="11"/>
          <w:szCs w:val="11"/>
          <w:b w:val="1"/>
          <w:bCs w:val="1"/>
          <w:color w:val="auto"/>
        </w:rPr>
        <w:t>Not used</w:t>
      </w:r>
    </w:p>
    <w:p>
      <w:pPr>
        <w:spacing w:after="0" w:line="76" w:lineRule="exact"/>
        <w:rPr>
          <w:rFonts w:ascii="Arial" w:cs="Arial" w:eastAsia="Arial" w:hAnsi="Arial"/>
          <w:sz w:val="11"/>
          <w:szCs w:val="11"/>
          <w:b w:val="1"/>
          <w:bCs w:val="1"/>
          <w:color w:val="auto"/>
        </w:rPr>
      </w:pPr>
    </w:p>
    <w:p>
      <w:pPr>
        <w:ind w:left="1400" w:hanging="285"/>
        <w:spacing w:after="0"/>
        <w:tabs>
          <w:tab w:leader="none" w:pos="1400" w:val="left"/>
        </w:tabs>
        <w:numPr>
          <w:ilvl w:val="1"/>
          <w:numId w:val="182"/>
        </w:numPr>
        <w:rPr>
          <w:rFonts w:ascii="Arial" w:cs="Arial" w:eastAsia="Arial" w:hAnsi="Arial"/>
          <w:sz w:val="11"/>
          <w:szCs w:val="11"/>
          <w:b w:val="1"/>
          <w:bCs w:val="1"/>
          <w:color w:val="auto"/>
        </w:rPr>
      </w:pPr>
      <w:r>
        <w:rPr>
          <w:rFonts w:ascii="Arial" w:cs="Arial" w:eastAsia="Arial" w:hAnsi="Arial"/>
          <w:sz w:val="11"/>
          <w:szCs w:val="11"/>
          <w:b w:val="1"/>
          <w:bCs w:val="1"/>
          <w:color w:val="auto"/>
        </w:rPr>
        <w:t>Bank Guarantees:</w:t>
      </w:r>
    </w:p>
    <w:p>
      <w:pPr>
        <w:spacing w:after="0" w:line="74" w:lineRule="exact"/>
        <w:rPr>
          <w:rFonts w:ascii="Arial" w:cs="Arial" w:eastAsia="Arial" w:hAnsi="Arial"/>
          <w:sz w:val="11"/>
          <w:szCs w:val="11"/>
          <w:b w:val="1"/>
          <w:bCs w:val="1"/>
          <w:color w:val="auto"/>
        </w:rPr>
      </w:pPr>
    </w:p>
    <w:p>
      <w:pPr>
        <w:ind w:left="1660" w:right="220" w:hanging="275"/>
        <w:spacing w:after="0" w:line="242" w:lineRule="auto"/>
        <w:tabs>
          <w:tab w:leader="none" w:pos="1660" w:val="left"/>
        </w:tabs>
        <w:numPr>
          <w:ilvl w:val="2"/>
          <w:numId w:val="182"/>
        </w:numPr>
        <w:rPr>
          <w:rFonts w:ascii="Arial" w:cs="Arial" w:eastAsia="Arial" w:hAnsi="Arial"/>
          <w:sz w:val="11"/>
          <w:szCs w:val="11"/>
          <w:color w:val="auto"/>
        </w:rPr>
      </w:pPr>
      <w:r>
        <w:rPr>
          <w:rFonts w:ascii="Arial" w:cs="Arial" w:eastAsia="Arial" w:hAnsi="Arial"/>
          <w:sz w:val="11"/>
          <w:szCs w:val="11"/>
          <w:color w:val="auto"/>
        </w:rPr>
        <w:t>by notice to the Borrower require the Borrower to pay immediately to the Bank the aggregate of the Face Values for all Current Bank Guarantees as at the date of the notice, together with any unpaid accrued interest or fees and any other money (including all Indemnity Amounts) owing by the Borrower to the Bank in relation to the Transaction Documents;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55</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23" w:name="page124"/>
    <w:bookmarkEnd w:id="123"/>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60" w:right="200" w:hanging="275"/>
        <w:spacing w:after="0" w:line="242" w:lineRule="auto"/>
        <w:tabs>
          <w:tab w:leader="none" w:pos="1660" w:val="left"/>
        </w:tabs>
        <w:numPr>
          <w:ilvl w:val="2"/>
          <w:numId w:val="183"/>
        </w:numPr>
        <w:rPr>
          <w:rFonts w:ascii="Arial" w:cs="Arial" w:eastAsia="Arial" w:hAnsi="Arial"/>
          <w:sz w:val="11"/>
          <w:szCs w:val="11"/>
          <w:color w:val="auto"/>
        </w:rPr>
      </w:pPr>
      <w:r>
        <w:rPr>
          <w:rFonts w:ascii="Arial" w:cs="Arial" w:eastAsia="Arial" w:hAnsi="Arial"/>
          <w:sz w:val="11"/>
          <w:szCs w:val="11"/>
          <w:color w:val="auto"/>
        </w:rPr>
        <w:t>pay the Beneficiaries of any one or more of the Current Bank Guarantees the amount agreed between the Bank and the relevant Beneficiary sufficient to obtain from the Beneficiary an unconditional release of the Bank’s obligations under the relevant Bank Guarantee on terms satisfactory to the Bank (acting reasonably).</w:t>
      </w:r>
    </w:p>
    <w:p>
      <w:pPr>
        <w:spacing w:after="0" w:line="23" w:lineRule="exact"/>
        <w:rPr>
          <w:rFonts w:ascii="Arial" w:cs="Arial" w:eastAsia="Arial" w:hAnsi="Arial"/>
          <w:sz w:val="11"/>
          <w:szCs w:val="11"/>
          <w:color w:val="auto"/>
        </w:rPr>
      </w:pPr>
    </w:p>
    <w:p>
      <w:pPr>
        <w:ind w:left="1400" w:right="120" w:hanging="285"/>
        <w:spacing w:after="0" w:line="235" w:lineRule="auto"/>
        <w:tabs>
          <w:tab w:leader="none" w:pos="1400" w:val="left"/>
        </w:tabs>
        <w:numPr>
          <w:ilvl w:val="1"/>
          <w:numId w:val="184"/>
        </w:numPr>
        <w:rPr>
          <w:rFonts w:ascii="Arial" w:cs="Arial" w:eastAsia="Arial" w:hAnsi="Arial"/>
          <w:sz w:val="11"/>
          <w:szCs w:val="11"/>
          <w:color w:val="auto"/>
        </w:rPr>
      </w:pPr>
      <w:r>
        <w:rPr>
          <w:rFonts w:ascii="Arial" w:cs="Arial" w:eastAsia="Arial" w:hAnsi="Arial"/>
          <w:sz w:val="11"/>
          <w:szCs w:val="11"/>
          <w:b w:val="1"/>
          <w:bCs w:val="1"/>
          <w:color w:val="auto"/>
        </w:rPr>
        <w:t xml:space="preserve">engage consultants: </w:t>
      </w:r>
      <w:r>
        <w:rPr>
          <w:rFonts w:ascii="Arial" w:cs="Arial" w:eastAsia="Arial" w:hAnsi="Arial"/>
          <w:sz w:val="11"/>
          <w:szCs w:val="11"/>
          <w:color w:val="auto"/>
        </w:rPr>
        <w:t>at the cost of the Borrower, appoint (or require the Borrower to appoint) such accountancy, financial management and other consultants as</w:t>
      </w:r>
      <w:r>
        <w:rPr>
          <w:rFonts w:ascii="Arial" w:cs="Arial" w:eastAsia="Arial" w:hAnsi="Arial"/>
          <w:sz w:val="11"/>
          <w:szCs w:val="11"/>
          <w:b w:val="1"/>
          <w:bCs w:val="1"/>
          <w:color w:val="auto"/>
        </w:rPr>
        <w:t xml:space="preserve"> </w:t>
      </w:r>
      <w:r>
        <w:rPr>
          <w:rFonts w:ascii="Arial" w:cs="Arial" w:eastAsia="Arial" w:hAnsi="Arial"/>
          <w:sz w:val="11"/>
          <w:szCs w:val="11"/>
          <w:color w:val="auto"/>
        </w:rPr>
        <w:t>the Bank may nominate to investigate the business affairs and financial condition of any Transaction Party and whether each Transaction Party has complied with each Transaction Document to which it is a party and to make recommendations relating to the manner in which the Transaction Party carries on its business. Each Transaction Party agrees to provide all assistance and information required by the consultants (including making all financial records available and giving access to all premises and records) to enable the consultants to conduct their examination promptly, completely and accurately. No Transaction Party is obliged to accept the recommendations of any consultant, and the Bank will assume no liability with respect to any actions a Transaction Party takes, or does not take, as a result of those recommendations; or</w:t>
      </w:r>
    </w:p>
    <w:p>
      <w:pPr>
        <w:spacing w:after="0" w:line="26" w:lineRule="exact"/>
        <w:rPr>
          <w:rFonts w:ascii="Arial" w:cs="Arial" w:eastAsia="Arial" w:hAnsi="Arial"/>
          <w:sz w:val="11"/>
          <w:szCs w:val="11"/>
          <w:color w:val="auto"/>
        </w:rPr>
      </w:pPr>
    </w:p>
    <w:p>
      <w:pPr>
        <w:ind w:left="1400" w:right="1060" w:hanging="285"/>
        <w:spacing w:after="0" w:line="237" w:lineRule="auto"/>
        <w:tabs>
          <w:tab w:leader="none" w:pos="1400" w:val="left"/>
        </w:tabs>
        <w:numPr>
          <w:ilvl w:val="1"/>
          <w:numId w:val="184"/>
        </w:numPr>
        <w:rPr>
          <w:rFonts w:ascii="Arial" w:cs="Arial" w:eastAsia="Arial" w:hAnsi="Arial"/>
          <w:sz w:val="11"/>
          <w:szCs w:val="11"/>
          <w:color w:val="auto"/>
        </w:rPr>
      </w:pPr>
      <w:r>
        <w:rPr>
          <w:rFonts w:ascii="Arial" w:cs="Arial" w:eastAsia="Arial" w:hAnsi="Arial"/>
          <w:sz w:val="11"/>
          <w:szCs w:val="11"/>
          <w:b w:val="1"/>
          <w:bCs w:val="1"/>
          <w:color w:val="auto"/>
        </w:rPr>
        <w:t>treasury related transactions</w:t>
      </w:r>
      <w:r>
        <w:rPr>
          <w:rFonts w:ascii="Arial" w:cs="Arial" w:eastAsia="Arial" w:hAnsi="Arial"/>
          <w:sz w:val="11"/>
          <w:szCs w:val="11"/>
          <w:color w:val="auto"/>
        </w:rPr>
        <w:t>: if there are any Hedging Transactions or treasury related transactions in existence between the Bank and the Borrower</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Open Positions</w:t>
      </w:r>
      <w:r>
        <w:rPr>
          <w:rFonts w:ascii="Arial" w:cs="Arial" w:eastAsia="Arial" w:hAnsi="Arial"/>
          <w:sz w:val="11"/>
          <w:szCs w:val="11"/>
          <w:color w:val="auto"/>
        </w:rPr>
        <w:t>) then:</w:t>
      </w:r>
    </w:p>
    <w:p>
      <w:pPr>
        <w:spacing w:after="0" w:line="17" w:lineRule="exact"/>
        <w:rPr>
          <w:rFonts w:ascii="Arial" w:cs="Arial" w:eastAsia="Arial" w:hAnsi="Arial"/>
          <w:sz w:val="11"/>
          <w:szCs w:val="11"/>
          <w:color w:val="auto"/>
        </w:rPr>
      </w:pPr>
    </w:p>
    <w:p>
      <w:pPr>
        <w:ind w:left="1660" w:right="440" w:hanging="275"/>
        <w:spacing w:after="0" w:line="256" w:lineRule="auto"/>
        <w:tabs>
          <w:tab w:leader="none" w:pos="1660" w:val="left"/>
        </w:tabs>
        <w:numPr>
          <w:ilvl w:val="2"/>
          <w:numId w:val="184"/>
        </w:numPr>
        <w:rPr>
          <w:rFonts w:ascii="Arial" w:cs="Arial" w:eastAsia="Arial" w:hAnsi="Arial"/>
          <w:sz w:val="11"/>
          <w:szCs w:val="11"/>
          <w:color w:val="auto"/>
        </w:rPr>
      </w:pPr>
      <w:r>
        <w:rPr>
          <w:rFonts w:ascii="Arial" w:cs="Arial" w:eastAsia="Arial" w:hAnsi="Arial"/>
          <w:sz w:val="11"/>
          <w:szCs w:val="11"/>
          <w:color w:val="auto"/>
        </w:rPr>
        <w:t>the Bank may close out the Open Positions, by entering into opposite positions for the balance of the unexpired term, or by such other means as may be usual in the relevant market. Any such close out must be at market rates prevailing at the time;</w:t>
      </w:r>
    </w:p>
    <w:p>
      <w:pPr>
        <w:spacing w:after="0" w:line="22" w:lineRule="exact"/>
        <w:rPr>
          <w:rFonts w:ascii="Arial" w:cs="Arial" w:eastAsia="Arial" w:hAnsi="Arial"/>
          <w:sz w:val="11"/>
          <w:szCs w:val="11"/>
          <w:color w:val="auto"/>
        </w:rPr>
      </w:pPr>
    </w:p>
    <w:p>
      <w:pPr>
        <w:ind w:left="1660" w:hanging="275"/>
        <w:spacing w:after="0"/>
        <w:tabs>
          <w:tab w:leader="none" w:pos="1660" w:val="left"/>
        </w:tabs>
        <w:numPr>
          <w:ilvl w:val="2"/>
          <w:numId w:val="184"/>
        </w:numPr>
        <w:rPr>
          <w:rFonts w:ascii="Arial" w:cs="Arial" w:eastAsia="Arial" w:hAnsi="Arial"/>
          <w:sz w:val="11"/>
          <w:szCs w:val="11"/>
          <w:color w:val="auto"/>
        </w:rPr>
      </w:pPr>
      <w:r>
        <w:rPr>
          <w:rFonts w:ascii="Arial" w:cs="Arial" w:eastAsia="Arial" w:hAnsi="Arial"/>
          <w:sz w:val="11"/>
          <w:szCs w:val="11"/>
          <w:color w:val="auto"/>
        </w:rPr>
        <w:t>any costs incurred by the Bank in closing out Open Positions must be paid by the Borrower to the Bank immediately upon demand by the Bank;</w:t>
      </w:r>
    </w:p>
    <w:p>
      <w:pPr>
        <w:spacing w:after="0" w:line="46" w:lineRule="exact"/>
        <w:rPr>
          <w:rFonts w:ascii="Arial" w:cs="Arial" w:eastAsia="Arial" w:hAnsi="Arial"/>
          <w:sz w:val="11"/>
          <w:szCs w:val="11"/>
          <w:color w:val="auto"/>
        </w:rPr>
      </w:pPr>
    </w:p>
    <w:p>
      <w:pPr>
        <w:ind w:left="1660" w:hanging="275"/>
        <w:spacing w:after="0"/>
        <w:tabs>
          <w:tab w:leader="none" w:pos="1660" w:val="left"/>
        </w:tabs>
        <w:numPr>
          <w:ilvl w:val="2"/>
          <w:numId w:val="184"/>
        </w:numPr>
        <w:rPr>
          <w:rFonts w:ascii="Arial" w:cs="Arial" w:eastAsia="Arial" w:hAnsi="Arial"/>
          <w:sz w:val="11"/>
          <w:szCs w:val="11"/>
          <w:color w:val="auto"/>
        </w:rPr>
      </w:pPr>
      <w:r>
        <w:rPr>
          <w:rFonts w:ascii="Arial" w:cs="Arial" w:eastAsia="Arial" w:hAnsi="Arial"/>
          <w:sz w:val="11"/>
          <w:szCs w:val="11"/>
          <w:color w:val="auto"/>
        </w:rPr>
        <w:t>any gain derived from the closing out of the Open Positions will be credited to the Borrower and set off against the Amount Owing; and</w:t>
      </w:r>
    </w:p>
    <w:p>
      <w:pPr>
        <w:spacing w:after="0" w:line="46" w:lineRule="exact"/>
        <w:rPr>
          <w:rFonts w:ascii="Arial" w:cs="Arial" w:eastAsia="Arial" w:hAnsi="Arial"/>
          <w:sz w:val="11"/>
          <w:szCs w:val="11"/>
          <w:color w:val="auto"/>
        </w:rPr>
      </w:pPr>
    </w:p>
    <w:p>
      <w:pPr>
        <w:ind w:left="1660" w:right="140" w:hanging="275"/>
        <w:spacing w:after="0" w:line="256" w:lineRule="auto"/>
        <w:tabs>
          <w:tab w:leader="none" w:pos="1660" w:val="left"/>
        </w:tabs>
        <w:numPr>
          <w:ilvl w:val="2"/>
          <w:numId w:val="184"/>
        </w:numPr>
        <w:rPr>
          <w:rFonts w:ascii="Arial" w:cs="Arial" w:eastAsia="Arial" w:hAnsi="Arial"/>
          <w:sz w:val="11"/>
          <w:szCs w:val="11"/>
          <w:color w:val="auto"/>
        </w:rPr>
      </w:pPr>
      <w:r>
        <w:rPr>
          <w:rFonts w:ascii="Arial" w:cs="Arial" w:eastAsia="Arial" w:hAnsi="Arial"/>
          <w:sz w:val="11"/>
          <w:szCs w:val="11"/>
          <w:color w:val="auto"/>
        </w:rPr>
        <w:t>the Bank will give the Borrower reasonable particulars of the manner of close out of the Open Positions and the basis of calculation of any amounts payable by or to the relevant Borrower arising from that close out.</w:t>
      </w:r>
    </w:p>
    <w:p>
      <w:pPr>
        <w:spacing w:after="0" w:line="17" w:lineRule="exact"/>
        <w:rPr>
          <w:rFonts w:ascii="Arial" w:cs="Arial" w:eastAsia="Arial" w:hAnsi="Arial"/>
          <w:sz w:val="11"/>
          <w:szCs w:val="11"/>
          <w:color w:val="auto"/>
        </w:rPr>
      </w:pPr>
    </w:p>
    <w:p>
      <w:pPr>
        <w:ind w:left="1080" w:hanging="280"/>
        <w:spacing w:after="0"/>
        <w:tabs>
          <w:tab w:leader="none" w:pos="1080" w:val="left"/>
        </w:tabs>
        <w:numPr>
          <w:ilvl w:val="0"/>
          <w:numId w:val="185"/>
        </w:numPr>
        <w:rPr>
          <w:rFonts w:ascii="Arial" w:cs="Arial" w:eastAsia="Arial" w:hAnsi="Arial"/>
          <w:sz w:val="11"/>
          <w:szCs w:val="11"/>
          <w:color w:val="auto"/>
        </w:rPr>
      </w:pPr>
      <w:r>
        <w:rPr>
          <w:rFonts w:ascii="Arial" w:cs="Arial" w:eastAsia="Arial" w:hAnsi="Arial"/>
          <w:sz w:val="11"/>
          <w:szCs w:val="11"/>
          <w:color w:val="auto"/>
        </w:rPr>
        <w:t xml:space="preserve">On receipt of a notice under </w:t>
      </w:r>
      <w:r>
        <w:rPr>
          <w:rFonts w:ascii="Arial" w:cs="Arial" w:eastAsia="Arial" w:hAnsi="Arial"/>
          <w:sz w:val="11"/>
          <w:szCs w:val="11"/>
          <w:b w:val="1"/>
          <w:bCs w:val="1"/>
          <w:color w:val="auto"/>
        </w:rPr>
        <w:t>clause 10.2(a)(ii)(A)</w:t>
      </w:r>
      <w:r>
        <w:rPr>
          <w:rFonts w:ascii="Arial" w:cs="Arial" w:eastAsia="Arial" w:hAnsi="Arial"/>
          <w:sz w:val="11"/>
          <w:szCs w:val="11"/>
          <w:color w:val="auto"/>
        </w:rPr>
        <w:t xml:space="preserve"> or </w:t>
      </w:r>
      <w:r>
        <w:rPr>
          <w:rFonts w:ascii="Arial" w:cs="Arial" w:eastAsia="Arial" w:hAnsi="Arial"/>
          <w:sz w:val="11"/>
          <w:szCs w:val="11"/>
          <w:b w:val="1"/>
          <w:bCs w:val="1"/>
          <w:color w:val="auto"/>
        </w:rPr>
        <w:t>10.2(a)(ii)(B)</w:t>
      </w:r>
      <w:r>
        <w:rPr>
          <w:rFonts w:ascii="Arial" w:cs="Arial" w:eastAsia="Arial" w:hAnsi="Arial"/>
          <w:sz w:val="11"/>
          <w:szCs w:val="11"/>
          <w:color w:val="auto"/>
        </w:rPr>
        <w:t>, the Borrower must immediately pay in full the amounts referred to in that notice.</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56</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24" w:name="page125"/>
    <w:bookmarkEnd w:id="124"/>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9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10.3</w:t>
      </w:r>
      <w:r>
        <w:rPr>
          <w:sz w:val="20"/>
          <w:szCs w:val="20"/>
          <w:color w:val="auto"/>
        </w:rPr>
        <w:tab/>
      </w:r>
      <w:r>
        <w:rPr>
          <w:rFonts w:ascii="Arial" w:cs="Arial" w:eastAsia="Arial" w:hAnsi="Arial"/>
          <w:sz w:val="11"/>
          <w:szCs w:val="11"/>
          <w:b w:val="1"/>
          <w:bCs w:val="1"/>
          <w:color w:val="auto"/>
        </w:rPr>
        <w:t>Cash Cover Account regarding Bank Guarantees</w:t>
      </w:r>
    </w:p>
    <w:p>
      <w:pPr>
        <w:spacing w:after="0" w:line="41" w:lineRule="exact"/>
        <w:rPr>
          <w:sz w:val="20"/>
          <w:szCs w:val="20"/>
          <w:color w:val="auto"/>
        </w:rPr>
      </w:pPr>
    </w:p>
    <w:p>
      <w:pPr>
        <w:ind w:left="1080" w:right="240" w:hanging="280"/>
        <w:spacing w:after="0" w:line="287" w:lineRule="auto"/>
        <w:tabs>
          <w:tab w:leader="none" w:pos="1080" w:val="left"/>
        </w:tabs>
        <w:numPr>
          <w:ilvl w:val="0"/>
          <w:numId w:val="186"/>
        </w:numPr>
        <w:rPr>
          <w:rFonts w:ascii="Arial" w:cs="Arial" w:eastAsia="Arial" w:hAnsi="Arial"/>
          <w:sz w:val="11"/>
          <w:szCs w:val="11"/>
          <w:color w:val="auto"/>
        </w:rPr>
      </w:pPr>
      <w:r>
        <w:rPr>
          <w:rFonts w:ascii="Arial" w:cs="Arial" w:eastAsia="Arial" w:hAnsi="Arial"/>
          <w:sz w:val="11"/>
          <w:szCs w:val="11"/>
          <w:color w:val="auto"/>
        </w:rPr>
        <w:t xml:space="preserve">The Bank must credit so much of the money paid by the Borrower under </w:t>
      </w:r>
      <w:r>
        <w:rPr>
          <w:rFonts w:ascii="Arial" w:cs="Arial" w:eastAsia="Arial" w:hAnsi="Arial"/>
          <w:sz w:val="11"/>
          <w:szCs w:val="11"/>
          <w:b w:val="1"/>
          <w:bCs w:val="1"/>
          <w:color w:val="auto"/>
        </w:rPr>
        <w:t>clause 10.2(a)(iv)(A)</w:t>
      </w:r>
      <w:r>
        <w:rPr>
          <w:rFonts w:ascii="Arial" w:cs="Arial" w:eastAsia="Arial" w:hAnsi="Arial"/>
          <w:sz w:val="11"/>
          <w:szCs w:val="11"/>
          <w:color w:val="auto"/>
        </w:rPr>
        <w:t xml:space="preserve"> which the Bank appropriates towards the Face Values of Current Bank Guarantees to an account maintained by the Bank for this purpose (</w:t>
      </w:r>
      <w:r>
        <w:rPr>
          <w:rFonts w:ascii="Arial" w:cs="Arial" w:eastAsia="Arial" w:hAnsi="Arial"/>
          <w:sz w:val="11"/>
          <w:szCs w:val="11"/>
          <w:b w:val="1"/>
          <w:bCs w:val="1"/>
          <w:color w:val="auto"/>
        </w:rPr>
        <w:t>Cash Cover Account</w:t>
      </w:r>
      <w:r>
        <w:rPr>
          <w:rFonts w:ascii="Arial" w:cs="Arial" w:eastAsia="Arial" w:hAnsi="Arial"/>
          <w:sz w:val="11"/>
          <w:szCs w:val="11"/>
          <w:color w:val="auto"/>
        </w:rPr>
        <w:t>).</w:t>
      </w:r>
    </w:p>
    <w:p>
      <w:pPr>
        <w:spacing w:after="0" w:line="3" w:lineRule="exact"/>
        <w:rPr>
          <w:rFonts w:ascii="Arial" w:cs="Arial" w:eastAsia="Arial" w:hAnsi="Arial"/>
          <w:sz w:val="11"/>
          <w:szCs w:val="11"/>
          <w:color w:val="auto"/>
        </w:rPr>
      </w:pPr>
    </w:p>
    <w:p>
      <w:pPr>
        <w:ind w:left="1080" w:hanging="280"/>
        <w:spacing w:after="0"/>
        <w:tabs>
          <w:tab w:leader="none" w:pos="1080" w:val="left"/>
        </w:tabs>
        <w:numPr>
          <w:ilvl w:val="0"/>
          <w:numId w:val="186"/>
        </w:numPr>
        <w:rPr>
          <w:rFonts w:ascii="Arial" w:cs="Arial" w:eastAsia="Arial" w:hAnsi="Arial"/>
          <w:sz w:val="11"/>
          <w:szCs w:val="11"/>
          <w:color w:val="auto"/>
        </w:rPr>
      </w:pPr>
      <w:r>
        <w:rPr>
          <w:rFonts w:ascii="Arial" w:cs="Arial" w:eastAsia="Arial" w:hAnsi="Arial"/>
          <w:sz w:val="11"/>
          <w:szCs w:val="11"/>
          <w:color w:val="auto"/>
        </w:rPr>
        <w:t>The following provisions apply to the Cash Cover Account:</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186"/>
        </w:numPr>
        <w:rPr>
          <w:rFonts w:ascii="Arial" w:cs="Arial" w:eastAsia="Arial" w:hAnsi="Arial"/>
          <w:sz w:val="11"/>
          <w:szCs w:val="11"/>
          <w:color w:val="auto"/>
        </w:rPr>
      </w:pPr>
      <w:r>
        <w:rPr>
          <w:rFonts w:ascii="Arial" w:cs="Arial" w:eastAsia="Arial" w:hAnsi="Arial"/>
          <w:sz w:val="11"/>
          <w:szCs w:val="11"/>
          <w:color w:val="auto"/>
        </w:rPr>
        <w:t>the account will be in the name of the Borrower;</w:t>
      </w:r>
    </w:p>
    <w:p>
      <w:pPr>
        <w:spacing w:after="0" w:line="68" w:lineRule="exact"/>
        <w:rPr>
          <w:rFonts w:ascii="Arial" w:cs="Arial" w:eastAsia="Arial" w:hAnsi="Arial"/>
          <w:sz w:val="11"/>
          <w:szCs w:val="11"/>
          <w:color w:val="auto"/>
        </w:rPr>
      </w:pPr>
    </w:p>
    <w:p>
      <w:pPr>
        <w:ind w:left="1400" w:right="540" w:hanging="285"/>
        <w:spacing w:after="0" w:line="256" w:lineRule="auto"/>
        <w:tabs>
          <w:tab w:leader="none" w:pos="1400" w:val="left"/>
        </w:tabs>
        <w:numPr>
          <w:ilvl w:val="1"/>
          <w:numId w:val="186"/>
        </w:numPr>
        <w:rPr>
          <w:rFonts w:ascii="Arial" w:cs="Arial" w:eastAsia="Arial" w:hAnsi="Arial"/>
          <w:sz w:val="11"/>
          <w:szCs w:val="11"/>
          <w:color w:val="auto"/>
        </w:rPr>
      </w:pPr>
      <w:r>
        <w:rPr>
          <w:rFonts w:ascii="Arial" w:cs="Arial" w:eastAsia="Arial" w:hAnsi="Arial"/>
          <w:sz w:val="11"/>
          <w:szCs w:val="11"/>
          <w:color w:val="auto"/>
        </w:rPr>
        <w:t>despite the Cash Cover Account being in the name of the Borrower, until the Release Date the money held in the account is not owed by the Bank to the Borrower and the Borrower is not entitled to withdraw or be paid any of that money (including interest credited to the account);</w:t>
      </w:r>
    </w:p>
    <w:p>
      <w:pPr>
        <w:spacing w:after="0" w:line="22" w:lineRule="exact"/>
        <w:rPr>
          <w:rFonts w:ascii="Arial" w:cs="Arial" w:eastAsia="Arial" w:hAnsi="Arial"/>
          <w:sz w:val="11"/>
          <w:szCs w:val="11"/>
          <w:color w:val="auto"/>
        </w:rPr>
      </w:pPr>
    </w:p>
    <w:p>
      <w:pPr>
        <w:ind w:left="1400" w:right="580" w:hanging="285"/>
        <w:spacing w:after="0" w:line="256" w:lineRule="auto"/>
        <w:tabs>
          <w:tab w:leader="none" w:pos="1400" w:val="left"/>
        </w:tabs>
        <w:numPr>
          <w:ilvl w:val="1"/>
          <w:numId w:val="186"/>
        </w:numPr>
        <w:rPr>
          <w:rFonts w:ascii="Arial" w:cs="Arial" w:eastAsia="Arial" w:hAnsi="Arial"/>
          <w:sz w:val="11"/>
          <w:szCs w:val="11"/>
          <w:color w:val="auto"/>
        </w:rPr>
      </w:pPr>
      <w:r>
        <w:rPr>
          <w:rFonts w:ascii="Arial" w:cs="Arial" w:eastAsia="Arial" w:hAnsi="Arial"/>
          <w:sz w:val="11"/>
          <w:szCs w:val="11"/>
          <w:color w:val="auto"/>
        </w:rPr>
        <w:t>the Bank must credit to the account interest at the Cash Cover Rate from time to time and that interest will be credited to the account monthly and on the Release Date; and</w:t>
      </w:r>
    </w:p>
    <w:p>
      <w:pPr>
        <w:spacing w:after="0" w:line="16" w:lineRule="exact"/>
        <w:rPr>
          <w:rFonts w:ascii="Arial" w:cs="Arial" w:eastAsia="Arial" w:hAnsi="Arial"/>
          <w:sz w:val="11"/>
          <w:szCs w:val="11"/>
          <w:color w:val="auto"/>
        </w:rPr>
      </w:pPr>
    </w:p>
    <w:p>
      <w:pPr>
        <w:ind w:left="1400" w:right="880" w:hanging="285"/>
        <w:spacing w:after="0" w:line="268" w:lineRule="auto"/>
        <w:tabs>
          <w:tab w:leader="none" w:pos="1400" w:val="left"/>
        </w:tabs>
        <w:numPr>
          <w:ilvl w:val="1"/>
          <w:numId w:val="186"/>
        </w:numPr>
        <w:rPr>
          <w:rFonts w:ascii="Arial" w:cs="Arial" w:eastAsia="Arial" w:hAnsi="Arial"/>
          <w:sz w:val="11"/>
          <w:szCs w:val="11"/>
          <w:color w:val="auto"/>
        </w:rPr>
      </w:pPr>
      <w:r>
        <w:rPr>
          <w:rFonts w:ascii="Arial" w:cs="Arial" w:eastAsia="Arial" w:hAnsi="Arial"/>
          <w:sz w:val="11"/>
          <w:szCs w:val="11"/>
          <w:color w:val="auto"/>
        </w:rPr>
        <w:t xml:space="preserve">without limiting this </w:t>
      </w:r>
      <w:r>
        <w:rPr>
          <w:rFonts w:ascii="Arial" w:cs="Arial" w:eastAsia="Arial" w:hAnsi="Arial"/>
          <w:sz w:val="11"/>
          <w:szCs w:val="11"/>
          <w:b w:val="1"/>
          <w:bCs w:val="1"/>
          <w:color w:val="auto"/>
        </w:rPr>
        <w:t>clause 10.3</w:t>
      </w:r>
      <w:r>
        <w:rPr>
          <w:rFonts w:ascii="Arial" w:cs="Arial" w:eastAsia="Arial" w:hAnsi="Arial"/>
          <w:sz w:val="11"/>
          <w:szCs w:val="11"/>
          <w:color w:val="auto"/>
        </w:rPr>
        <w:t>, the Bank may apply any amounts from time to time held in the account towards payment of any amounts due and payable from time to time to the Bank under any Transaction Document.</w:t>
      </w:r>
    </w:p>
    <w:p>
      <w:pPr>
        <w:spacing w:after="0" w:line="16" w:lineRule="exact"/>
        <w:rPr>
          <w:rFonts w:ascii="Arial" w:cs="Arial" w:eastAsia="Arial" w:hAnsi="Arial"/>
          <w:sz w:val="11"/>
          <w:szCs w:val="11"/>
          <w:color w:val="auto"/>
        </w:rPr>
      </w:pPr>
    </w:p>
    <w:p>
      <w:pPr>
        <w:ind w:left="1100" w:hanging="285"/>
        <w:spacing w:after="0"/>
        <w:tabs>
          <w:tab w:leader="none" w:pos="1100" w:val="left"/>
        </w:tabs>
        <w:numPr>
          <w:ilvl w:val="0"/>
          <w:numId w:val="186"/>
        </w:numPr>
        <w:rPr>
          <w:rFonts w:ascii="Arial" w:cs="Arial" w:eastAsia="Arial" w:hAnsi="Arial"/>
          <w:sz w:val="11"/>
          <w:szCs w:val="11"/>
          <w:color w:val="auto"/>
        </w:rPr>
      </w:pPr>
      <w:r>
        <w:rPr>
          <w:rFonts w:ascii="Arial" w:cs="Arial" w:eastAsia="Arial" w:hAnsi="Arial"/>
          <w:sz w:val="11"/>
          <w:szCs w:val="11"/>
          <w:color w:val="auto"/>
        </w:rPr>
        <w:t>On the Release Date, the Bank must pay to the Borrower the credit balance of the Cash Cover Account.</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10.4</w:t>
      </w:r>
      <w:r>
        <w:rPr>
          <w:sz w:val="20"/>
          <w:szCs w:val="20"/>
          <w:color w:val="auto"/>
        </w:rPr>
        <w:tab/>
      </w:r>
      <w:r>
        <w:rPr>
          <w:rFonts w:ascii="Arial" w:cs="Arial" w:eastAsia="Arial" w:hAnsi="Arial"/>
          <w:sz w:val="11"/>
          <w:szCs w:val="11"/>
          <w:b w:val="1"/>
          <w:bCs w:val="1"/>
          <w:color w:val="auto"/>
        </w:rPr>
        <w:t>Review Events</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Each of the following is a Review Event (whether or not caused by anything outside the control of any Transaction Party):</w:t>
      </w:r>
    </w:p>
    <w:p>
      <w:pPr>
        <w:spacing w:after="0" w:line="54" w:lineRule="exact"/>
        <w:rPr>
          <w:sz w:val="20"/>
          <w:szCs w:val="20"/>
          <w:color w:val="auto"/>
        </w:rPr>
      </w:pPr>
    </w:p>
    <w:p>
      <w:pPr>
        <w:ind w:left="1100" w:hanging="285"/>
        <w:spacing w:after="0"/>
        <w:tabs>
          <w:tab w:leader="none" w:pos="1100" w:val="left"/>
        </w:tabs>
        <w:numPr>
          <w:ilvl w:val="0"/>
          <w:numId w:val="187"/>
        </w:numPr>
        <w:rPr>
          <w:rFonts w:ascii="Arial" w:cs="Arial" w:eastAsia="Arial" w:hAnsi="Arial"/>
          <w:sz w:val="11"/>
          <w:szCs w:val="11"/>
          <w:color w:val="auto"/>
        </w:rPr>
      </w:pPr>
      <w:r>
        <w:rPr>
          <w:rFonts w:ascii="Arial" w:cs="Arial" w:eastAsia="Arial" w:hAnsi="Arial"/>
          <w:sz w:val="11"/>
          <w:szCs w:val="11"/>
          <w:color w:val="auto"/>
        </w:rPr>
        <w:t>there is an Insolvency Event in respect of Reading International Inc; and</w:t>
      </w:r>
    </w:p>
    <w:p>
      <w:pPr>
        <w:spacing w:after="0" w:line="76" w:lineRule="exact"/>
        <w:rPr>
          <w:rFonts w:ascii="Arial" w:cs="Arial" w:eastAsia="Arial" w:hAnsi="Arial"/>
          <w:sz w:val="11"/>
          <w:szCs w:val="11"/>
          <w:color w:val="auto"/>
        </w:rPr>
      </w:pPr>
    </w:p>
    <w:p>
      <w:pPr>
        <w:ind w:left="1100" w:hanging="285"/>
        <w:spacing w:after="0"/>
        <w:tabs>
          <w:tab w:leader="none" w:pos="1100" w:val="left"/>
        </w:tabs>
        <w:numPr>
          <w:ilvl w:val="0"/>
          <w:numId w:val="187"/>
        </w:numPr>
        <w:rPr>
          <w:rFonts w:ascii="Arial" w:cs="Arial" w:eastAsia="Arial" w:hAnsi="Arial"/>
          <w:sz w:val="11"/>
          <w:szCs w:val="11"/>
          <w:color w:val="auto"/>
        </w:rPr>
      </w:pPr>
      <w:r>
        <w:rPr>
          <w:rFonts w:ascii="Arial" w:cs="Arial" w:eastAsia="Arial" w:hAnsi="Arial"/>
          <w:sz w:val="11"/>
          <w:szCs w:val="11"/>
          <w:color w:val="auto"/>
        </w:rPr>
        <w:t>a Change of Control occurs in relation to any Transaction Party.</w:t>
      </w:r>
    </w:p>
    <w:p>
      <w:pPr>
        <w:spacing w:after="0" w:line="101"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10.5</w:t>
      </w:r>
      <w:r>
        <w:rPr>
          <w:sz w:val="20"/>
          <w:szCs w:val="20"/>
          <w:color w:val="auto"/>
        </w:rPr>
        <w:tab/>
      </w:r>
      <w:r>
        <w:rPr>
          <w:rFonts w:ascii="Arial" w:cs="Arial" w:eastAsia="Arial" w:hAnsi="Arial"/>
          <w:sz w:val="11"/>
          <w:szCs w:val="11"/>
          <w:b w:val="1"/>
          <w:bCs w:val="1"/>
          <w:color w:val="auto"/>
        </w:rPr>
        <w:t>Reviews</w:t>
      </w:r>
    </w:p>
    <w:p>
      <w:pPr>
        <w:spacing w:after="0" w:line="47" w:lineRule="exact"/>
        <w:rPr>
          <w:sz w:val="20"/>
          <w:szCs w:val="20"/>
          <w:color w:val="auto"/>
        </w:rPr>
      </w:pPr>
    </w:p>
    <w:p>
      <w:pPr>
        <w:ind w:left="1100" w:hanging="285"/>
        <w:spacing w:after="0"/>
        <w:tabs>
          <w:tab w:leader="none" w:pos="1100" w:val="left"/>
        </w:tabs>
        <w:numPr>
          <w:ilvl w:val="0"/>
          <w:numId w:val="188"/>
        </w:numPr>
        <w:rPr>
          <w:rFonts w:ascii="Arial" w:cs="Arial" w:eastAsia="Arial" w:hAnsi="Arial"/>
          <w:sz w:val="11"/>
          <w:szCs w:val="11"/>
          <w:color w:val="auto"/>
        </w:rPr>
      </w:pPr>
      <w:r>
        <w:rPr>
          <w:rFonts w:ascii="Arial" w:cs="Arial" w:eastAsia="Arial" w:hAnsi="Arial"/>
          <w:sz w:val="11"/>
          <w:szCs w:val="11"/>
          <w:color w:val="auto"/>
        </w:rPr>
        <w:t>In addition to any other review rights the Bank has under this document, the Bank may conduct a review of any Facility following a Review Event.</w:t>
      </w:r>
    </w:p>
    <w:p>
      <w:pPr>
        <w:spacing w:after="0" w:line="61" w:lineRule="exact"/>
        <w:rPr>
          <w:rFonts w:ascii="Arial" w:cs="Arial" w:eastAsia="Arial" w:hAnsi="Arial"/>
          <w:sz w:val="11"/>
          <w:szCs w:val="11"/>
          <w:color w:val="auto"/>
        </w:rPr>
      </w:pPr>
    </w:p>
    <w:p>
      <w:pPr>
        <w:ind w:left="1100" w:hanging="285"/>
        <w:spacing w:after="0"/>
        <w:tabs>
          <w:tab w:leader="none" w:pos="1100" w:val="left"/>
        </w:tabs>
        <w:numPr>
          <w:ilvl w:val="0"/>
          <w:numId w:val="188"/>
        </w:numPr>
        <w:rPr>
          <w:rFonts w:ascii="Arial" w:cs="Arial" w:eastAsia="Arial" w:hAnsi="Arial"/>
          <w:sz w:val="11"/>
          <w:szCs w:val="11"/>
          <w:color w:val="auto"/>
        </w:rPr>
      </w:pPr>
      <w:r>
        <w:rPr>
          <w:rFonts w:ascii="Arial" w:cs="Arial" w:eastAsia="Arial" w:hAnsi="Arial"/>
          <w:sz w:val="11"/>
          <w:szCs w:val="11"/>
          <w:color w:val="auto"/>
        </w:rPr>
        <w:t>If a Review Event has occurred, then, at any time or from time to time:</w:t>
      </w:r>
    </w:p>
    <w:p>
      <w:pPr>
        <w:spacing w:after="0" w:line="68" w:lineRule="exact"/>
        <w:rPr>
          <w:rFonts w:ascii="Arial" w:cs="Arial" w:eastAsia="Arial" w:hAnsi="Arial"/>
          <w:sz w:val="11"/>
          <w:szCs w:val="11"/>
          <w:color w:val="auto"/>
        </w:rPr>
      </w:pPr>
    </w:p>
    <w:p>
      <w:pPr>
        <w:ind w:left="1400" w:right="320" w:hanging="285"/>
        <w:spacing w:after="0" w:line="256" w:lineRule="auto"/>
        <w:tabs>
          <w:tab w:leader="none" w:pos="1400" w:val="left"/>
        </w:tabs>
        <w:numPr>
          <w:ilvl w:val="1"/>
          <w:numId w:val="188"/>
        </w:numPr>
        <w:rPr>
          <w:rFonts w:ascii="Arial" w:cs="Arial" w:eastAsia="Arial" w:hAnsi="Arial"/>
          <w:sz w:val="11"/>
          <w:szCs w:val="11"/>
          <w:color w:val="auto"/>
        </w:rPr>
      </w:pPr>
      <w:r>
        <w:rPr>
          <w:rFonts w:ascii="Arial" w:cs="Arial" w:eastAsia="Arial" w:hAnsi="Arial"/>
          <w:sz w:val="11"/>
          <w:szCs w:val="11"/>
          <w:color w:val="auto"/>
        </w:rPr>
        <w:t>the Bank may change any of the conditions applying to the Facility including, but not limited to, increasing or otherwise varying the fees payable in connection with the Facility; and/or</w:t>
      </w:r>
    </w:p>
    <w:p>
      <w:pPr>
        <w:spacing w:after="0" w:line="22" w:lineRule="exact"/>
        <w:rPr>
          <w:rFonts w:ascii="Arial" w:cs="Arial" w:eastAsia="Arial" w:hAnsi="Arial"/>
          <w:sz w:val="11"/>
          <w:szCs w:val="11"/>
          <w:color w:val="auto"/>
        </w:rPr>
      </w:pPr>
    </w:p>
    <w:p>
      <w:pPr>
        <w:ind w:left="1400" w:right="580" w:hanging="285"/>
        <w:spacing w:after="0" w:line="256" w:lineRule="auto"/>
        <w:tabs>
          <w:tab w:leader="none" w:pos="1400" w:val="left"/>
        </w:tabs>
        <w:numPr>
          <w:ilvl w:val="1"/>
          <w:numId w:val="188"/>
        </w:numPr>
        <w:rPr>
          <w:rFonts w:ascii="Arial" w:cs="Arial" w:eastAsia="Arial" w:hAnsi="Arial"/>
          <w:sz w:val="11"/>
          <w:szCs w:val="11"/>
          <w:color w:val="auto"/>
        </w:rPr>
      </w:pPr>
      <w:r>
        <w:rPr>
          <w:rFonts w:ascii="Arial" w:cs="Arial" w:eastAsia="Arial" w:hAnsi="Arial"/>
          <w:sz w:val="11"/>
          <w:szCs w:val="11"/>
          <w:color w:val="auto"/>
        </w:rPr>
        <w:t>the Bank may terminate the Facility. If the Bank terminates the Facility, the Termination Date occurs on the date 30 days after the date the Bank notifies the Borrower that it wishes to terminate the Facility.</w:t>
      </w:r>
    </w:p>
    <w:p>
      <w:pPr>
        <w:spacing w:after="0" w:line="22" w:lineRule="exact"/>
        <w:rPr>
          <w:rFonts w:ascii="Arial" w:cs="Arial" w:eastAsia="Arial" w:hAnsi="Arial"/>
          <w:sz w:val="11"/>
          <w:szCs w:val="11"/>
          <w:color w:val="auto"/>
        </w:rPr>
      </w:pPr>
    </w:p>
    <w:p>
      <w:pPr>
        <w:ind w:left="1100" w:hanging="285"/>
        <w:spacing w:after="0"/>
        <w:tabs>
          <w:tab w:leader="none" w:pos="1100" w:val="left"/>
        </w:tabs>
        <w:numPr>
          <w:ilvl w:val="0"/>
          <w:numId w:val="188"/>
        </w:numPr>
        <w:rPr>
          <w:rFonts w:ascii="Arial" w:cs="Arial" w:eastAsia="Arial" w:hAnsi="Arial"/>
          <w:sz w:val="11"/>
          <w:szCs w:val="11"/>
          <w:color w:val="auto"/>
        </w:rPr>
      </w:pPr>
      <w:r>
        <w:rPr>
          <w:rFonts w:ascii="Arial" w:cs="Arial" w:eastAsia="Arial" w:hAnsi="Arial"/>
          <w:sz w:val="11"/>
          <w:szCs w:val="11"/>
          <w:color w:val="auto"/>
        </w:rPr>
        <w:t>The Bank may not change any of the conditions applying to the Facility unless it has first given 30 days prior notice to the Borrower of the intended change.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57</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25" w:name="page126"/>
    <w:bookmarkEnd w:id="125"/>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right="220" w:hanging="285"/>
        <w:spacing w:after="0" w:line="256" w:lineRule="auto"/>
        <w:tabs>
          <w:tab w:leader="none" w:pos="1100" w:val="left"/>
        </w:tabs>
        <w:numPr>
          <w:ilvl w:val="0"/>
          <w:numId w:val="189"/>
        </w:numPr>
        <w:rPr>
          <w:rFonts w:ascii="Arial" w:cs="Arial" w:eastAsia="Arial" w:hAnsi="Arial"/>
          <w:sz w:val="11"/>
          <w:szCs w:val="11"/>
          <w:color w:val="auto"/>
        </w:rPr>
      </w:pPr>
      <w:r>
        <w:rPr>
          <w:rFonts w:ascii="Arial" w:cs="Arial" w:eastAsia="Arial" w:hAnsi="Arial"/>
          <w:sz w:val="11"/>
          <w:szCs w:val="11"/>
          <w:color w:val="auto"/>
        </w:rPr>
        <w:t>If the Bank gives notice of any change to the conditions of any Facility and the Borrower refuses to accept the changes before the end of the period of notice, then at the end of that period, the Facility will become repayable within 30 days of any demand by the Bank.</w:t>
      </w:r>
    </w:p>
    <w:p>
      <w:pPr>
        <w:spacing w:after="0" w:line="22" w:lineRule="exact"/>
        <w:rPr>
          <w:rFonts w:ascii="Arial" w:cs="Arial" w:eastAsia="Arial" w:hAnsi="Arial"/>
          <w:sz w:val="11"/>
          <w:szCs w:val="11"/>
          <w:color w:val="auto"/>
        </w:rPr>
      </w:pPr>
    </w:p>
    <w:p>
      <w:pPr>
        <w:ind w:left="1100" w:hanging="285"/>
        <w:spacing w:after="0"/>
        <w:tabs>
          <w:tab w:leader="none" w:pos="1100" w:val="left"/>
        </w:tabs>
        <w:numPr>
          <w:ilvl w:val="0"/>
          <w:numId w:val="189"/>
        </w:numPr>
        <w:rPr>
          <w:rFonts w:ascii="Arial" w:cs="Arial" w:eastAsia="Arial" w:hAnsi="Arial"/>
          <w:sz w:val="11"/>
          <w:szCs w:val="11"/>
          <w:color w:val="auto"/>
        </w:rPr>
      </w:pPr>
      <w:r>
        <w:rPr>
          <w:rFonts w:ascii="Arial" w:cs="Arial" w:eastAsia="Arial" w:hAnsi="Arial"/>
          <w:sz w:val="11"/>
          <w:szCs w:val="11"/>
          <w:color w:val="auto"/>
        </w:rPr>
        <w:t>Nothing in this clause affects the Bank’s rights if any Event of Default occurs.</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10.6</w:t>
        <w:tab/>
        <w:t>Equity Cure</w:t>
      </w:r>
    </w:p>
    <w:p>
      <w:pPr>
        <w:spacing w:after="0" w:line="41" w:lineRule="exact"/>
        <w:rPr>
          <w:sz w:val="20"/>
          <w:szCs w:val="20"/>
          <w:color w:val="auto"/>
        </w:rPr>
      </w:pPr>
    </w:p>
    <w:p>
      <w:pPr>
        <w:ind w:left="1080" w:right="380" w:hanging="280"/>
        <w:spacing w:after="0"/>
        <w:tabs>
          <w:tab w:leader="none" w:pos="1080" w:val="left"/>
        </w:tabs>
        <w:numPr>
          <w:ilvl w:val="0"/>
          <w:numId w:val="190"/>
        </w:numPr>
        <w:rPr>
          <w:rFonts w:ascii="Arial" w:cs="Arial" w:eastAsia="Arial" w:hAnsi="Arial"/>
          <w:sz w:val="11"/>
          <w:szCs w:val="11"/>
          <w:color w:val="auto"/>
        </w:rPr>
      </w:pPr>
      <w:r>
        <w:rPr>
          <w:rFonts w:ascii="Arial" w:cs="Arial" w:eastAsia="Arial" w:hAnsi="Arial"/>
          <w:sz w:val="11"/>
          <w:szCs w:val="11"/>
          <w:color w:val="auto"/>
        </w:rPr>
        <w:t xml:space="preserve">If a breach of a Financial Ratio (other than the Fixed Charges Cover Ratio) occurs, the Borrower will have the right subject to </w:t>
      </w:r>
      <w:r>
        <w:rPr>
          <w:rFonts w:ascii="Arial" w:cs="Arial" w:eastAsia="Arial" w:hAnsi="Arial"/>
          <w:sz w:val="11"/>
          <w:szCs w:val="11"/>
          <w:b w:val="1"/>
          <w:bCs w:val="1"/>
          <w:color w:val="auto"/>
        </w:rPr>
        <w:t>clause 10.6(b)</w:t>
      </w:r>
      <w:r>
        <w:rPr>
          <w:rFonts w:ascii="Arial" w:cs="Arial" w:eastAsia="Arial" w:hAnsi="Arial"/>
          <w:sz w:val="11"/>
          <w:szCs w:val="11"/>
          <w:color w:val="auto"/>
        </w:rPr>
        <w:t xml:space="preserve"> to cure the breach by procuring additional Subordinated Debt or an equity contribution by way of subscription for new shares in the Borrower (or a combination of both) in</w:t>
      </w:r>
    </w:p>
    <w:p>
      <w:pPr>
        <w:spacing w:after="0" w:line="1" w:lineRule="exact"/>
        <w:rPr>
          <w:rFonts w:ascii="Arial" w:cs="Arial" w:eastAsia="Arial" w:hAnsi="Arial"/>
          <w:sz w:val="11"/>
          <w:szCs w:val="11"/>
          <w:color w:val="auto"/>
        </w:rPr>
      </w:pPr>
    </w:p>
    <w:p>
      <w:pPr>
        <w:ind w:left="1080"/>
        <w:spacing w:after="0"/>
        <w:rPr>
          <w:rFonts w:ascii="Arial" w:cs="Arial" w:eastAsia="Arial" w:hAnsi="Arial"/>
          <w:sz w:val="11"/>
          <w:szCs w:val="11"/>
          <w:color w:val="auto"/>
        </w:rPr>
      </w:pPr>
      <w:r>
        <w:rPr>
          <w:rFonts w:ascii="Arial" w:cs="Arial" w:eastAsia="Arial" w:hAnsi="Arial"/>
          <w:sz w:val="11"/>
          <w:szCs w:val="11"/>
          <w:color w:val="auto"/>
        </w:rPr>
        <w:t>an amount sufficient to cure the breach when applied in prepayment of the Outstanding Accommodation (Equity Cure).</w:t>
      </w:r>
    </w:p>
    <w:p>
      <w:pPr>
        <w:spacing w:after="0" w:line="45" w:lineRule="exact"/>
        <w:rPr>
          <w:rFonts w:ascii="Arial" w:cs="Arial" w:eastAsia="Arial" w:hAnsi="Arial"/>
          <w:sz w:val="11"/>
          <w:szCs w:val="11"/>
          <w:color w:val="auto"/>
        </w:rPr>
      </w:pPr>
    </w:p>
    <w:p>
      <w:pPr>
        <w:ind w:left="1080" w:hanging="280"/>
        <w:spacing w:after="0"/>
        <w:tabs>
          <w:tab w:leader="none" w:pos="1080" w:val="left"/>
        </w:tabs>
        <w:numPr>
          <w:ilvl w:val="0"/>
          <w:numId w:val="190"/>
        </w:numPr>
        <w:rPr>
          <w:rFonts w:ascii="Arial" w:cs="Arial" w:eastAsia="Arial" w:hAnsi="Arial"/>
          <w:sz w:val="11"/>
          <w:szCs w:val="11"/>
          <w:color w:val="auto"/>
        </w:rPr>
      </w:pPr>
      <w:r>
        <w:rPr>
          <w:rFonts w:ascii="Arial" w:cs="Arial" w:eastAsia="Arial" w:hAnsi="Arial"/>
          <w:sz w:val="11"/>
          <w:szCs w:val="11"/>
          <w:color w:val="auto"/>
        </w:rPr>
        <w:t>Equity Cure may not be used:</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190"/>
        </w:numPr>
        <w:rPr>
          <w:rFonts w:ascii="Arial" w:cs="Arial" w:eastAsia="Arial" w:hAnsi="Arial"/>
          <w:sz w:val="11"/>
          <w:szCs w:val="11"/>
          <w:color w:val="auto"/>
        </w:rPr>
      </w:pPr>
      <w:r>
        <w:rPr>
          <w:rFonts w:ascii="Arial" w:cs="Arial" w:eastAsia="Arial" w:hAnsi="Arial"/>
          <w:sz w:val="11"/>
          <w:szCs w:val="11"/>
          <w:color w:val="auto"/>
        </w:rPr>
        <w:t>more than 3 times during the term of the Facilities; or</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190"/>
        </w:numPr>
        <w:rPr>
          <w:rFonts w:ascii="Arial" w:cs="Arial" w:eastAsia="Arial" w:hAnsi="Arial"/>
          <w:sz w:val="11"/>
          <w:szCs w:val="11"/>
          <w:color w:val="auto"/>
        </w:rPr>
      </w:pPr>
      <w:r>
        <w:rPr>
          <w:rFonts w:ascii="Arial" w:cs="Arial" w:eastAsia="Arial" w:hAnsi="Arial"/>
          <w:sz w:val="11"/>
          <w:szCs w:val="11"/>
          <w:color w:val="auto"/>
        </w:rPr>
        <w:t>in respect of breach of a Financial Ratio on a Calculation Date, where Equity Cure has been used to cure a breach on the preceding Calculation Date.</w:t>
      </w:r>
    </w:p>
    <w:p>
      <w:pPr>
        <w:spacing w:after="0" w:line="53" w:lineRule="exact"/>
        <w:rPr>
          <w:rFonts w:ascii="Arial" w:cs="Arial" w:eastAsia="Arial" w:hAnsi="Arial"/>
          <w:sz w:val="11"/>
          <w:szCs w:val="11"/>
          <w:color w:val="auto"/>
        </w:rPr>
      </w:pPr>
    </w:p>
    <w:p>
      <w:pPr>
        <w:ind w:left="1080" w:right="400" w:hanging="280"/>
        <w:spacing w:after="0" w:line="256" w:lineRule="auto"/>
        <w:tabs>
          <w:tab w:leader="none" w:pos="1080" w:val="left"/>
        </w:tabs>
        <w:numPr>
          <w:ilvl w:val="0"/>
          <w:numId w:val="190"/>
        </w:numPr>
        <w:rPr>
          <w:rFonts w:ascii="Arial" w:cs="Arial" w:eastAsia="Arial" w:hAnsi="Arial"/>
          <w:sz w:val="11"/>
          <w:szCs w:val="11"/>
          <w:color w:val="auto"/>
        </w:rPr>
      </w:pPr>
      <w:r>
        <w:rPr>
          <w:rFonts w:ascii="Arial" w:cs="Arial" w:eastAsia="Arial" w:hAnsi="Arial"/>
          <w:sz w:val="11"/>
          <w:szCs w:val="11"/>
          <w:color w:val="auto"/>
        </w:rPr>
        <w:t>The Borrower must notify the Bank of its intention to provide an Equity Cure and effect the Equity Cure, within 10 Business Days of the delivery of the Compliance Certificate that identified the breach.</w:t>
      </w:r>
    </w:p>
    <w:p>
      <w:pPr>
        <w:spacing w:after="0" w:line="22" w:lineRule="exact"/>
        <w:rPr>
          <w:rFonts w:ascii="Arial" w:cs="Arial" w:eastAsia="Arial" w:hAnsi="Arial"/>
          <w:sz w:val="11"/>
          <w:szCs w:val="11"/>
          <w:color w:val="auto"/>
        </w:rPr>
      </w:pPr>
    </w:p>
    <w:p>
      <w:pPr>
        <w:ind w:left="1080" w:right="140" w:hanging="280"/>
        <w:spacing w:after="0" w:line="242" w:lineRule="auto"/>
        <w:tabs>
          <w:tab w:leader="none" w:pos="1080" w:val="left"/>
        </w:tabs>
        <w:numPr>
          <w:ilvl w:val="0"/>
          <w:numId w:val="190"/>
        </w:numPr>
        <w:rPr>
          <w:rFonts w:ascii="Arial" w:cs="Arial" w:eastAsia="Arial" w:hAnsi="Arial"/>
          <w:sz w:val="11"/>
          <w:szCs w:val="11"/>
          <w:color w:val="auto"/>
        </w:rPr>
      </w:pPr>
      <w:r>
        <w:rPr>
          <w:rFonts w:ascii="Arial" w:cs="Arial" w:eastAsia="Arial" w:hAnsi="Arial"/>
          <w:sz w:val="11"/>
          <w:szCs w:val="11"/>
          <w:color w:val="auto"/>
        </w:rPr>
        <w:t>The amount of an Equity Cure will be deemed to be applied as of the first day of the relevant test period in prepayment of the Outstanding Accommodation. The breach of the Financial Ratio will be taken to have been cured immediately upon the requisite proceeds being applied in prepayment and the Borrower confirming to the Bank that the amount prepaid when the Financial Ratio is recalculated is sufficient to ensure that the relevant Financial Ratio is met.</w:t>
      </w:r>
    </w:p>
    <w:p>
      <w:pPr>
        <w:spacing w:after="0" w:line="23" w:lineRule="exact"/>
        <w:rPr>
          <w:rFonts w:ascii="Arial" w:cs="Arial" w:eastAsia="Arial" w:hAnsi="Arial"/>
          <w:sz w:val="11"/>
          <w:szCs w:val="11"/>
          <w:color w:val="auto"/>
        </w:rPr>
      </w:pPr>
    </w:p>
    <w:p>
      <w:pPr>
        <w:ind w:left="1080" w:hanging="280"/>
        <w:spacing w:after="0"/>
        <w:tabs>
          <w:tab w:leader="none" w:pos="1080" w:val="left"/>
        </w:tabs>
        <w:numPr>
          <w:ilvl w:val="0"/>
          <w:numId w:val="190"/>
        </w:numPr>
        <w:rPr>
          <w:rFonts w:ascii="Arial" w:cs="Arial" w:eastAsia="Arial" w:hAnsi="Arial"/>
          <w:sz w:val="11"/>
          <w:szCs w:val="11"/>
          <w:color w:val="auto"/>
        </w:rPr>
      </w:pPr>
      <w:r>
        <w:rPr>
          <w:rFonts w:ascii="Arial" w:cs="Arial" w:eastAsia="Arial" w:hAnsi="Arial"/>
          <w:sz w:val="11"/>
          <w:szCs w:val="11"/>
          <w:color w:val="auto"/>
        </w:rPr>
        <w:t xml:space="preserve">Notwithstanding </w:t>
      </w:r>
      <w:r>
        <w:rPr>
          <w:rFonts w:ascii="Arial" w:cs="Arial" w:eastAsia="Arial" w:hAnsi="Arial"/>
          <w:sz w:val="11"/>
          <w:szCs w:val="11"/>
          <w:b w:val="1"/>
          <w:bCs w:val="1"/>
          <w:color w:val="auto"/>
        </w:rPr>
        <w:t>clause 10.6(d)</w:t>
      </w:r>
      <w:r>
        <w:rPr>
          <w:rFonts w:ascii="Arial" w:cs="Arial" w:eastAsia="Arial" w:hAnsi="Arial"/>
          <w:sz w:val="11"/>
          <w:szCs w:val="11"/>
          <w:color w:val="auto"/>
        </w:rPr>
        <w:t>, any Equity Cure will be disregarded when calculating the Leverage Ratio for the purposes of determining the Margin.</w:t>
      </w:r>
    </w:p>
    <w:p>
      <w:pPr>
        <w:spacing w:after="0" w:line="294"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6"/>
          <w:szCs w:val="16"/>
          <w:color w:val="auto"/>
        </w:rPr>
        <w:t>11</w:t>
        <w:tab/>
        <w:t>Costs and expenses</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11.1</w:t>
        <w:tab/>
        <w:t>Interpretation</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 reference to “costs and expenses” in a Transaction Document includes legal costs and expenses on a full indemnity basis.</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11.2</w:t>
      </w:r>
      <w:r>
        <w:rPr>
          <w:sz w:val="20"/>
          <w:szCs w:val="20"/>
          <w:color w:val="auto"/>
        </w:rPr>
        <w:tab/>
      </w:r>
      <w:r>
        <w:rPr>
          <w:rFonts w:ascii="Arial" w:cs="Arial" w:eastAsia="Arial" w:hAnsi="Arial"/>
          <w:sz w:val="11"/>
          <w:szCs w:val="11"/>
          <w:b w:val="1"/>
          <w:bCs w:val="1"/>
          <w:color w:val="auto"/>
        </w:rPr>
        <w:t>Nature</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1"/>
          <w:szCs w:val="11"/>
          <w:color w:val="auto"/>
        </w:rPr>
        <w:t>The Borrower must on demand pay and if paid by the Bank reimburse to the Bank:</w:t>
      </w:r>
    </w:p>
    <w:p>
      <w:pPr>
        <w:spacing w:after="0" w:line="61" w:lineRule="exact"/>
        <w:rPr>
          <w:sz w:val="20"/>
          <w:szCs w:val="20"/>
          <w:color w:val="auto"/>
        </w:rPr>
      </w:pPr>
    </w:p>
    <w:p>
      <w:pPr>
        <w:ind w:left="1080" w:hanging="280"/>
        <w:spacing w:after="0"/>
        <w:tabs>
          <w:tab w:leader="none" w:pos="1080" w:val="left"/>
        </w:tabs>
        <w:numPr>
          <w:ilvl w:val="0"/>
          <w:numId w:val="191"/>
        </w:numPr>
        <w:rPr>
          <w:rFonts w:ascii="Arial" w:cs="Arial" w:eastAsia="Arial" w:hAnsi="Arial"/>
          <w:sz w:val="11"/>
          <w:szCs w:val="11"/>
          <w:color w:val="auto"/>
        </w:rPr>
      </w:pPr>
      <w:r>
        <w:rPr>
          <w:rFonts w:ascii="Arial" w:cs="Arial" w:eastAsia="Arial" w:hAnsi="Arial"/>
          <w:sz w:val="11"/>
          <w:szCs w:val="11"/>
          <w:color w:val="auto"/>
        </w:rPr>
        <w:t>the Bank’s reasonable costs and expenses relating to:</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58</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26" w:name="page127"/>
    <w:bookmarkEnd w:id="126"/>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0" w:hanging="285"/>
        <w:spacing w:after="0"/>
        <w:tabs>
          <w:tab w:leader="none" w:pos="1400" w:val="left"/>
        </w:tabs>
        <w:numPr>
          <w:ilvl w:val="1"/>
          <w:numId w:val="192"/>
        </w:numPr>
        <w:rPr>
          <w:rFonts w:ascii="Arial" w:cs="Arial" w:eastAsia="Arial" w:hAnsi="Arial"/>
          <w:sz w:val="11"/>
          <w:szCs w:val="11"/>
          <w:color w:val="auto"/>
        </w:rPr>
      </w:pPr>
      <w:r>
        <w:rPr>
          <w:rFonts w:ascii="Arial" w:cs="Arial" w:eastAsia="Arial" w:hAnsi="Arial"/>
          <w:sz w:val="11"/>
          <w:szCs w:val="11"/>
          <w:color w:val="auto"/>
        </w:rPr>
        <w:t>any Valuation obtained for the purposes of any Transaction Document;</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92"/>
        </w:numPr>
        <w:rPr>
          <w:rFonts w:ascii="Arial" w:cs="Arial" w:eastAsia="Arial" w:hAnsi="Arial"/>
          <w:sz w:val="11"/>
          <w:szCs w:val="11"/>
          <w:color w:val="auto"/>
        </w:rPr>
      </w:pPr>
      <w:r>
        <w:rPr>
          <w:rFonts w:ascii="Arial" w:cs="Arial" w:eastAsia="Arial" w:hAnsi="Arial"/>
          <w:sz w:val="11"/>
          <w:szCs w:val="11"/>
          <w:color w:val="auto"/>
        </w:rPr>
        <w:t>the negotiation, preparation, execution, stamping and registration of the Transaction Documents or any document contemplated by them;</w:t>
      </w:r>
    </w:p>
    <w:p>
      <w:pPr>
        <w:spacing w:after="0" w:line="46" w:lineRule="exact"/>
        <w:rPr>
          <w:rFonts w:ascii="Arial" w:cs="Arial" w:eastAsia="Arial" w:hAnsi="Arial"/>
          <w:sz w:val="11"/>
          <w:szCs w:val="11"/>
          <w:color w:val="auto"/>
        </w:rPr>
      </w:pPr>
    </w:p>
    <w:p>
      <w:pPr>
        <w:ind w:left="1400" w:right="1020" w:hanging="285"/>
        <w:spacing w:after="0" w:line="256" w:lineRule="auto"/>
        <w:tabs>
          <w:tab w:leader="none" w:pos="1400" w:val="left"/>
        </w:tabs>
        <w:numPr>
          <w:ilvl w:val="1"/>
          <w:numId w:val="192"/>
        </w:numPr>
        <w:rPr>
          <w:rFonts w:ascii="Arial" w:cs="Arial" w:eastAsia="Arial" w:hAnsi="Arial"/>
          <w:sz w:val="11"/>
          <w:szCs w:val="11"/>
          <w:color w:val="auto"/>
        </w:rPr>
      </w:pPr>
      <w:r>
        <w:rPr>
          <w:rFonts w:ascii="Arial" w:cs="Arial" w:eastAsia="Arial" w:hAnsi="Arial"/>
          <w:sz w:val="11"/>
          <w:szCs w:val="11"/>
          <w:color w:val="auto"/>
        </w:rPr>
        <w:t>any consent, request for consent (whether or not given), communication or waiver of any right, or the variation, replacement or discharge of any Transaction Document or any document contemplated by it;</w:t>
      </w:r>
    </w:p>
    <w:p>
      <w:pPr>
        <w:spacing w:after="0" w:line="22" w:lineRule="exact"/>
        <w:rPr>
          <w:rFonts w:ascii="Arial" w:cs="Arial" w:eastAsia="Arial" w:hAnsi="Arial"/>
          <w:sz w:val="11"/>
          <w:szCs w:val="11"/>
          <w:color w:val="auto"/>
        </w:rPr>
      </w:pPr>
    </w:p>
    <w:p>
      <w:pPr>
        <w:ind w:left="1400" w:hanging="285"/>
        <w:spacing w:after="0"/>
        <w:tabs>
          <w:tab w:leader="none" w:pos="1400" w:val="left"/>
        </w:tabs>
        <w:numPr>
          <w:ilvl w:val="1"/>
          <w:numId w:val="192"/>
        </w:numPr>
        <w:rPr>
          <w:rFonts w:ascii="Arial" w:cs="Arial" w:eastAsia="Arial" w:hAnsi="Arial"/>
          <w:sz w:val="11"/>
          <w:szCs w:val="11"/>
          <w:color w:val="auto"/>
        </w:rPr>
      </w:pPr>
      <w:r>
        <w:rPr>
          <w:rFonts w:ascii="Arial" w:cs="Arial" w:eastAsia="Arial" w:hAnsi="Arial"/>
          <w:sz w:val="11"/>
          <w:szCs w:val="11"/>
          <w:color w:val="auto"/>
        </w:rPr>
        <w:t>the enforcement or attempted enforcement or the preservation of any rights of the Bank under the Transaction Documents;</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92"/>
        </w:numPr>
        <w:rPr>
          <w:rFonts w:ascii="Arial" w:cs="Arial" w:eastAsia="Arial" w:hAnsi="Arial"/>
          <w:sz w:val="11"/>
          <w:szCs w:val="11"/>
          <w:color w:val="auto"/>
        </w:rPr>
      </w:pPr>
      <w:r>
        <w:rPr>
          <w:rFonts w:ascii="Arial" w:cs="Arial" w:eastAsia="Arial" w:hAnsi="Arial"/>
          <w:sz w:val="11"/>
          <w:szCs w:val="11"/>
          <w:color w:val="auto"/>
        </w:rPr>
        <w:t>the occurrence of any Event of Default or Potential Event of Default; and</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192"/>
        </w:numPr>
        <w:rPr>
          <w:rFonts w:ascii="Arial" w:cs="Arial" w:eastAsia="Arial" w:hAnsi="Arial"/>
          <w:sz w:val="11"/>
          <w:szCs w:val="11"/>
          <w:color w:val="auto"/>
        </w:rPr>
      </w:pPr>
      <w:r>
        <w:rPr>
          <w:rFonts w:ascii="Arial" w:cs="Arial" w:eastAsia="Arial" w:hAnsi="Arial"/>
          <w:sz w:val="11"/>
          <w:szCs w:val="11"/>
          <w:color w:val="auto"/>
        </w:rPr>
        <w:t>the lodgment or removal of any Encumbrance on the Secured Property by any person; and</w:t>
      </w:r>
    </w:p>
    <w:p>
      <w:pPr>
        <w:spacing w:after="0" w:line="40" w:lineRule="exact"/>
        <w:rPr>
          <w:rFonts w:ascii="Arial" w:cs="Arial" w:eastAsia="Arial" w:hAnsi="Arial"/>
          <w:sz w:val="11"/>
          <w:szCs w:val="11"/>
          <w:color w:val="auto"/>
        </w:rPr>
      </w:pPr>
    </w:p>
    <w:p>
      <w:pPr>
        <w:ind w:left="1080" w:right="280" w:hanging="280"/>
        <w:spacing w:after="0" w:line="268" w:lineRule="auto"/>
        <w:tabs>
          <w:tab w:leader="none" w:pos="1080" w:val="left"/>
        </w:tabs>
        <w:numPr>
          <w:ilvl w:val="0"/>
          <w:numId w:val="193"/>
        </w:numPr>
        <w:rPr>
          <w:rFonts w:ascii="Arial" w:cs="Arial" w:eastAsia="Arial" w:hAnsi="Arial"/>
          <w:sz w:val="11"/>
          <w:szCs w:val="11"/>
          <w:color w:val="auto"/>
        </w:rPr>
      </w:pPr>
      <w:r>
        <w:rPr>
          <w:rFonts w:ascii="Arial" w:cs="Arial" w:eastAsia="Arial" w:hAnsi="Arial"/>
          <w:sz w:val="11"/>
          <w:szCs w:val="11"/>
          <w:color w:val="auto"/>
        </w:rPr>
        <w:t xml:space="preserve">subject to </w:t>
      </w:r>
      <w:r>
        <w:rPr>
          <w:rFonts w:ascii="Arial" w:cs="Arial" w:eastAsia="Arial" w:hAnsi="Arial"/>
          <w:sz w:val="11"/>
          <w:szCs w:val="11"/>
          <w:b w:val="1"/>
          <w:bCs w:val="1"/>
          <w:color w:val="auto"/>
        </w:rPr>
        <w:t>clause 18.14(d)</w:t>
      </w:r>
      <w:r>
        <w:rPr>
          <w:rFonts w:ascii="Arial" w:cs="Arial" w:eastAsia="Arial" w:hAnsi="Arial"/>
          <w:sz w:val="11"/>
          <w:szCs w:val="11"/>
          <w:color w:val="auto"/>
        </w:rPr>
        <w:t>, any Taxes and registration or other fees (including fines and penalties relating to the Taxes and fees) which are payable or are assessed by a relevant Government Body or other person to be payable in relation to the Transaction Documents or any document or transaction contemplated by them.</w:t>
      </w:r>
    </w:p>
    <w:p>
      <w:pPr>
        <w:spacing w:after="0" w:line="4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11.3</w:t>
        <w:tab/>
        <w:t>Remuneration</w:t>
      </w:r>
    </w:p>
    <w:p>
      <w:pPr>
        <w:spacing w:after="0" w:line="47" w:lineRule="exact"/>
        <w:rPr>
          <w:sz w:val="20"/>
          <w:szCs w:val="20"/>
          <w:color w:val="auto"/>
        </w:rPr>
      </w:pPr>
    </w:p>
    <w:p>
      <w:pPr>
        <w:ind w:left="840" w:right="1100"/>
        <w:spacing w:after="0" w:line="256" w:lineRule="auto"/>
        <w:rPr>
          <w:sz w:val="20"/>
          <w:szCs w:val="20"/>
          <w:color w:val="auto"/>
        </w:rPr>
      </w:pPr>
      <w:r>
        <w:rPr>
          <w:rFonts w:ascii="Arial" w:cs="Arial" w:eastAsia="Arial" w:hAnsi="Arial"/>
          <w:sz w:val="11"/>
          <w:szCs w:val="11"/>
          <w:color w:val="auto"/>
        </w:rPr>
        <w:t>The Bank, any Receiver and any Attorney must be remunerated by the Borrower for any services rendered by them in relation to the enforcement of any right under the Transaction Documents. The rate of the remuneration and the manner of payment will be that determined by the Bank, acting reasonably.</w:t>
      </w:r>
    </w:p>
    <w:p>
      <w:pPr>
        <w:spacing w:after="0" w:line="26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6"/>
          <w:szCs w:val="16"/>
          <w:color w:val="auto"/>
        </w:rPr>
        <w:t>12</w:t>
        <w:tab/>
        <w:t>Indemnities</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12.1</w:t>
      </w:r>
      <w:r>
        <w:rPr>
          <w:sz w:val="20"/>
          <w:szCs w:val="20"/>
          <w:color w:val="auto"/>
        </w:rPr>
        <w:tab/>
      </w:r>
      <w:r>
        <w:rPr>
          <w:rFonts w:ascii="Arial" w:cs="Arial" w:eastAsia="Arial" w:hAnsi="Arial"/>
          <w:sz w:val="11"/>
          <w:szCs w:val="11"/>
          <w:b w:val="1"/>
          <w:bCs w:val="1"/>
          <w:color w:val="auto"/>
        </w:rPr>
        <w:t>Nature</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Borrower indemnifies the Bank on demand against any liability, loss, cost or expense (including Break Costs) caused or contributed to by:</w:t>
      </w:r>
    </w:p>
    <w:p>
      <w:pPr>
        <w:spacing w:after="0" w:line="46" w:lineRule="exact"/>
        <w:rPr>
          <w:sz w:val="20"/>
          <w:szCs w:val="20"/>
          <w:color w:val="auto"/>
        </w:rPr>
      </w:pPr>
    </w:p>
    <w:p>
      <w:pPr>
        <w:ind w:left="1080" w:hanging="280"/>
        <w:spacing w:after="0"/>
        <w:tabs>
          <w:tab w:leader="none" w:pos="108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any failure by any Transaction Party to comply with any obligation under any Transaction Document;</w:t>
      </w:r>
    </w:p>
    <w:p>
      <w:pPr>
        <w:spacing w:after="0" w:line="53" w:lineRule="exact"/>
        <w:rPr>
          <w:rFonts w:ascii="Arial" w:cs="Arial" w:eastAsia="Arial" w:hAnsi="Arial"/>
          <w:sz w:val="11"/>
          <w:szCs w:val="11"/>
          <w:color w:val="auto"/>
        </w:rPr>
      </w:pPr>
    </w:p>
    <w:p>
      <w:pPr>
        <w:ind w:left="1080" w:hanging="280"/>
        <w:spacing w:after="0"/>
        <w:tabs>
          <w:tab w:leader="none" w:pos="108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any Event of Default or Potential Event of Default;</w:t>
      </w:r>
    </w:p>
    <w:p>
      <w:pPr>
        <w:spacing w:after="0" w:line="68" w:lineRule="exact"/>
        <w:rPr>
          <w:rFonts w:ascii="Arial" w:cs="Arial" w:eastAsia="Arial" w:hAnsi="Arial"/>
          <w:sz w:val="11"/>
          <w:szCs w:val="11"/>
          <w:color w:val="auto"/>
        </w:rPr>
      </w:pPr>
    </w:p>
    <w:p>
      <w:pPr>
        <w:ind w:left="1080" w:hanging="280"/>
        <w:spacing w:after="0"/>
        <w:tabs>
          <w:tab w:leader="none" w:pos="108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the enforcement or attempted enforcement of any right by the Bank, any Receiver or any Attorney under the Transaction Documents;</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any Drawing requested by the Borrower not being granted by the Bank for any reason other than a default by the Bank;</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any payment not being made by the Borrower in accordance with any Transaction Document; or</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59</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27" w:name="page128"/>
    <w:bookmarkEnd w:id="127"/>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80" w:hanging="280"/>
        <w:spacing w:after="0"/>
        <w:tabs>
          <w:tab w:leader="none" w:pos="1080" w:val="left"/>
        </w:tabs>
        <w:numPr>
          <w:ilvl w:val="0"/>
          <w:numId w:val="195"/>
        </w:numPr>
        <w:rPr>
          <w:rFonts w:ascii="Arial" w:cs="Arial" w:eastAsia="Arial" w:hAnsi="Arial"/>
          <w:sz w:val="11"/>
          <w:szCs w:val="11"/>
          <w:color w:val="auto"/>
        </w:rPr>
      </w:pPr>
      <w:r>
        <w:rPr>
          <w:rFonts w:ascii="Arial" w:cs="Arial" w:eastAsia="Arial" w:hAnsi="Arial"/>
          <w:sz w:val="11"/>
          <w:szCs w:val="11"/>
          <w:color w:val="auto"/>
        </w:rPr>
        <w:t>any act by the Bank in reliance on any communication purporting to be from the Borrower or to be given on behalf of the Borrower.</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12.2</w:t>
        <w:tab/>
        <w:t>Representatives</w:t>
      </w:r>
    </w:p>
    <w:p>
      <w:pPr>
        <w:spacing w:after="0" w:line="47" w:lineRule="exact"/>
        <w:rPr>
          <w:sz w:val="20"/>
          <w:szCs w:val="20"/>
          <w:color w:val="auto"/>
        </w:rPr>
      </w:pPr>
    </w:p>
    <w:p>
      <w:pPr>
        <w:ind w:left="840" w:right="120"/>
        <w:spacing w:after="0" w:line="275" w:lineRule="auto"/>
        <w:rPr>
          <w:sz w:val="20"/>
          <w:szCs w:val="20"/>
          <w:color w:val="auto"/>
        </w:rPr>
      </w:pPr>
      <w:r>
        <w:rPr>
          <w:rFonts w:ascii="Arial" w:cs="Arial" w:eastAsia="Arial" w:hAnsi="Arial"/>
          <w:sz w:val="11"/>
          <w:szCs w:val="11"/>
          <w:color w:val="auto"/>
        </w:rPr>
        <w:t xml:space="preserve">The Borrower indemnifies each Receiver and Attorney and their respective Representatives and the Representatives of the Bank against any liability, loss, cost and expense caused by anything the Bank is indemnified against under </w:t>
      </w:r>
      <w:r>
        <w:rPr>
          <w:rFonts w:ascii="Arial" w:cs="Arial" w:eastAsia="Arial" w:hAnsi="Arial"/>
          <w:sz w:val="11"/>
          <w:szCs w:val="11"/>
          <w:b w:val="1"/>
          <w:bCs w:val="1"/>
          <w:color w:val="auto"/>
        </w:rPr>
        <w:t>clause 12.1</w:t>
      </w:r>
      <w:r>
        <w:rPr>
          <w:rFonts w:ascii="Arial" w:cs="Arial" w:eastAsia="Arial" w:hAnsi="Arial"/>
          <w:sz w:val="11"/>
          <w:szCs w:val="11"/>
          <w:color w:val="auto"/>
        </w:rPr>
        <w:t xml:space="preserve"> and the Bank holds the benefit of this </w:t>
      </w:r>
      <w:r>
        <w:rPr>
          <w:rFonts w:ascii="Arial" w:cs="Arial" w:eastAsia="Arial" w:hAnsi="Arial"/>
          <w:sz w:val="11"/>
          <w:szCs w:val="11"/>
          <w:b w:val="1"/>
          <w:bCs w:val="1"/>
          <w:color w:val="auto"/>
        </w:rPr>
        <w:t>clause 12.2</w:t>
      </w:r>
      <w:r>
        <w:rPr>
          <w:rFonts w:ascii="Arial" w:cs="Arial" w:eastAsia="Arial" w:hAnsi="Arial"/>
          <w:sz w:val="11"/>
          <w:szCs w:val="11"/>
          <w:color w:val="auto"/>
        </w:rPr>
        <w:t xml:space="preserve"> on trust for those persons.</w:t>
      </w:r>
    </w:p>
    <w:p>
      <w:pPr>
        <w:spacing w:after="0" w:line="3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12.3</w:t>
      </w:r>
      <w:r>
        <w:rPr>
          <w:sz w:val="20"/>
          <w:szCs w:val="20"/>
          <w:color w:val="auto"/>
        </w:rPr>
        <w:tab/>
      </w:r>
      <w:r>
        <w:rPr>
          <w:rFonts w:ascii="Arial" w:cs="Arial" w:eastAsia="Arial" w:hAnsi="Arial"/>
          <w:sz w:val="11"/>
          <w:szCs w:val="11"/>
          <w:b w:val="1"/>
          <w:bCs w:val="1"/>
          <w:color w:val="auto"/>
        </w:rPr>
        <w:t>Currency deficiency</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If there is any deficiency between:</w:t>
      </w:r>
    </w:p>
    <w:p>
      <w:pPr>
        <w:spacing w:after="0" w:line="69" w:lineRule="exact"/>
        <w:rPr>
          <w:sz w:val="20"/>
          <w:szCs w:val="20"/>
          <w:color w:val="auto"/>
        </w:rPr>
      </w:pPr>
    </w:p>
    <w:p>
      <w:pPr>
        <w:ind w:left="1100" w:right="460" w:hanging="285"/>
        <w:spacing w:after="0" w:line="256" w:lineRule="auto"/>
        <w:tabs>
          <w:tab w:leader="none" w:pos="1100" w:val="left"/>
        </w:tabs>
        <w:numPr>
          <w:ilvl w:val="0"/>
          <w:numId w:val="196"/>
        </w:numPr>
        <w:rPr>
          <w:rFonts w:ascii="Arial" w:cs="Arial" w:eastAsia="Arial" w:hAnsi="Arial"/>
          <w:sz w:val="11"/>
          <w:szCs w:val="11"/>
          <w:color w:val="auto"/>
        </w:rPr>
      </w:pPr>
      <w:r>
        <w:rPr>
          <w:rFonts w:ascii="Arial" w:cs="Arial" w:eastAsia="Arial" w:hAnsi="Arial"/>
          <w:sz w:val="11"/>
          <w:szCs w:val="11"/>
          <w:color w:val="auto"/>
        </w:rPr>
        <w:t>an amount payable by a Transaction Party under a Transaction Document which is received by the Bank in a currency other than the currency payable under the Transaction Document because of a judgment, order or otherwise; and</w:t>
      </w:r>
    </w:p>
    <w:p>
      <w:pPr>
        <w:spacing w:after="0" w:line="22" w:lineRule="exact"/>
        <w:rPr>
          <w:rFonts w:ascii="Arial" w:cs="Arial" w:eastAsia="Arial" w:hAnsi="Arial"/>
          <w:sz w:val="11"/>
          <w:szCs w:val="11"/>
          <w:color w:val="auto"/>
        </w:rPr>
      </w:pPr>
    </w:p>
    <w:p>
      <w:pPr>
        <w:ind w:left="1100" w:right="440" w:hanging="285"/>
        <w:spacing w:after="0" w:line="256" w:lineRule="auto"/>
        <w:tabs>
          <w:tab w:leader="none" w:pos="1100" w:val="left"/>
        </w:tabs>
        <w:numPr>
          <w:ilvl w:val="0"/>
          <w:numId w:val="196"/>
        </w:numPr>
        <w:rPr>
          <w:rFonts w:ascii="Arial" w:cs="Arial" w:eastAsia="Arial" w:hAnsi="Arial"/>
          <w:sz w:val="11"/>
          <w:szCs w:val="11"/>
          <w:color w:val="auto"/>
        </w:rPr>
      </w:pPr>
      <w:r>
        <w:rPr>
          <w:rFonts w:ascii="Arial" w:cs="Arial" w:eastAsia="Arial" w:hAnsi="Arial"/>
          <w:sz w:val="11"/>
          <w:szCs w:val="11"/>
          <w:color w:val="auto"/>
        </w:rPr>
        <w:t>the amount produced by converting the payment received from the currency in which it was paid into the currency in which it was agreed to be paid either directly or through a currency other than that in which it was agreed to be paid,</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Borrower must pay to the Bank the deficiency and any loss, costs or expenses resulting from it.</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12.4</w:t>
      </w:r>
      <w:r>
        <w:rPr>
          <w:sz w:val="20"/>
          <w:szCs w:val="20"/>
          <w:color w:val="auto"/>
        </w:rPr>
        <w:tab/>
      </w:r>
      <w:r>
        <w:rPr>
          <w:rFonts w:ascii="Arial" w:cs="Arial" w:eastAsia="Arial" w:hAnsi="Arial"/>
          <w:sz w:val="11"/>
          <w:szCs w:val="11"/>
          <w:b w:val="1"/>
          <w:bCs w:val="1"/>
          <w:color w:val="auto"/>
        </w:rPr>
        <w:t>Independence and survival</w:t>
      </w:r>
    </w:p>
    <w:p>
      <w:pPr>
        <w:spacing w:after="0" w:line="47" w:lineRule="exact"/>
        <w:rPr>
          <w:sz w:val="20"/>
          <w:szCs w:val="20"/>
          <w:color w:val="auto"/>
        </w:rPr>
      </w:pPr>
    </w:p>
    <w:p>
      <w:pPr>
        <w:ind w:left="840" w:right="380"/>
        <w:spacing w:after="0" w:line="256" w:lineRule="auto"/>
        <w:rPr>
          <w:sz w:val="20"/>
          <w:szCs w:val="20"/>
          <w:color w:val="auto"/>
        </w:rPr>
      </w:pPr>
      <w:r>
        <w:rPr>
          <w:rFonts w:ascii="Arial" w:cs="Arial" w:eastAsia="Arial" w:hAnsi="Arial"/>
          <w:sz w:val="11"/>
          <w:szCs w:val="11"/>
          <w:color w:val="auto"/>
        </w:rPr>
        <w:t>Each indemnity in a Transaction Document is a continuing obligation, separate and independent from the other obligations of the Borrower and survives the termination of that Transaction Document.</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12.5</w:t>
      </w:r>
      <w:r>
        <w:rPr>
          <w:sz w:val="20"/>
          <w:szCs w:val="20"/>
          <w:color w:val="auto"/>
        </w:rPr>
        <w:tab/>
      </w:r>
      <w:r>
        <w:rPr>
          <w:rFonts w:ascii="Arial" w:cs="Arial" w:eastAsia="Arial" w:hAnsi="Arial"/>
          <w:sz w:val="11"/>
          <w:szCs w:val="11"/>
          <w:b w:val="1"/>
          <w:bCs w:val="1"/>
          <w:color w:val="auto"/>
        </w:rPr>
        <w:t>Accounting for transactions</w:t>
      </w:r>
    </w:p>
    <w:p>
      <w:pPr>
        <w:spacing w:after="0" w:line="47" w:lineRule="exact"/>
        <w:rPr>
          <w:sz w:val="20"/>
          <w:szCs w:val="20"/>
          <w:color w:val="auto"/>
        </w:rPr>
      </w:pPr>
    </w:p>
    <w:p>
      <w:pPr>
        <w:ind w:left="1080" w:hanging="280"/>
        <w:spacing w:after="0"/>
        <w:tabs>
          <w:tab w:leader="none" w:pos="1080" w:val="left"/>
        </w:tabs>
        <w:numPr>
          <w:ilvl w:val="0"/>
          <w:numId w:val="197"/>
        </w:numPr>
        <w:rPr>
          <w:rFonts w:ascii="Arial" w:cs="Arial" w:eastAsia="Arial" w:hAnsi="Arial"/>
          <w:sz w:val="11"/>
          <w:szCs w:val="11"/>
          <w:color w:val="auto"/>
        </w:rPr>
      </w:pPr>
      <w:r>
        <w:rPr>
          <w:rFonts w:ascii="Arial" w:cs="Arial" w:eastAsia="Arial" w:hAnsi="Arial"/>
          <w:sz w:val="11"/>
          <w:szCs w:val="11"/>
          <w:color w:val="auto"/>
        </w:rPr>
        <w:t>The Borrower irrevocably authorises the Bank to open such accounts as the Bank requires in connection with a Facility.</w:t>
      </w:r>
    </w:p>
    <w:p>
      <w:pPr>
        <w:spacing w:after="0" w:line="46" w:lineRule="exact"/>
        <w:rPr>
          <w:rFonts w:ascii="Arial" w:cs="Arial" w:eastAsia="Arial" w:hAnsi="Arial"/>
          <w:sz w:val="11"/>
          <w:szCs w:val="11"/>
          <w:color w:val="auto"/>
        </w:rPr>
      </w:pPr>
    </w:p>
    <w:p>
      <w:pPr>
        <w:ind w:left="1080" w:right="340" w:hanging="280"/>
        <w:spacing w:after="0" w:line="242" w:lineRule="auto"/>
        <w:tabs>
          <w:tab w:leader="none" w:pos="1080" w:val="left"/>
        </w:tabs>
        <w:numPr>
          <w:ilvl w:val="0"/>
          <w:numId w:val="197"/>
        </w:numPr>
        <w:rPr>
          <w:rFonts w:ascii="Arial" w:cs="Arial" w:eastAsia="Arial" w:hAnsi="Arial"/>
          <w:sz w:val="11"/>
          <w:szCs w:val="11"/>
          <w:color w:val="auto"/>
        </w:rPr>
      </w:pPr>
      <w:r>
        <w:rPr>
          <w:rFonts w:ascii="Arial" w:cs="Arial" w:eastAsia="Arial" w:hAnsi="Arial"/>
          <w:sz w:val="11"/>
          <w:szCs w:val="11"/>
          <w:color w:val="auto"/>
        </w:rPr>
        <w:t>The Borrower irrevocably authorises the Bank to debit from any account in the name of the Borrower (including an account the Bank opens in the Borrower’s name) any amounts payable by the Borrower in relation to that Facility or account, including interest, costs, Taxes, enforcement expenses and any amount payable under an indemnity.</w:t>
      </w:r>
    </w:p>
    <w:p>
      <w:pPr>
        <w:spacing w:after="0" w:line="29" w:lineRule="exact"/>
        <w:rPr>
          <w:rFonts w:ascii="Arial" w:cs="Arial" w:eastAsia="Arial" w:hAnsi="Arial"/>
          <w:sz w:val="11"/>
          <w:szCs w:val="11"/>
          <w:color w:val="auto"/>
        </w:rPr>
      </w:pPr>
    </w:p>
    <w:p>
      <w:pPr>
        <w:ind w:left="1080" w:right="160" w:hanging="280"/>
        <w:spacing w:after="0" w:line="242" w:lineRule="auto"/>
        <w:tabs>
          <w:tab w:leader="none" w:pos="1080" w:val="left"/>
        </w:tabs>
        <w:numPr>
          <w:ilvl w:val="0"/>
          <w:numId w:val="197"/>
        </w:numPr>
        <w:rPr>
          <w:rFonts w:ascii="Arial" w:cs="Arial" w:eastAsia="Arial" w:hAnsi="Arial"/>
          <w:sz w:val="11"/>
          <w:szCs w:val="11"/>
          <w:color w:val="auto"/>
        </w:rPr>
      </w:pPr>
      <w:r>
        <w:rPr>
          <w:rFonts w:ascii="Arial" w:cs="Arial" w:eastAsia="Arial" w:hAnsi="Arial"/>
          <w:sz w:val="11"/>
          <w:szCs w:val="11"/>
          <w:color w:val="auto"/>
        </w:rPr>
        <w:t>If the Borrower authorises the Bank to debit any amount from an account, the Bank can debit that amount from that account even if it causes the account to become overdrawn. Alternatively, if there are insufficient cleared funds in that account, the Borrower authorises the Bank to debit that amount from any account of the Borrower the Bank decides, including an account the Bank opens in the Borrower’s name.</w:t>
      </w:r>
    </w:p>
    <w:p>
      <w:pPr>
        <w:spacing w:after="0" w:line="29" w:lineRule="exact"/>
        <w:rPr>
          <w:rFonts w:ascii="Arial" w:cs="Arial" w:eastAsia="Arial" w:hAnsi="Arial"/>
          <w:sz w:val="11"/>
          <w:szCs w:val="11"/>
          <w:color w:val="auto"/>
        </w:rPr>
      </w:pPr>
    </w:p>
    <w:p>
      <w:pPr>
        <w:ind w:left="1080" w:hanging="280"/>
        <w:spacing w:after="0"/>
        <w:tabs>
          <w:tab w:leader="none" w:pos="1080" w:val="left"/>
        </w:tabs>
        <w:numPr>
          <w:ilvl w:val="0"/>
          <w:numId w:val="197"/>
        </w:numPr>
        <w:rPr>
          <w:rFonts w:ascii="Arial" w:cs="Arial" w:eastAsia="Arial" w:hAnsi="Arial"/>
          <w:sz w:val="11"/>
          <w:szCs w:val="11"/>
          <w:color w:val="auto"/>
        </w:rPr>
      </w:pPr>
      <w:r>
        <w:rPr>
          <w:rFonts w:ascii="Arial" w:cs="Arial" w:eastAsia="Arial" w:hAnsi="Arial"/>
          <w:sz w:val="11"/>
          <w:szCs w:val="11"/>
          <w:color w:val="auto"/>
        </w:rPr>
        <w:t>Where the Bank debits an account in the name of the Borrower, opened by: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60</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28" w:name="page129"/>
    <w:bookmarkEnd w:id="128"/>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0" w:right="160" w:hanging="279"/>
        <w:spacing w:after="0" w:line="248" w:lineRule="auto"/>
        <w:tabs>
          <w:tab w:leader="none" w:pos="1380" w:val="left"/>
        </w:tabs>
        <w:rPr>
          <w:sz w:val="20"/>
          <w:szCs w:val="20"/>
          <w:color w:val="auto"/>
        </w:rPr>
      </w:pPr>
      <w:r>
        <w:rPr>
          <w:rFonts w:ascii="Arial" w:cs="Arial" w:eastAsia="Arial" w:hAnsi="Arial"/>
          <w:sz w:val="11"/>
          <w:szCs w:val="11"/>
          <w:color w:val="auto"/>
        </w:rPr>
        <w:t>(i)</w:t>
      </w:r>
      <w:r>
        <w:rPr>
          <w:sz w:val="20"/>
          <w:szCs w:val="20"/>
          <w:color w:val="auto"/>
        </w:rPr>
        <w:tab/>
      </w:r>
      <w:r>
        <w:rPr>
          <w:rFonts w:ascii="Arial" w:cs="Arial" w:eastAsia="Arial" w:hAnsi="Arial"/>
          <w:sz w:val="11"/>
          <w:szCs w:val="11"/>
          <w:color w:val="auto"/>
        </w:rPr>
        <w:t>the Borrower, t h e Borrower must pay the Bank interest (including default interest if applicable) on any debit balance in accordance with the terms of that account;</w:t>
      </w:r>
    </w:p>
    <w:p>
      <w:pPr>
        <w:spacing w:after="0" w:line="162" w:lineRule="exact"/>
        <w:rPr>
          <w:sz w:val="20"/>
          <w:szCs w:val="20"/>
          <w:color w:val="auto"/>
        </w:rPr>
      </w:pPr>
    </w:p>
    <w:p>
      <w:pPr>
        <w:ind w:left="1400" w:right="380" w:hanging="285"/>
        <w:spacing w:after="0" w:line="256" w:lineRule="auto"/>
        <w:tabs>
          <w:tab w:leader="none" w:pos="1400" w:val="left"/>
        </w:tabs>
        <w:numPr>
          <w:ilvl w:val="1"/>
          <w:numId w:val="198"/>
        </w:numPr>
        <w:rPr>
          <w:rFonts w:ascii="Arial" w:cs="Arial" w:eastAsia="Arial" w:hAnsi="Arial"/>
          <w:sz w:val="11"/>
          <w:szCs w:val="11"/>
          <w:color w:val="auto"/>
        </w:rPr>
      </w:pPr>
      <w:r>
        <w:rPr>
          <w:rFonts w:ascii="Arial" w:cs="Arial" w:eastAsia="Arial" w:hAnsi="Arial"/>
          <w:sz w:val="11"/>
          <w:szCs w:val="11"/>
          <w:color w:val="auto"/>
        </w:rPr>
        <w:t>the Bank, the Borrower must pay the Bank interest on the overdrawn balance of that account at the Overdue Rate applying to the relevant Facility or, if there is none, in accordance with the terms normally applied by the Bank to accounts of that type; or</w:t>
      </w:r>
    </w:p>
    <w:p>
      <w:pPr>
        <w:spacing w:after="0" w:line="22" w:lineRule="exact"/>
        <w:rPr>
          <w:rFonts w:ascii="Arial" w:cs="Arial" w:eastAsia="Arial" w:hAnsi="Arial"/>
          <w:sz w:val="11"/>
          <w:szCs w:val="11"/>
          <w:color w:val="auto"/>
        </w:rPr>
      </w:pPr>
    </w:p>
    <w:p>
      <w:pPr>
        <w:ind w:left="1400" w:hanging="285"/>
        <w:spacing w:after="0"/>
        <w:tabs>
          <w:tab w:leader="none" w:pos="1400" w:val="left"/>
        </w:tabs>
        <w:numPr>
          <w:ilvl w:val="1"/>
          <w:numId w:val="198"/>
        </w:numPr>
        <w:rPr>
          <w:rFonts w:ascii="Arial" w:cs="Arial" w:eastAsia="Arial" w:hAnsi="Arial"/>
          <w:sz w:val="11"/>
          <w:szCs w:val="11"/>
          <w:color w:val="auto"/>
        </w:rPr>
      </w:pPr>
      <w:r>
        <w:rPr>
          <w:rFonts w:ascii="Arial" w:cs="Arial" w:eastAsia="Arial" w:hAnsi="Arial"/>
          <w:sz w:val="11"/>
          <w:szCs w:val="11"/>
          <w:color w:val="auto"/>
        </w:rPr>
        <w:t>either the Borrower or the Bank, the overdrawn balance of the account in excess of the applicable Facility Limit is immediately payable without further notice.</w:t>
      </w:r>
    </w:p>
    <w:p>
      <w:pPr>
        <w:spacing w:after="0" w:line="46" w:lineRule="exact"/>
        <w:rPr>
          <w:rFonts w:ascii="Arial" w:cs="Arial" w:eastAsia="Arial" w:hAnsi="Arial"/>
          <w:sz w:val="11"/>
          <w:szCs w:val="11"/>
          <w:color w:val="auto"/>
        </w:rPr>
      </w:pPr>
    </w:p>
    <w:p>
      <w:pPr>
        <w:ind w:left="1080" w:right="420" w:hanging="280"/>
        <w:spacing w:after="0" w:line="256" w:lineRule="auto"/>
        <w:tabs>
          <w:tab w:leader="none" w:pos="1080" w:val="left"/>
        </w:tabs>
        <w:numPr>
          <w:ilvl w:val="0"/>
          <w:numId w:val="199"/>
        </w:numPr>
        <w:rPr>
          <w:rFonts w:ascii="Arial" w:cs="Arial" w:eastAsia="Arial" w:hAnsi="Arial"/>
          <w:sz w:val="11"/>
          <w:szCs w:val="11"/>
          <w:color w:val="auto"/>
        </w:rPr>
      </w:pPr>
      <w:r>
        <w:rPr>
          <w:rFonts w:ascii="Arial" w:cs="Arial" w:eastAsia="Arial" w:hAnsi="Arial"/>
          <w:sz w:val="11"/>
          <w:szCs w:val="11"/>
          <w:color w:val="auto"/>
        </w:rPr>
        <w:t>Unless otherwise provided, the Bank may apply any payment under or in connection with this document towards satisfying obligations under this document as the Bank sees fit.</w:t>
      </w:r>
    </w:p>
    <w:p>
      <w:pPr>
        <w:spacing w:after="0" w:line="22" w:lineRule="exact"/>
        <w:rPr>
          <w:rFonts w:ascii="Arial" w:cs="Arial" w:eastAsia="Arial" w:hAnsi="Arial"/>
          <w:sz w:val="11"/>
          <w:szCs w:val="11"/>
          <w:color w:val="auto"/>
        </w:rPr>
      </w:pPr>
    </w:p>
    <w:p>
      <w:pPr>
        <w:ind w:left="1080" w:hanging="280"/>
        <w:spacing w:after="0"/>
        <w:tabs>
          <w:tab w:leader="none" w:pos="1080" w:val="left"/>
        </w:tabs>
        <w:numPr>
          <w:ilvl w:val="0"/>
          <w:numId w:val="199"/>
        </w:numPr>
        <w:rPr>
          <w:rFonts w:ascii="Arial" w:cs="Arial" w:eastAsia="Arial" w:hAnsi="Arial"/>
          <w:sz w:val="11"/>
          <w:szCs w:val="11"/>
          <w:color w:val="auto"/>
        </w:rPr>
      </w:pPr>
      <w:r>
        <w:rPr>
          <w:rFonts w:ascii="Arial" w:cs="Arial" w:eastAsia="Arial" w:hAnsi="Arial"/>
          <w:sz w:val="11"/>
          <w:szCs w:val="11"/>
          <w:color w:val="auto"/>
        </w:rPr>
        <w:t>Where the Bank is authorised to debit an amount from an account under this document, it can do so without prior notice.</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12.6</w:t>
        <w:tab/>
        <w:t>Liability for Regulatory Events</w:t>
      </w:r>
    </w:p>
    <w:p>
      <w:pPr>
        <w:spacing w:after="0" w:line="47" w:lineRule="exact"/>
        <w:rPr>
          <w:sz w:val="20"/>
          <w:szCs w:val="20"/>
          <w:color w:val="auto"/>
        </w:rPr>
      </w:pPr>
    </w:p>
    <w:p>
      <w:pPr>
        <w:ind w:left="1080" w:hanging="280"/>
        <w:spacing w:after="0"/>
        <w:tabs>
          <w:tab w:leader="none" w:pos="1080" w:val="left"/>
        </w:tabs>
        <w:numPr>
          <w:ilvl w:val="0"/>
          <w:numId w:val="200"/>
        </w:numPr>
        <w:rPr>
          <w:rFonts w:ascii="Arial" w:cs="Arial" w:eastAsia="Arial" w:hAnsi="Arial"/>
          <w:sz w:val="11"/>
          <w:szCs w:val="11"/>
          <w:color w:val="auto"/>
        </w:rPr>
      </w:pPr>
      <w:r>
        <w:rPr>
          <w:rFonts w:ascii="Arial" w:cs="Arial" w:eastAsia="Arial" w:hAnsi="Arial"/>
          <w:sz w:val="11"/>
          <w:szCs w:val="11"/>
          <w:color w:val="auto"/>
        </w:rPr>
        <w:t>The Borrower acknowledges that the Services may be interrupted, prevented, delayed or otherwise adversely affected by a Regulatory Event.</w:t>
      </w:r>
    </w:p>
    <w:p>
      <w:pPr>
        <w:spacing w:after="0" w:line="53" w:lineRule="exact"/>
        <w:rPr>
          <w:rFonts w:ascii="Arial" w:cs="Arial" w:eastAsia="Arial" w:hAnsi="Arial"/>
          <w:sz w:val="11"/>
          <w:szCs w:val="11"/>
          <w:color w:val="auto"/>
        </w:rPr>
      </w:pPr>
    </w:p>
    <w:p>
      <w:pPr>
        <w:ind w:left="1080" w:hanging="280"/>
        <w:spacing w:after="0"/>
        <w:tabs>
          <w:tab w:leader="none" w:pos="1080" w:val="left"/>
        </w:tabs>
        <w:numPr>
          <w:ilvl w:val="0"/>
          <w:numId w:val="200"/>
        </w:numPr>
        <w:rPr>
          <w:rFonts w:ascii="Arial" w:cs="Arial" w:eastAsia="Arial" w:hAnsi="Arial"/>
          <w:sz w:val="11"/>
          <w:szCs w:val="11"/>
          <w:color w:val="auto"/>
        </w:rPr>
      </w:pPr>
      <w:r>
        <w:rPr>
          <w:rFonts w:ascii="Arial" w:cs="Arial" w:eastAsia="Arial" w:hAnsi="Arial"/>
          <w:sz w:val="11"/>
          <w:szCs w:val="11"/>
          <w:color w:val="auto"/>
        </w:rPr>
        <w:t>To the extent permitted by Law:</w:t>
      </w:r>
    </w:p>
    <w:p>
      <w:pPr>
        <w:spacing w:after="0" w:line="62" w:lineRule="exact"/>
        <w:rPr>
          <w:rFonts w:ascii="Arial" w:cs="Arial" w:eastAsia="Arial" w:hAnsi="Arial"/>
          <w:sz w:val="11"/>
          <w:szCs w:val="11"/>
          <w:color w:val="auto"/>
        </w:rPr>
      </w:pPr>
    </w:p>
    <w:p>
      <w:pPr>
        <w:ind w:left="1400" w:right="240" w:hanging="285"/>
        <w:spacing w:after="0" w:line="268" w:lineRule="auto"/>
        <w:tabs>
          <w:tab w:leader="none" w:pos="1400" w:val="left"/>
        </w:tabs>
        <w:numPr>
          <w:ilvl w:val="1"/>
          <w:numId w:val="200"/>
        </w:numPr>
        <w:rPr>
          <w:rFonts w:ascii="Arial" w:cs="Arial" w:eastAsia="Arial" w:hAnsi="Arial"/>
          <w:sz w:val="11"/>
          <w:szCs w:val="11"/>
          <w:color w:val="auto"/>
        </w:rPr>
      </w:pPr>
      <w:r>
        <w:rPr>
          <w:rFonts w:ascii="Arial" w:cs="Arial" w:eastAsia="Arial" w:hAnsi="Arial"/>
          <w:sz w:val="11"/>
          <w:szCs w:val="11"/>
          <w:color w:val="auto"/>
        </w:rPr>
        <w:t xml:space="preserve">the Bank is not liable for any loss incurred by a Borrower or any other person if an event described in </w:t>
      </w:r>
      <w:r>
        <w:rPr>
          <w:rFonts w:ascii="Arial" w:cs="Arial" w:eastAsia="Arial" w:hAnsi="Arial"/>
          <w:sz w:val="11"/>
          <w:szCs w:val="11"/>
          <w:b w:val="1"/>
          <w:bCs w:val="1"/>
          <w:color w:val="auto"/>
        </w:rPr>
        <w:t>clause 12.6(a)</w:t>
      </w:r>
      <w:r>
        <w:rPr>
          <w:rFonts w:ascii="Arial" w:cs="Arial" w:eastAsia="Arial" w:hAnsi="Arial"/>
          <w:sz w:val="11"/>
          <w:szCs w:val="11"/>
          <w:color w:val="auto"/>
        </w:rPr>
        <w:t xml:space="preserve"> occurs, irrespective of the nature or cause of that loss, and the Bank has no obligation to contest any Regulatory Event or to mitigate its impact on the Borrower or the Bank; and</w:t>
      </w:r>
    </w:p>
    <w:p>
      <w:pPr>
        <w:spacing w:after="0" w:line="10" w:lineRule="exact"/>
        <w:rPr>
          <w:rFonts w:ascii="Arial" w:cs="Arial" w:eastAsia="Arial" w:hAnsi="Arial"/>
          <w:sz w:val="11"/>
          <w:szCs w:val="11"/>
          <w:color w:val="auto"/>
        </w:rPr>
      </w:pPr>
    </w:p>
    <w:p>
      <w:pPr>
        <w:ind w:left="1400" w:right="260" w:hanging="285"/>
        <w:spacing w:after="0" w:line="268" w:lineRule="auto"/>
        <w:tabs>
          <w:tab w:leader="none" w:pos="1400" w:val="left"/>
        </w:tabs>
        <w:numPr>
          <w:ilvl w:val="1"/>
          <w:numId w:val="200"/>
        </w:numPr>
        <w:rPr>
          <w:rFonts w:ascii="Arial" w:cs="Arial" w:eastAsia="Arial" w:hAnsi="Arial"/>
          <w:sz w:val="11"/>
          <w:szCs w:val="11"/>
          <w:color w:val="auto"/>
        </w:rPr>
      </w:pPr>
      <w:r>
        <w:rPr>
          <w:rFonts w:ascii="Arial" w:cs="Arial" w:eastAsia="Arial" w:hAnsi="Arial"/>
          <w:sz w:val="11"/>
          <w:szCs w:val="11"/>
          <w:color w:val="auto"/>
        </w:rPr>
        <w:t xml:space="preserve">the Borrower releases the Bank from all liability in connection with any loss incurred by a Borrower or any other person if an event described in </w:t>
      </w:r>
      <w:r>
        <w:rPr>
          <w:rFonts w:ascii="Arial" w:cs="Arial" w:eastAsia="Arial" w:hAnsi="Arial"/>
          <w:sz w:val="11"/>
          <w:szCs w:val="11"/>
          <w:b w:val="1"/>
          <w:bCs w:val="1"/>
          <w:color w:val="auto"/>
        </w:rPr>
        <w:t>clause 12.6(a)</w:t>
      </w:r>
      <w:r>
        <w:rPr>
          <w:rFonts w:ascii="Arial" w:cs="Arial" w:eastAsia="Arial" w:hAnsi="Arial"/>
          <w:sz w:val="11"/>
          <w:szCs w:val="11"/>
          <w:color w:val="auto"/>
        </w:rPr>
        <w:t xml:space="preserve"> occurs.</w:t>
      </w:r>
    </w:p>
    <w:p>
      <w:pPr>
        <w:spacing w:after="0" w:line="16" w:lineRule="exact"/>
        <w:rPr>
          <w:rFonts w:ascii="Arial" w:cs="Arial" w:eastAsia="Arial" w:hAnsi="Arial"/>
          <w:sz w:val="11"/>
          <w:szCs w:val="11"/>
          <w:color w:val="auto"/>
        </w:rPr>
      </w:pPr>
    </w:p>
    <w:p>
      <w:pPr>
        <w:ind w:left="1080" w:hanging="280"/>
        <w:spacing w:after="0"/>
        <w:tabs>
          <w:tab w:leader="none" w:pos="1080" w:val="left"/>
        </w:tabs>
        <w:numPr>
          <w:ilvl w:val="0"/>
          <w:numId w:val="200"/>
        </w:numPr>
        <w:rPr>
          <w:rFonts w:ascii="Arial" w:cs="Arial" w:eastAsia="Arial" w:hAnsi="Arial"/>
          <w:sz w:val="11"/>
          <w:szCs w:val="11"/>
          <w:color w:val="auto"/>
        </w:rPr>
      </w:pPr>
      <w:r>
        <w:rPr>
          <w:rFonts w:ascii="Arial" w:cs="Arial" w:eastAsia="Arial" w:hAnsi="Arial"/>
          <w:sz w:val="11"/>
          <w:szCs w:val="11"/>
          <w:color w:val="auto"/>
        </w:rPr>
        <w:t>To the extent that the Bank’s liability cannot be excluded, the Bank’s liability is limited to the cost of having the Service supplied again.</w:t>
      </w:r>
    </w:p>
    <w:p>
      <w:pPr>
        <w:spacing w:after="0" w:line="46" w:lineRule="exact"/>
        <w:rPr>
          <w:rFonts w:ascii="Arial" w:cs="Arial" w:eastAsia="Arial" w:hAnsi="Arial"/>
          <w:sz w:val="11"/>
          <w:szCs w:val="11"/>
          <w:color w:val="auto"/>
        </w:rPr>
      </w:pPr>
    </w:p>
    <w:p>
      <w:pPr>
        <w:ind w:left="1080" w:right="140" w:hanging="280"/>
        <w:spacing w:after="0" w:line="242" w:lineRule="auto"/>
        <w:tabs>
          <w:tab w:leader="none" w:pos="1080" w:val="left"/>
        </w:tabs>
        <w:numPr>
          <w:ilvl w:val="0"/>
          <w:numId w:val="200"/>
        </w:numPr>
        <w:rPr>
          <w:rFonts w:ascii="Arial" w:cs="Arial" w:eastAsia="Arial" w:hAnsi="Arial"/>
          <w:sz w:val="11"/>
          <w:szCs w:val="11"/>
          <w:color w:val="auto"/>
        </w:rPr>
      </w:pPr>
      <w:r>
        <w:rPr>
          <w:rFonts w:ascii="Arial" w:cs="Arial" w:eastAsia="Arial" w:hAnsi="Arial"/>
          <w:sz w:val="11"/>
          <w:szCs w:val="11"/>
          <w:color w:val="auto"/>
        </w:rPr>
        <w:t>The Bank may use and disclose to any other financial institution or agency, any information about any Borrower, the Services or any person connected with it or the Services, for any purpose which the Bank, or any other financial institution, considers appropriate or necessary in connection with any Regulatory Event or the Services and this may result in information being transmitted overseas.</w:t>
      </w:r>
    </w:p>
    <w:p>
      <w:pPr>
        <w:spacing w:after="0" w:line="29" w:lineRule="exact"/>
        <w:rPr>
          <w:rFonts w:ascii="Arial" w:cs="Arial" w:eastAsia="Arial" w:hAnsi="Arial"/>
          <w:sz w:val="11"/>
          <w:szCs w:val="11"/>
          <w:color w:val="auto"/>
        </w:rPr>
      </w:pPr>
    </w:p>
    <w:p>
      <w:pPr>
        <w:ind w:left="1080" w:right="220" w:hanging="280"/>
        <w:spacing w:after="0" w:line="275" w:lineRule="auto"/>
        <w:tabs>
          <w:tab w:leader="none" w:pos="1080" w:val="left"/>
        </w:tabs>
        <w:numPr>
          <w:ilvl w:val="0"/>
          <w:numId w:val="200"/>
        </w:numPr>
        <w:rPr>
          <w:rFonts w:ascii="Arial" w:cs="Arial" w:eastAsia="Arial" w:hAnsi="Arial"/>
          <w:sz w:val="11"/>
          <w:szCs w:val="11"/>
          <w:color w:val="auto"/>
        </w:rPr>
      </w:pPr>
      <w:r>
        <w:rPr>
          <w:rFonts w:ascii="Arial" w:cs="Arial" w:eastAsia="Arial" w:hAnsi="Arial"/>
          <w:sz w:val="11"/>
          <w:szCs w:val="11"/>
          <w:color w:val="auto"/>
        </w:rPr>
        <w:t xml:space="preserve">The Borrower agrees to provide information to the Bank about it, the Services or any person connected with it or the Services on request, and to promptly procure any consents the Bank requires to give effect to </w:t>
      </w:r>
      <w:r>
        <w:rPr>
          <w:rFonts w:ascii="Arial" w:cs="Arial" w:eastAsia="Arial" w:hAnsi="Arial"/>
          <w:sz w:val="11"/>
          <w:szCs w:val="11"/>
          <w:b w:val="1"/>
          <w:bCs w:val="1"/>
          <w:color w:val="auto"/>
        </w:rPr>
        <w:t>clause 12.6(d)</w:t>
      </w:r>
      <w:r>
        <w:rPr>
          <w:rFonts w:ascii="Arial" w:cs="Arial" w:eastAsia="Arial" w:hAnsi="Arial"/>
          <w:sz w:val="11"/>
          <w:szCs w:val="1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61</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29" w:name="page130"/>
    <w:bookmarkEnd w:id="129"/>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6"/>
          <w:szCs w:val="16"/>
          <w:color w:val="auto"/>
        </w:rPr>
        <w:t>13</w:t>
        <w:tab/>
        <w:t>Goods and Services Tax</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13.1</w:t>
        <w:tab/>
        <w:t>Taxable supply</w:t>
      </w:r>
    </w:p>
    <w:p>
      <w:pPr>
        <w:spacing w:after="0" w:line="47" w:lineRule="exact"/>
        <w:rPr>
          <w:sz w:val="20"/>
          <w:szCs w:val="20"/>
          <w:color w:val="auto"/>
        </w:rPr>
      </w:pPr>
    </w:p>
    <w:p>
      <w:pPr>
        <w:ind w:left="1080" w:right="360" w:hanging="280"/>
        <w:spacing w:after="0" w:line="256" w:lineRule="auto"/>
        <w:tabs>
          <w:tab w:leader="none" w:pos="1080" w:val="left"/>
        </w:tabs>
        <w:numPr>
          <w:ilvl w:val="0"/>
          <w:numId w:val="201"/>
        </w:numPr>
        <w:rPr>
          <w:rFonts w:ascii="Arial" w:cs="Arial" w:eastAsia="Arial" w:hAnsi="Arial"/>
          <w:sz w:val="11"/>
          <w:szCs w:val="11"/>
          <w:color w:val="auto"/>
        </w:rPr>
      </w:pPr>
      <w:r>
        <w:rPr>
          <w:rFonts w:ascii="Arial" w:cs="Arial" w:eastAsia="Arial" w:hAnsi="Arial"/>
          <w:sz w:val="11"/>
          <w:szCs w:val="11"/>
          <w:color w:val="auto"/>
        </w:rPr>
        <w:t>If GST is payable by the Bank on any supply made under a Transaction Document, the Borrower must pay to the Bank an amount equal to the GST payable on the supply.</w:t>
      </w:r>
    </w:p>
    <w:p>
      <w:pPr>
        <w:spacing w:after="0" w:line="22" w:lineRule="exact"/>
        <w:rPr>
          <w:rFonts w:ascii="Arial" w:cs="Arial" w:eastAsia="Arial" w:hAnsi="Arial"/>
          <w:sz w:val="11"/>
          <w:szCs w:val="11"/>
          <w:color w:val="auto"/>
        </w:rPr>
      </w:pPr>
    </w:p>
    <w:p>
      <w:pPr>
        <w:ind w:left="1080" w:right="200" w:hanging="280"/>
        <w:spacing w:after="0" w:line="256" w:lineRule="auto"/>
        <w:tabs>
          <w:tab w:leader="none" w:pos="1080" w:val="left"/>
        </w:tabs>
        <w:numPr>
          <w:ilvl w:val="0"/>
          <w:numId w:val="201"/>
        </w:numPr>
        <w:rPr>
          <w:rFonts w:ascii="Arial" w:cs="Arial" w:eastAsia="Arial" w:hAnsi="Arial"/>
          <w:sz w:val="11"/>
          <w:szCs w:val="11"/>
          <w:color w:val="auto"/>
        </w:rPr>
      </w:pPr>
      <w:r>
        <w:rPr>
          <w:rFonts w:ascii="Arial" w:cs="Arial" w:eastAsia="Arial" w:hAnsi="Arial"/>
          <w:sz w:val="11"/>
          <w:szCs w:val="11"/>
          <w:color w:val="auto"/>
        </w:rPr>
        <w:t>That amount must be paid at the same time that the consideration for the supply is to be provided under the Transaction Document and must be paid in addition to the consideration expressed elsewhere in the Transaction Document.</w:t>
      </w:r>
    </w:p>
    <w:p>
      <w:pPr>
        <w:spacing w:after="0" w:line="22" w:lineRule="exact"/>
        <w:rPr>
          <w:rFonts w:ascii="Arial" w:cs="Arial" w:eastAsia="Arial" w:hAnsi="Arial"/>
          <w:sz w:val="11"/>
          <w:szCs w:val="11"/>
          <w:color w:val="auto"/>
        </w:rPr>
      </w:pPr>
    </w:p>
    <w:p>
      <w:pPr>
        <w:ind w:left="1080" w:hanging="280"/>
        <w:spacing w:after="0"/>
        <w:tabs>
          <w:tab w:leader="none" w:pos="1080" w:val="left"/>
        </w:tabs>
        <w:numPr>
          <w:ilvl w:val="0"/>
          <w:numId w:val="201"/>
        </w:numPr>
        <w:rPr>
          <w:rFonts w:ascii="Arial" w:cs="Arial" w:eastAsia="Arial" w:hAnsi="Arial"/>
          <w:sz w:val="11"/>
          <w:szCs w:val="11"/>
          <w:color w:val="auto"/>
        </w:rPr>
      </w:pPr>
      <w:r>
        <w:rPr>
          <w:rFonts w:ascii="Arial" w:cs="Arial" w:eastAsia="Arial" w:hAnsi="Arial"/>
          <w:sz w:val="11"/>
          <w:szCs w:val="11"/>
          <w:color w:val="auto"/>
        </w:rPr>
        <w:t>On receiving that amount from the Borrower, the Bank must provide the Borrower with a tax invoice for the supply.</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13.2</w:t>
        <w:tab/>
        <w:t>Adjustment events</w:t>
      </w:r>
    </w:p>
    <w:p>
      <w:pPr>
        <w:spacing w:after="0" w:line="47" w:lineRule="exact"/>
        <w:rPr>
          <w:sz w:val="20"/>
          <w:szCs w:val="20"/>
          <w:color w:val="auto"/>
        </w:rPr>
      </w:pPr>
    </w:p>
    <w:p>
      <w:pPr>
        <w:ind w:left="840" w:right="220"/>
        <w:spacing w:after="0" w:line="275" w:lineRule="auto"/>
        <w:rPr>
          <w:sz w:val="20"/>
          <w:szCs w:val="20"/>
          <w:color w:val="auto"/>
        </w:rPr>
      </w:pPr>
      <w:r>
        <w:rPr>
          <w:rFonts w:ascii="Arial" w:cs="Arial" w:eastAsia="Arial" w:hAnsi="Arial"/>
          <w:sz w:val="11"/>
          <w:szCs w:val="11"/>
          <w:color w:val="auto"/>
        </w:rPr>
        <w:t xml:space="preserve">If an adjustment event arises in relation to a supply made by the Bank to the Borrower under a Transaction Document, a corresponding adjustment must be made between the Bank and the Borrower in relation to any amount paid to the Bank by the Borrower under </w:t>
      </w:r>
      <w:r>
        <w:rPr>
          <w:rFonts w:ascii="Arial" w:cs="Arial" w:eastAsia="Arial" w:hAnsi="Arial"/>
          <w:sz w:val="11"/>
          <w:szCs w:val="11"/>
          <w:b w:val="1"/>
          <w:bCs w:val="1"/>
          <w:color w:val="auto"/>
        </w:rPr>
        <w:t>clause 13.1</w:t>
      </w:r>
      <w:r>
        <w:rPr>
          <w:rFonts w:ascii="Arial" w:cs="Arial" w:eastAsia="Arial" w:hAnsi="Arial"/>
          <w:sz w:val="11"/>
          <w:szCs w:val="11"/>
          <w:color w:val="auto"/>
        </w:rPr>
        <w:t xml:space="preserve"> and payments to give effect to the adjustment must be made.</w:t>
      </w:r>
    </w:p>
    <w:p>
      <w:pPr>
        <w:spacing w:after="0" w:line="3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13.3</w:t>
        <w:tab/>
        <w:t>Payments</w:t>
      </w:r>
    </w:p>
    <w:p>
      <w:pPr>
        <w:spacing w:after="0" w:line="47" w:lineRule="exact"/>
        <w:rPr>
          <w:sz w:val="20"/>
          <w:szCs w:val="20"/>
          <w:color w:val="auto"/>
        </w:rPr>
      </w:pPr>
    </w:p>
    <w:p>
      <w:pPr>
        <w:ind w:left="840" w:right="880"/>
        <w:spacing w:after="0" w:line="256" w:lineRule="auto"/>
        <w:rPr>
          <w:sz w:val="20"/>
          <w:szCs w:val="20"/>
          <w:color w:val="auto"/>
        </w:rPr>
      </w:pPr>
      <w:r>
        <w:rPr>
          <w:rFonts w:ascii="Arial" w:cs="Arial" w:eastAsia="Arial" w:hAnsi="Arial"/>
          <w:sz w:val="11"/>
          <w:szCs w:val="11"/>
          <w:color w:val="auto"/>
        </w:rPr>
        <w:t>If the Borrower is required under a Transaction Document to pay for or reimburse an expense or outgoing of the Bank or is required to make a payment under an indemnity in relation to an expense or outgoing of the Bank, the amount to be paid by the Borrower is the sum of:</w:t>
      </w:r>
    </w:p>
    <w:p>
      <w:pPr>
        <w:spacing w:after="0" w:line="23" w:lineRule="exact"/>
        <w:rPr>
          <w:sz w:val="20"/>
          <w:szCs w:val="20"/>
          <w:color w:val="auto"/>
        </w:rPr>
      </w:pPr>
    </w:p>
    <w:p>
      <w:pPr>
        <w:ind w:left="1080" w:hanging="280"/>
        <w:spacing w:after="0"/>
        <w:tabs>
          <w:tab w:leader="none" w:pos="1080" w:val="left"/>
        </w:tabs>
        <w:numPr>
          <w:ilvl w:val="0"/>
          <w:numId w:val="202"/>
        </w:numPr>
        <w:rPr>
          <w:rFonts w:ascii="Arial" w:cs="Arial" w:eastAsia="Arial" w:hAnsi="Arial"/>
          <w:sz w:val="11"/>
          <w:szCs w:val="11"/>
          <w:color w:val="auto"/>
        </w:rPr>
      </w:pPr>
      <w:r>
        <w:rPr>
          <w:rFonts w:ascii="Arial" w:cs="Arial" w:eastAsia="Arial" w:hAnsi="Arial"/>
          <w:sz w:val="11"/>
          <w:szCs w:val="11"/>
          <w:color w:val="auto"/>
        </w:rPr>
        <w:t>the amount of the expense or outgoing less any input tax credit in relation to that expense or outgoing that the Bank is entitled to; and</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202"/>
        </w:numPr>
        <w:rPr>
          <w:rFonts w:ascii="Arial" w:cs="Arial" w:eastAsia="Arial" w:hAnsi="Arial"/>
          <w:sz w:val="11"/>
          <w:szCs w:val="11"/>
          <w:color w:val="auto"/>
        </w:rPr>
      </w:pPr>
      <w:r>
        <w:rPr>
          <w:rFonts w:ascii="Arial" w:cs="Arial" w:eastAsia="Arial" w:hAnsi="Arial"/>
          <w:sz w:val="11"/>
          <w:szCs w:val="11"/>
          <w:color w:val="auto"/>
        </w:rPr>
        <w:t>if the Bank’s recovery from the Borrower is in relation to a taxable supply, an amount equal to the GST payable by the Bank in relation to that recovery.</w:t>
      </w:r>
    </w:p>
    <w:p>
      <w:pPr>
        <w:spacing w:after="0" w:line="28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6"/>
          <w:szCs w:val="16"/>
          <w:color w:val="auto"/>
        </w:rPr>
        <w:t>14</w:t>
        <w:tab/>
        <w:t>Increased costs</w:t>
      </w:r>
    </w:p>
    <w:p>
      <w:pPr>
        <w:spacing w:after="0" w:line="3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If the Bank determines that:</w:t>
      </w:r>
    </w:p>
    <w:p>
      <w:pPr>
        <w:spacing w:after="0" w:line="76" w:lineRule="exact"/>
        <w:rPr>
          <w:sz w:val="20"/>
          <w:szCs w:val="20"/>
          <w:color w:val="auto"/>
        </w:rPr>
      </w:pPr>
    </w:p>
    <w:p>
      <w:pPr>
        <w:ind w:left="1080" w:hanging="280"/>
        <w:spacing w:after="0"/>
        <w:tabs>
          <w:tab w:leader="none" w:pos="1080" w:val="left"/>
        </w:tabs>
        <w:numPr>
          <w:ilvl w:val="0"/>
          <w:numId w:val="203"/>
        </w:numPr>
        <w:rPr>
          <w:rFonts w:ascii="Arial" w:cs="Arial" w:eastAsia="Arial" w:hAnsi="Arial"/>
          <w:sz w:val="11"/>
          <w:szCs w:val="11"/>
          <w:color w:val="auto"/>
        </w:rPr>
      </w:pPr>
      <w:r>
        <w:rPr>
          <w:rFonts w:ascii="Arial" w:cs="Arial" w:eastAsia="Arial" w:hAnsi="Arial"/>
          <w:sz w:val="11"/>
          <w:szCs w:val="11"/>
          <w:color w:val="auto"/>
        </w:rPr>
        <w:t>the cost to it of providing, funding or maintaining the Facility is increased;</w:t>
      </w:r>
    </w:p>
    <w:p>
      <w:pPr>
        <w:spacing w:after="0" w:line="68" w:lineRule="exact"/>
        <w:rPr>
          <w:rFonts w:ascii="Arial" w:cs="Arial" w:eastAsia="Arial" w:hAnsi="Arial"/>
          <w:sz w:val="11"/>
          <w:szCs w:val="11"/>
          <w:color w:val="auto"/>
        </w:rPr>
      </w:pPr>
    </w:p>
    <w:p>
      <w:pPr>
        <w:ind w:left="1080" w:hanging="280"/>
        <w:spacing w:after="0"/>
        <w:tabs>
          <w:tab w:leader="none" w:pos="1080" w:val="left"/>
        </w:tabs>
        <w:numPr>
          <w:ilvl w:val="0"/>
          <w:numId w:val="203"/>
        </w:numPr>
        <w:rPr>
          <w:rFonts w:ascii="Arial" w:cs="Arial" w:eastAsia="Arial" w:hAnsi="Arial"/>
          <w:sz w:val="11"/>
          <w:szCs w:val="11"/>
          <w:color w:val="auto"/>
        </w:rPr>
      </w:pPr>
      <w:r>
        <w:rPr>
          <w:rFonts w:ascii="Arial" w:cs="Arial" w:eastAsia="Arial" w:hAnsi="Arial"/>
          <w:sz w:val="11"/>
          <w:szCs w:val="11"/>
          <w:color w:val="auto"/>
        </w:rPr>
        <w:t>an amount payable to the Bank or the effective return to the Bank under a Transaction Document is reduced;</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203"/>
        </w:numPr>
        <w:rPr>
          <w:rFonts w:ascii="Arial" w:cs="Arial" w:eastAsia="Arial" w:hAnsi="Arial"/>
          <w:sz w:val="11"/>
          <w:szCs w:val="11"/>
          <w:color w:val="auto"/>
        </w:rPr>
      </w:pPr>
      <w:r>
        <w:rPr>
          <w:rFonts w:ascii="Arial" w:cs="Arial" w:eastAsia="Arial" w:hAnsi="Arial"/>
          <w:sz w:val="11"/>
          <w:szCs w:val="11"/>
          <w:color w:val="auto"/>
        </w:rPr>
        <w:t>the effective return to the Bank under any Transaction Document as a proportion of the capital of the Bank is reduced; or</w:t>
      </w:r>
    </w:p>
    <w:p>
      <w:pPr>
        <w:spacing w:after="0" w:line="46" w:lineRule="exact"/>
        <w:rPr>
          <w:rFonts w:ascii="Arial" w:cs="Arial" w:eastAsia="Arial" w:hAnsi="Arial"/>
          <w:sz w:val="11"/>
          <w:szCs w:val="11"/>
          <w:color w:val="auto"/>
        </w:rPr>
      </w:pPr>
    </w:p>
    <w:p>
      <w:pPr>
        <w:ind w:left="1080" w:right="380" w:hanging="280"/>
        <w:spacing w:after="0" w:line="256" w:lineRule="auto"/>
        <w:tabs>
          <w:tab w:leader="none" w:pos="1080" w:val="left"/>
        </w:tabs>
        <w:numPr>
          <w:ilvl w:val="0"/>
          <w:numId w:val="203"/>
        </w:numPr>
        <w:rPr>
          <w:rFonts w:ascii="Arial" w:cs="Arial" w:eastAsia="Arial" w:hAnsi="Arial"/>
          <w:sz w:val="11"/>
          <w:szCs w:val="11"/>
          <w:color w:val="auto"/>
        </w:rPr>
      </w:pPr>
      <w:r>
        <w:rPr>
          <w:rFonts w:ascii="Arial" w:cs="Arial" w:eastAsia="Arial" w:hAnsi="Arial"/>
          <w:sz w:val="11"/>
          <w:szCs w:val="11"/>
          <w:color w:val="auto"/>
        </w:rPr>
        <w:t>the Bank must make a payment or forego any interest or other return calculated by reference to any amount received or receivable by it from any Transaction Party under a Transaction Document,</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62</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30" w:name="page131"/>
    <w:bookmarkEnd w:id="130"/>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40"/>
        <w:spacing w:after="0"/>
        <w:rPr>
          <w:sz w:val="20"/>
          <w:szCs w:val="20"/>
          <w:color w:val="auto"/>
        </w:rPr>
      </w:pPr>
      <w:r>
        <w:rPr>
          <w:rFonts w:ascii="Arial" w:cs="Arial" w:eastAsia="Arial" w:hAnsi="Arial"/>
          <w:sz w:val="11"/>
          <w:szCs w:val="11"/>
          <w:color w:val="auto"/>
        </w:rPr>
        <w:t>because of:</w:t>
      </w:r>
    </w:p>
    <w:p>
      <w:pPr>
        <w:spacing w:after="0" w:line="69" w:lineRule="exact"/>
        <w:rPr>
          <w:sz w:val="20"/>
          <w:szCs w:val="20"/>
          <w:color w:val="auto"/>
        </w:rPr>
      </w:pPr>
    </w:p>
    <w:p>
      <w:pPr>
        <w:ind w:left="1080" w:right="440" w:hanging="280"/>
        <w:spacing w:after="0" w:line="256" w:lineRule="auto"/>
        <w:tabs>
          <w:tab w:leader="none" w:pos="1080" w:val="left"/>
        </w:tabs>
        <w:numPr>
          <w:ilvl w:val="0"/>
          <w:numId w:val="204"/>
        </w:numPr>
        <w:rPr>
          <w:rFonts w:ascii="Arial" w:cs="Arial" w:eastAsia="Arial" w:hAnsi="Arial"/>
          <w:sz w:val="11"/>
          <w:szCs w:val="11"/>
          <w:color w:val="auto"/>
        </w:rPr>
      </w:pPr>
      <w:r>
        <w:rPr>
          <w:rFonts w:ascii="Arial" w:cs="Arial" w:eastAsia="Arial" w:hAnsi="Arial"/>
          <w:sz w:val="11"/>
          <w:szCs w:val="11"/>
          <w:color w:val="auto"/>
        </w:rPr>
        <w:t>any law, regulation or Government Body directive or request (whether or not having the force of law) introduced or made after the date of this document, including those relating to taxation, capital adequacy or reserve requirements or banking or monetary controls; or</w:t>
      </w:r>
    </w:p>
    <w:p>
      <w:pPr>
        <w:spacing w:after="0" w:line="30" w:lineRule="exact"/>
        <w:rPr>
          <w:rFonts w:ascii="Arial" w:cs="Arial" w:eastAsia="Arial" w:hAnsi="Arial"/>
          <w:sz w:val="11"/>
          <w:szCs w:val="11"/>
          <w:color w:val="auto"/>
        </w:rPr>
      </w:pPr>
    </w:p>
    <w:p>
      <w:pPr>
        <w:ind w:left="1080" w:hanging="280"/>
        <w:spacing w:after="0"/>
        <w:tabs>
          <w:tab w:leader="none" w:pos="1080" w:val="left"/>
        </w:tabs>
        <w:numPr>
          <w:ilvl w:val="0"/>
          <w:numId w:val="204"/>
        </w:numPr>
        <w:rPr>
          <w:rFonts w:ascii="Arial" w:cs="Arial" w:eastAsia="Arial" w:hAnsi="Arial"/>
          <w:sz w:val="11"/>
          <w:szCs w:val="11"/>
          <w:color w:val="auto"/>
        </w:rPr>
      </w:pPr>
      <w:r>
        <w:rPr>
          <w:rFonts w:ascii="Arial" w:cs="Arial" w:eastAsia="Arial" w:hAnsi="Arial"/>
          <w:sz w:val="11"/>
          <w:szCs w:val="11"/>
          <w:color w:val="auto"/>
        </w:rPr>
        <w:t>any change in the interpretation or application of any of them,</w:t>
      </w:r>
    </w:p>
    <w:p>
      <w:pPr>
        <w:spacing w:after="0" w:line="69" w:lineRule="exact"/>
        <w:rPr>
          <w:sz w:val="20"/>
          <w:szCs w:val="20"/>
          <w:color w:val="auto"/>
        </w:rPr>
      </w:pPr>
    </w:p>
    <w:p>
      <w:pPr>
        <w:ind w:left="840" w:right="240"/>
        <w:spacing w:after="0" w:line="256" w:lineRule="auto"/>
        <w:rPr>
          <w:sz w:val="20"/>
          <w:szCs w:val="20"/>
          <w:color w:val="auto"/>
        </w:rPr>
      </w:pPr>
      <w:r>
        <w:rPr>
          <w:rFonts w:ascii="Arial" w:cs="Arial" w:eastAsia="Arial" w:hAnsi="Arial"/>
          <w:sz w:val="11"/>
          <w:szCs w:val="11"/>
          <w:color w:val="auto"/>
        </w:rPr>
        <w:t>the Borrower must, within two Business Days after a demand by the Bank, pay to the Bank the amount which, in the Bank’s reasonable opinion, will compensate the Bank for the increased cost, reduction, payment or foregone interest or other return.</w:t>
      </w:r>
    </w:p>
    <w:p>
      <w:pPr>
        <w:spacing w:after="0" w:line="26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6"/>
          <w:szCs w:val="16"/>
          <w:color w:val="auto"/>
        </w:rPr>
        <w:t>15</w:t>
        <w:tab/>
        <w:t>Illegality</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15.1</w:t>
        <w:tab/>
        <w:t>Prepayment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If because of any change after the date of this document in:</w:t>
      </w:r>
    </w:p>
    <w:p>
      <w:pPr>
        <w:spacing w:after="0" w:line="69" w:lineRule="exact"/>
        <w:rPr>
          <w:sz w:val="20"/>
          <w:szCs w:val="20"/>
          <w:color w:val="auto"/>
        </w:rPr>
      </w:pPr>
    </w:p>
    <w:p>
      <w:pPr>
        <w:ind w:left="1080" w:right="1100" w:hanging="280"/>
        <w:spacing w:after="0" w:line="256" w:lineRule="auto"/>
        <w:tabs>
          <w:tab w:leader="none" w:pos="1080" w:val="left"/>
        </w:tabs>
        <w:numPr>
          <w:ilvl w:val="0"/>
          <w:numId w:val="205"/>
        </w:numPr>
        <w:rPr>
          <w:rFonts w:ascii="Arial" w:cs="Arial" w:eastAsia="Arial" w:hAnsi="Arial"/>
          <w:sz w:val="11"/>
          <w:szCs w:val="11"/>
          <w:color w:val="auto"/>
        </w:rPr>
      </w:pPr>
      <w:r>
        <w:rPr>
          <w:rFonts w:ascii="Arial" w:cs="Arial" w:eastAsia="Arial" w:hAnsi="Arial"/>
          <w:sz w:val="11"/>
          <w:szCs w:val="11"/>
          <w:color w:val="auto"/>
        </w:rPr>
        <w:t>a law, regulation or a Government Body directive or request which is legally enforceable or compliance with which is in accordance with the practice of responsible Banks in the relevant jurisdiction; or</w:t>
      </w:r>
    </w:p>
    <w:p>
      <w:pPr>
        <w:spacing w:after="0" w:line="37" w:lineRule="exact"/>
        <w:rPr>
          <w:rFonts w:ascii="Arial" w:cs="Arial" w:eastAsia="Arial" w:hAnsi="Arial"/>
          <w:sz w:val="11"/>
          <w:szCs w:val="11"/>
          <w:color w:val="auto"/>
        </w:rPr>
      </w:pPr>
    </w:p>
    <w:p>
      <w:pPr>
        <w:ind w:left="1080" w:hanging="280"/>
        <w:spacing w:after="0"/>
        <w:tabs>
          <w:tab w:leader="none" w:pos="1080" w:val="left"/>
        </w:tabs>
        <w:numPr>
          <w:ilvl w:val="0"/>
          <w:numId w:val="205"/>
        </w:numPr>
        <w:rPr>
          <w:rFonts w:ascii="Arial" w:cs="Arial" w:eastAsia="Arial" w:hAnsi="Arial"/>
          <w:sz w:val="11"/>
          <w:szCs w:val="11"/>
          <w:color w:val="auto"/>
        </w:rPr>
      </w:pPr>
      <w:r>
        <w:rPr>
          <w:rFonts w:ascii="Arial" w:cs="Arial" w:eastAsia="Arial" w:hAnsi="Arial"/>
          <w:sz w:val="11"/>
          <w:szCs w:val="11"/>
          <w:color w:val="auto"/>
        </w:rPr>
        <w:t>the interpretation or application of any of them,</w:t>
      </w:r>
    </w:p>
    <w:p>
      <w:pPr>
        <w:spacing w:after="0" w:line="6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Bank determines that it is or it will become impossible or illegal or contrary to that Government Body directive or request for:</w:t>
      </w:r>
    </w:p>
    <w:p>
      <w:pPr>
        <w:spacing w:after="0" w:line="46" w:lineRule="exact"/>
        <w:rPr>
          <w:sz w:val="20"/>
          <w:szCs w:val="20"/>
          <w:color w:val="auto"/>
        </w:rPr>
      </w:pPr>
    </w:p>
    <w:p>
      <w:pPr>
        <w:ind w:left="1080" w:hanging="280"/>
        <w:spacing w:after="0"/>
        <w:tabs>
          <w:tab w:leader="none" w:pos="1080" w:val="left"/>
        </w:tabs>
        <w:numPr>
          <w:ilvl w:val="0"/>
          <w:numId w:val="206"/>
        </w:numPr>
        <w:rPr>
          <w:rFonts w:ascii="Arial" w:cs="Arial" w:eastAsia="Arial" w:hAnsi="Arial"/>
          <w:sz w:val="11"/>
          <w:szCs w:val="11"/>
          <w:color w:val="auto"/>
        </w:rPr>
      </w:pPr>
      <w:r>
        <w:rPr>
          <w:rFonts w:ascii="Arial" w:cs="Arial" w:eastAsia="Arial" w:hAnsi="Arial"/>
          <w:sz w:val="11"/>
          <w:szCs w:val="11"/>
          <w:color w:val="auto"/>
        </w:rPr>
        <w:t>the Bank to fund, provide or maintain the Facility or otherwise comply with its obligations under the Transaction Documents; or</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206"/>
        </w:numPr>
        <w:rPr>
          <w:rFonts w:ascii="Arial" w:cs="Arial" w:eastAsia="Arial" w:hAnsi="Arial"/>
          <w:sz w:val="11"/>
          <w:szCs w:val="11"/>
          <w:color w:val="auto"/>
        </w:rPr>
      </w:pPr>
      <w:r>
        <w:rPr>
          <w:rFonts w:ascii="Arial" w:cs="Arial" w:eastAsia="Arial" w:hAnsi="Arial"/>
          <w:sz w:val="11"/>
          <w:szCs w:val="11"/>
          <w:color w:val="auto"/>
        </w:rPr>
        <w:t>a person from whom the Bank has raised or proposes to raise money in relation to the Facility to fund, provide or maintain that money,</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the Borrower must, within five Business Days after receipt of a notice from the Bank to do so, pay the amount referred to in </w:t>
      </w:r>
      <w:r>
        <w:rPr>
          <w:rFonts w:ascii="Arial" w:cs="Arial" w:eastAsia="Arial" w:hAnsi="Arial"/>
          <w:sz w:val="11"/>
          <w:szCs w:val="11"/>
          <w:b w:val="1"/>
          <w:bCs w:val="1"/>
          <w:color w:val="auto"/>
        </w:rPr>
        <w:t>clause 10.2(a)(ii)(A)</w:t>
      </w:r>
      <w:r>
        <w:rPr>
          <w:rFonts w:ascii="Arial" w:cs="Arial" w:eastAsia="Arial" w:hAnsi="Arial"/>
          <w:sz w:val="11"/>
          <w:szCs w:val="11"/>
          <w:color w:val="auto"/>
        </w:rPr>
        <w:t xml:space="preserve"> or </w:t>
      </w:r>
      <w:r>
        <w:rPr>
          <w:rFonts w:ascii="Arial" w:cs="Arial" w:eastAsia="Arial" w:hAnsi="Arial"/>
          <w:sz w:val="11"/>
          <w:szCs w:val="11"/>
          <w:b w:val="1"/>
          <w:bCs w:val="1"/>
          <w:color w:val="auto"/>
        </w:rPr>
        <w:t>10.2(a)(ii)</w:t>
      </w:r>
    </w:p>
    <w:p>
      <w:pPr>
        <w:ind w:left="840"/>
        <w:spacing w:after="0"/>
        <w:rPr>
          <w:sz w:val="20"/>
          <w:szCs w:val="20"/>
          <w:color w:val="auto"/>
        </w:rPr>
      </w:pPr>
      <w:r>
        <w:rPr>
          <w:rFonts w:ascii="Arial" w:cs="Arial" w:eastAsia="Arial" w:hAnsi="Arial"/>
          <w:sz w:val="11"/>
          <w:szCs w:val="11"/>
          <w:b w:val="1"/>
          <w:bCs w:val="1"/>
          <w:color w:val="auto"/>
        </w:rPr>
        <w:t xml:space="preserve">(B) </w:t>
      </w:r>
      <w:r>
        <w:rPr>
          <w:rFonts w:ascii="Arial" w:cs="Arial" w:eastAsia="Arial" w:hAnsi="Arial"/>
          <w:sz w:val="11"/>
          <w:szCs w:val="11"/>
          <w:color w:val="auto"/>
        </w:rPr>
        <w:t>as if that notice were a notice under</w:t>
      </w:r>
      <w:r>
        <w:rPr>
          <w:rFonts w:ascii="Arial" w:cs="Arial" w:eastAsia="Arial" w:hAnsi="Arial"/>
          <w:sz w:val="11"/>
          <w:szCs w:val="11"/>
          <w:b w:val="1"/>
          <w:bCs w:val="1"/>
          <w:color w:val="auto"/>
        </w:rPr>
        <w:t xml:space="preserve"> clause 10.2(a)(ii)(A) </w:t>
      </w:r>
      <w:r>
        <w:rPr>
          <w:rFonts w:ascii="Arial" w:cs="Arial" w:eastAsia="Arial" w:hAnsi="Arial"/>
          <w:sz w:val="11"/>
          <w:szCs w:val="11"/>
          <w:color w:val="auto"/>
        </w:rPr>
        <w:t>or</w:t>
      </w:r>
      <w:r>
        <w:rPr>
          <w:rFonts w:ascii="Arial" w:cs="Arial" w:eastAsia="Arial" w:hAnsi="Arial"/>
          <w:sz w:val="11"/>
          <w:szCs w:val="11"/>
          <w:b w:val="1"/>
          <w:bCs w:val="1"/>
          <w:color w:val="auto"/>
        </w:rPr>
        <w:t xml:space="preserve"> 10.2(a)(ii)(B)</w:t>
      </w:r>
      <w:r>
        <w:rPr>
          <w:rFonts w:ascii="Arial" w:cs="Arial" w:eastAsia="Arial" w:hAnsi="Arial"/>
          <w:sz w:val="11"/>
          <w:szCs w:val="11"/>
          <w:color w:val="auto"/>
        </w:rPr>
        <w:t>.</w:t>
      </w:r>
    </w:p>
    <w:p>
      <w:pPr>
        <w:spacing w:after="0" w:line="5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15.2</w:t>
      </w:r>
      <w:r>
        <w:rPr>
          <w:sz w:val="20"/>
          <w:szCs w:val="20"/>
          <w:color w:val="auto"/>
        </w:rPr>
        <w:tab/>
      </w:r>
      <w:r>
        <w:rPr>
          <w:rFonts w:ascii="Arial" w:cs="Arial" w:eastAsia="Arial" w:hAnsi="Arial"/>
          <w:sz w:val="11"/>
          <w:szCs w:val="11"/>
          <w:b w:val="1"/>
          <w:bCs w:val="1"/>
          <w:color w:val="auto"/>
        </w:rPr>
        <w:t>Facility terminated</w:t>
      </w:r>
    </w:p>
    <w:p>
      <w:pPr>
        <w:spacing w:after="0" w:line="41"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The Bank’s obligation to make Advances or Drawings under this document terminates on the giving of a notice under </w:t>
      </w:r>
      <w:r>
        <w:rPr>
          <w:rFonts w:ascii="Arial" w:cs="Arial" w:eastAsia="Arial" w:hAnsi="Arial"/>
          <w:sz w:val="11"/>
          <w:szCs w:val="11"/>
          <w:b w:val="1"/>
          <w:bCs w:val="1"/>
          <w:color w:val="auto"/>
        </w:rPr>
        <w:t>clause 15.1</w:t>
      </w:r>
      <w:r>
        <w:rPr>
          <w:rFonts w:ascii="Arial" w:cs="Arial" w:eastAsia="Arial" w:hAnsi="Arial"/>
          <w:sz w:val="11"/>
          <w:szCs w:val="11"/>
          <w:color w:val="auto"/>
        </w:rPr>
        <w:t>.</w:t>
      </w:r>
    </w:p>
    <w:p>
      <w:pPr>
        <w:spacing w:after="0" w:line="294"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6"/>
          <w:szCs w:val="16"/>
          <w:color w:val="auto"/>
        </w:rPr>
        <w:t>16</w:t>
        <w:tab/>
        <w:t>Guarantee and indemnity</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16.1</w:t>
        <w:tab/>
        <w:t>Guarantee</w:t>
      </w:r>
    </w:p>
    <w:p>
      <w:pPr>
        <w:spacing w:after="0" w:line="47" w:lineRule="exact"/>
        <w:rPr>
          <w:sz w:val="20"/>
          <w:szCs w:val="20"/>
          <w:color w:val="auto"/>
        </w:rPr>
      </w:pPr>
    </w:p>
    <w:p>
      <w:pPr>
        <w:ind w:left="1080" w:hanging="280"/>
        <w:spacing w:after="0"/>
        <w:tabs>
          <w:tab w:leader="none" w:pos="1080" w:val="left"/>
        </w:tabs>
        <w:numPr>
          <w:ilvl w:val="0"/>
          <w:numId w:val="207"/>
        </w:numPr>
        <w:rPr>
          <w:rFonts w:ascii="Arial" w:cs="Arial" w:eastAsia="Arial" w:hAnsi="Arial"/>
          <w:sz w:val="11"/>
          <w:szCs w:val="11"/>
          <w:color w:val="auto"/>
        </w:rPr>
      </w:pPr>
      <w:r>
        <w:rPr>
          <w:rFonts w:ascii="Arial" w:cs="Arial" w:eastAsia="Arial" w:hAnsi="Arial"/>
          <w:sz w:val="11"/>
          <w:szCs w:val="11"/>
          <w:color w:val="auto"/>
        </w:rPr>
        <w:t>Each Guarantor unconditionally and irrevocably guarantees the payment to the Bank of the Guaranteed Money.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63</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31" w:name="page132"/>
    <w:bookmarkEnd w:id="131"/>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80" w:right="340" w:hanging="280"/>
        <w:spacing w:after="0" w:line="256" w:lineRule="auto"/>
        <w:tabs>
          <w:tab w:leader="none" w:pos="1080" w:val="left"/>
        </w:tabs>
        <w:numPr>
          <w:ilvl w:val="0"/>
          <w:numId w:val="208"/>
        </w:numPr>
        <w:rPr>
          <w:rFonts w:ascii="Arial" w:cs="Arial" w:eastAsia="Arial" w:hAnsi="Arial"/>
          <w:sz w:val="11"/>
          <w:szCs w:val="11"/>
          <w:color w:val="auto"/>
        </w:rPr>
      </w:pPr>
      <w:r>
        <w:rPr>
          <w:rFonts w:ascii="Arial" w:cs="Arial" w:eastAsia="Arial" w:hAnsi="Arial"/>
          <w:sz w:val="11"/>
          <w:szCs w:val="11"/>
          <w:color w:val="auto"/>
        </w:rPr>
        <w:t>If the Borrower does not pay the Guaranteed Money on time and in accordance with the Transaction Documents, then the Guarantors agree to pay the Guaranteed Money on demand from the Bank.</w:t>
      </w:r>
    </w:p>
    <w:p>
      <w:pPr>
        <w:spacing w:after="0" w:line="22" w:lineRule="exact"/>
        <w:rPr>
          <w:rFonts w:ascii="Arial" w:cs="Arial" w:eastAsia="Arial" w:hAnsi="Arial"/>
          <w:sz w:val="11"/>
          <w:szCs w:val="11"/>
          <w:color w:val="auto"/>
        </w:rPr>
      </w:pPr>
    </w:p>
    <w:p>
      <w:pPr>
        <w:ind w:left="1080" w:right="480" w:hanging="280"/>
        <w:spacing w:after="0" w:line="256" w:lineRule="auto"/>
        <w:tabs>
          <w:tab w:leader="none" w:pos="1080" w:val="left"/>
        </w:tabs>
        <w:numPr>
          <w:ilvl w:val="0"/>
          <w:numId w:val="208"/>
        </w:numPr>
        <w:rPr>
          <w:rFonts w:ascii="Arial" w:cs="Arial" w:eastAsia="Arial" w:hAnsi="Arial"/>
          <w:sz w:val="11"/>
          <w:szCs w:val="11"/>
          <w:color w:val="auto"/>
        </w:rPr>
      </w:pPr>
      <w:r>
        <w:rPr>
          <w:rFonts w:ascii="Arial" w:cs="Arial" w:eastAsia="Arial" w:hAnsi="Arial"/>
          <w:sz w:val="11"/>
          <w:szCs w:val="11"/>
          <w:color w:val="auto"/>
        </w:rPr>
        <w:t>A demand may be made at any time and from time to time and whether or not the Bank or the Bank has made demand on the Borrower or any other Transaction Party.</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16.2</w:t>
        <w:tab/>
        <w:t>Nature of guarantee</w:t>
      </w:r>
    </w:p>
    <w:p>
      <w:pPr>
        <w:spacing w:after="0" w:line="41" w:lineRule="exact"/>
        <w:rPr>
          <w:sz w:val="20"/>
          <w:szCs w:val="20"/>
          <w:color w:val="auto"/>
        </w:rPr>
      </w:pPr>
    </w:p>
    <w:p>
      <w:pPr>
        <w:ind w:left="1080" w:hanging="280"/>
        <w:spacing w:after="0"/>
        <w:tabs>
          <w:tab w:leader="none" w:pos="1080" w:val="left"/>
        </w:tabs>
        <w:numPr>
          <w:ilvl w:val="0"/>
          <w:numId w:val="209"/>
        </w:numPr>
        <w:rPr>
          <w:rFonts w:ascii="Arial" w:cs="Arial" w:eastAsia="Arial" w:hAnsi="Arial"/>
          <w:sz w:val="11"/>
          <w:szCs w:val="11"/>
          <w:color w:val="auto"/>
        </w:rPr>
      </w:pPr>
      <w:r>
        <w:rPr>
          <w:rFonts w:ascii="Arial" w:cs="Arial" w:eastAsia="Arial" w:hAnsi="Arial"/>
          <w:sz w:val="11"/>
          <w:szCs w:val="11"/>
          <w:color w:val="auto"/>
        </w:rPr>
        <w:t xml:space="preserve">The guarantee in </w:t>
      </w:r>
      <w:r>
        <w:rPr>
          <w:rFonts w:ascii="Arial" w:cs="Arial" w:eastAsia="Arial" w:hAnsi="Arial"/>
          <w:sz w:val="11"/>
          <w:szCs w:val="11"/>
          <w:b w:val="1"/>
          <w:bCs w:val="1"/>
          <w:color w:val="auto"/>
        </w:rPr>
        <w:t>clause 16.1</w:t>
      </w:r>
      <w:r>
        <w:rPr>
          <w:rFonts w:ascii="Arial" w:cs="Arial" w:eastAsia="Arial" w:hAnsi="Arial"/>
          <w:sz w:val="11"/>
          <w:szCs w:val="11"/>
          <w:color w:val="auto"/>
        </w:rPr>
        <w:t xml:space="preserve"> is a continuing obligation despite any intervening payment, settlement or other thing and extends to all of the Guaranteed Money.</w:t>
      </w:r>
    </w:p>
    <w:p>
      <w:pPr>
        <w:spacing w:after="0" w:line="52" w:lineRule="exact"/>
        <w:rPr>
          <w:rFonts w:ascii="Arial" w:cs="Arial" w:eastAsia="Arial" w:hAnsi="Arial"/>
          <w:sz w:val="11"/>
          <w:szCs w:val="11"/>
          <w:color w:val="auto"/>
        </w:rPr>
      </w:pPr>
    </w:p>
    <w:p>
      <w:pPr>
        <w:ind w:left="1080" w:right="160" w:hanging="280"/>
        <w:spacing w:after="0" w:line="256" w:lineRule="auto"/>
        <w:tabs>
          <w:tab w:leader="none" w:pos="1080" w:val="left"/>
        </w:tabs>
        <w:numPr>
          <w:ilvl w:val="0"/>
          <w:numId w:val="209"/>
        </w:numPr>
        <w:rPr>
          <w:rFonts w:ascii="Arial" w:cs="Arial" w:eastAsia="Arial" w:hAnsi="Arial"/>
          <w:sz w:val="11"/>
          <w:szCs w:val="11"/>
          <w:color w:val="auto"/>
        </w:rPr>
      </w:pPr>
      <w:r>
        <w:rPr>
          <w:rFonts w:ascii="Arial" w:cs="Arial" w:eastAsia="Arial" w:hAnsi="Arial"/>
          <w:sz w:val="11"/>
          <w:szCs w:val="11"/>
          <w:color w:val="auto"/>
        </w:rPr>
        <w:t>As between each Guarantor and the Bank (but without affecting the obligations of any other Transaction Party) each Guarantor is liable under this document in relation to the Guaranteed Money as a sole and principal debtor and not as surety.</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16.3</w:t>
        <w:tab/>
        <w:t>Indemnity</w:t>
      </w:r>
    </w:p>
    <w:p>
      <w:pPr>
        <w:spacing w:after="0" w:line="47" w:lineRule="exact"/>
        <w:rPr>
          <w:sz w:val="20"/>
          <w:szCs w:val="20"/>
          <w:color w:val="auto"/>
        </w:rPr>
      </w:pPr>
    </w:p>
    <w:p>
      <w:pPr>
        <w:ind w:left="1080" w:hanging="280"/>
        <w:spacing w:after="0"/>
        <w:tabs>
          <w:tab w:leader="none" w:pos="1080" w:val="left"/>
        </w:tabs>
        <w:numPr>
          <w:ilvl w:val="0"/>
          <w:numId w:val="210"/>
        </w:numPr>
        <w:rPr>
          <w:rFonts w:ascii="Arial" w:cs="Arial" w:eastAsia="Arial" w:hAnsi="Arial"/>
          <w:sz w:val="11"/>
          <w:szCs w:val="11"/>
          <w:color w:val="auto"/>
        </w:rPr>
      </w:pPr>
      <w:r>
        <w:rPr>
          <w:rFonts w:ascii="Arial" w:cs="Arial" w:eastAsia="Arial" w:hAnsi="Arial"/>
          <w:sz w:val="11"/>
          <w:szCs w:val="11"/>
          <w:color w:val="auto"/>
        </w:rPr>
        <w:t>Each Guarantor indemnifies the Bank against any liability or loss arising and any costs it suffers or incurs:</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210"/>
        </w:numPr>
        <w:rPr>
          <w:rFonts w:ascii="Arial" w:cs="Arial" w:eastAsia="Arial" w:hAnsi="Arial"/>
          <w:sz w:val="11"/>
          <w:szCs w:val="11"/>
          <w:color w:val="auto"/>
        </w:rPr>
      </w:pPr>
      <w:r>
        <w:rPr>
          <w:rFonts w:ascii="Arial" w:cs="Arial" w:eastAsia="Arial" w:hAnsi="Arial"/>
          <w:sz w:val="11"/>
          <w:szCs w:val="11"/>
          <w:color w:val="auto"/>
        </w:rPr>
        <w:t>if a Transaction Party does not, is not obliged to or is unable to pay the Guaranteed Money in accordance with the Transaction Documents;</w:t>
      </w:r>
    </w:p>
    <w:p>
      <w:pPr>
        <w:spacing w:after="0" w:line="53" w:lineRule="exact"/>
        <w:rPr>
          <w:rFonts w:ascii="Arial" w:cs="Arial" w:eastAsia="Arial" w:hAnsi="Arial"/>
          <w:sz w:val="11"/>
          <w:szCs w:val="11"/>
          <w:color w:val="auto"/>
        </w:rPr>
      </w:pPr>
    </w:p>
    <w:p>
      <w:pPr>
        <w:ind w:left="1400" w:right="5040" w:hanging="285"/>
        <w:spacing w:after="0" w:line="318" w:lineRule="auto"/>
        <w:tabs>
          <w:tab w:leader="none" w:pos="1385" w:val="left"/>
        </w:tabs>
        <w:numPr>
          <w:ilvl w:val="1"/>
          <w:numId w:val="210"/>
        </w:numPr>
        <w:rPr>
          <w:rFonts w:ascii="Arial" w:cs="Arial" w:eastAsia="Arial" w:hAnsi="Arial"/>
          <w:sz w:val="11"/>
          <w:szCs w:val="11"/>
          <w:color w:val="auto"/>
        </w:rPr>
      </w:pPr>
      <w:r>
        <w:rPr>
          <w:rFonts w:ascii="Arial" w:cs="Arial" w:eastAsia="Arial" w:hAnsi="Arial"/>
          <w:sz w:val="11"/>
          <w:szCs w:val="11"/>
          <w:color w:val="auto"/>
        </w:rPr>
        <w:t xml:space="preserve">if a Guarantor is not obliged to pay the Bank an amount under </w:t>
      </w:r>
      <w:r>
        <w:rPr>
          <w:rFonts w:ascii="Arial" w:cs="Arial" w:eastAsia="Arial" w:hAnsi="Arial"/>
          <w:sz w:val="11"/>
          <w:szCs w:val="11"/>
          <w:b w:val="1"/>
          <w:bCs w:val="1"/>
          <w:color w:val="auto"/>
        </w:rPr>
        <w:t>clause 16</w:t>
      </w:r>
      <w:r>
        <w:rPr>
          <w:rFonts w:ascii="Arial" w:cs="Arial" w:eastAsia="Arial" w:hAnsi="Arial"/>
          <w:sz w:val="11"/>
          <w:szCs w:val="11"/>
          <w:color w:val="auto"/>
        </w:rPr>
        <w:t>;</w:t>
      </w:r>
    </w:p>
    <w:p>
      <w:pPr>
        <w:spacing w:after="0" w:line="2" w:lineRule="exact"/>
        <w:rPr>
          <w:rFonts w:ascii="Arial" w:cs="Arial" w:eastAsia="Arial" w:hAnsi="Arial"/>
          <w:sz w:val="11"/>
          <w:szCs w:val="11"/>
          <w:color w:val="auto"/>
        </w:rPr>
      </w:pPr>
    </w:p>
    <w:p>
      <w:pPr>
        <w:ind w:left="1400" w:right="180" w:hanging="285"/>
        <w:spacing w:after="0" w:line="256" w:lineRule="auto"/>
        <w:tabs>
          <w:tab w:leader="none" w:pos="1400" w:val="left"/>
        </w:tabs>
        <w:numPr>
          <w:ilvl w:val="1"/>
          <w:numId w:val="210"/>
        </w:numPr>
        <w:rPr>
          <w:rFonts w:ascii="Arial" w:cs="Arial" w:eastAsia="Arial" w:hAnsi="Arial"/>
          <w:sz w:val="11"/>
          <w:szCs w:val="11"/>
          <w:color w:val="auto"/>
        </w:rPr>
      </w:pPr>
      <w:r>
        <w:rPr>
          <w:rFonts w:ascii="Arial" w:cs="Arial" w:eastAsia="Arial" w:hAnsi="Arial"/>
          <w:sz w:val="11"/>
          <w:szCs w:val="11"/>
          <w:color w:val="auto"/>
        </w:rPr>
        <w:t>if the Bank is obliged, or agrees, to pay an amount to a trustee in bankruptcy or liquidator (of an insolvent person) in connection with a payment by a Transaction Party under or in connection with a Transaction Document;</w:t>
      </w:r>
    </w:p>
    <w:p>
      <w:pPr>
        <w:spacing w:after="0" w:line="31" w:lineRule="exact"/>
        <w:rPr>
          <w:rFonts w:ascii="Arial" w:cs="Arial" w:eastAsia="Arial" w:hAnsi="Arial"/>
          <w:sz w:val="11"/>
          <w:szCs w:val="11"/>
          <w:color w:val="auto"/>
        </w:rPr>
      </w:pPr>
    </w:p>
    <w:p>
      <w:pPr>
        <w:ind w:left="1400" w:hanging="285"/>
        <w:spacing w:after="0"/>
        <w:tabs>
          <w:tab w:leader="none" w:pos="1400" w:val="left"/>
        </w:tabs>
        <w:numPr>
          <w:ilvl w:val="1"/>
          <w:numId w:val="210"/>
        </w:numPr>
        <w:rPr>
          <w:rFonts w:ascii="Arial" w:cs="Arial" w:eastAsia="Arial" w:hAnsi="Arial"/>
          <w:sz w:val="11"/>
          <w:szCs w:val="11"/>
          <w:color w:val="auto"/>
        </w:rPr>
      </w:pPr>
      <w:r>
        <w:rPr>
          <w:rFonts w:ascii="Arial" w:cs="Arial" w:eastAsia="Arial" w:hAnsi="Arial"/>
          <w:sz w:val="11"/>
          <w:szCs w:val="11"/>
          <w:color w:val="auto"/>
        </w:rPr>
        <w:t xml:space="preserve">if a Guarantor defaults under the Guarantee in </w:t>
      </w:r>
      <w:r>
        <w:rPr>
          <w:rFonts w:ascii="Arial" w:cs="Arial" w:eastAsia="Arial" w:hAnsi="Arial"/>
          <w:sz w:val="11"/>
          <w:szCs w:val="11"/>
          <w:b w:val="1"/>
          <w:bCs w:val="1"/>
          <w:color w:val="auto"/>
        </w:rPr>
        <w:t>clause 16.1</w:t>
      </w:r>
      <w:r>
        <w:rPr>
          <w:rFonts w:ascii="Arial" w:cs="Arial" w:eastAsia="Arial" w:hAnsi="Arial"/>
          <w:sz w:val="11"/>
          <w:szCs w:val="11"/>
          <w:color w:val="auto"/>
        </w:rPr>
        <w:t>; or</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210"/>
        </w:numPr>
        <w:rPr>
          <w:rFonts w:ascii="Arial" w:cs="Arial" w:eastAsia="Arial" w:hAnsi="Arial"/>
          <w:sz w:val="11"/>
          <w:szCs w:val="11"/>
          <w:color w:val="auto"/>
        </w:rPr>
      </w:pPr>
      <w:r>
        <w:rPr>
          <w:rFonts w:ascii="Arial" w:cs="Arial" w:eastAsia="Arial" w:hAnsi="Arial"/>
          <w:sz w:val="11"/>
          <w:szCs w:val="11"/>
          <w:color w:val="auto"/>
        </w:rPr>
        <w:t xml:space="preserve">in connection with any person exercising, or not exercising, rights under the Guarantee in </w:t>
      </w:r>
      <w:r>
        <w:rPr>
          <w:rFonts w:ascii="Arial" w:cs="Arial" w:eastAsia="Arial" w:hAnsi="Arial"/>
          <w:sz w:val="11"/>
          <w:szCs w:val="11"/>
          <w:b w:val="1"/>
          <w:bCs w:val="1"/>
          <w:color w:val="auto"/>
        </w:rPr>
        <w:t>clause 16.1</w:t>
      </w:r>
      <w:r>
        <w:rPr>
          <w:rFonts w:ascii="Arial" w:cs="Arial" w:eastAsia="Arial" w:hAnsi="Arial"/>
          <w:sz w:val="11"/>
          <w:szCs w:val="11"/>
          <w:color w:val="auto"/>
        </w:rPr>
        <w:t>.</w:t>
      </w:r>
    </w:p>
    <w:p>
      <w:pPr>
        <w:spacing w:after="0" w:line="52" w:lineRule="exact"/>
        <w:rPr>
          <w:rFonts w:ascii="Arial" w:cs="Arial" w:eastAsia="Arial" w:hAnsi="Arial"/>
          <w:sz w:val="11"/>
          <w:szCs w:val="11"/>
          <w:color w:val="auto"/>
        </w:rPr>
      </w:pPr>
    </w:p>
    <w:p>
      <w:pPr>
        <w:ind w:left="1080" w:hanging="280"/>
        <w:spacing w:after="0"/>
        <w:tabs>
          <w:tab w:leader="none" w:pos="1080" w:val="left"/>
        </w:tabs>
        <w:numPr>
          <w:ilvl w:val="0"/>
          <w:numId w:val="210"/>
        </w:numPr>
        <w:rPr>
          <w:rFonts w:ascii="Arial" w:cs="Arial" w:eastAsia="Arial" w:hAnsi="Arial"/>
          <w:sz w:val="11"/>
          <w:szCs w:val="11"/>
          <w:color w:val="auto"/>
        </w:rPr>
      </w:pPr>
      <w:r>
        <w:rPr>
          <w:rFonts w:ascii="Arial" w:cs="Arial" w:eastAsia="Arial" w:hAnsi="Arial"/>
          <w:sz w:val="11"/>
          <w:szCs w:val="11"/>
          <w:color w:val="auto"/>
        </w:rPr>
        <w:t>Each Guarantor agrees to pay amounts due under this indemnity immediately on demand from the Bank.</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16.4</w:t>
      </w:r>
      <w:r>
        <w:rPr>
          <w:sz w:val="20"/>
          <w:szCs w:val="20"/>
          <w:color w:val="auto"/>
        </w:rPr>
        <w:tab/>
      </w:r>
      <w:r>
        <w:rPr>
          <w:rFonts w:ascii="Arial" w:cs="Arial" w:eastAsia="Arial" w:hAnsi="Arial"/>
          <w:sz w:val="11"/>
          <w:szCs w:val="11"/>
          <w:b w:val="1"/>
          <w:bCs w:val="1"/>
          <w:color w:val="auto"/>
        </w:rPr>
        <w:t>Reinstatement of rights</w:t>
      </w:r>
    </w:p>
    <w:p>
      <w:pPr>
        <w:spacing w:after="0" w:line="47" w:lineRule="exact"/>
        <w:rPr>
          <w:sz w:val="20"/>
          <w:szCs w:val="20"/>
          <w:color w:val="auto"/>
        </w:rPr>
      </w:pPr>
    </w:p>
    <w:p>
      <w:pPr>
        <w:ind w:left="1080" w:right="80" w:hanging="280"/>
        <w:spacing w:after="0" w:line="256" w:lineRule="auto"/>
        <w:tabs>
          <w:tab w:leader="none" w:pos="1080" w:val="left"/>
        </w:tabs>
        <w:numPr>
          <w:ilvl w:val="0"/>
          <w:numId w:val="211"/>
        </w:numPr>
        <w:rPr>
          <w:rFonts w:ascii="Arial" w:cs="Arial" w:eastAsia="Arial" w:hAnsi="Arial"/>
          <w:sz w:val="11"/>
          <w:szCs w:val="11"/>
          <w:color w:val="auto"/>
        </w:rPr>
      </w:pPr>
      <w:r>
        <w:rPr>
          <w:rFonts w:ascii="Arial" w:cs="Arial" w:eastAsia="Arial" w:hAnsi="Arial"/>
          <w:sz w:val="11"/>
          <w:szCs w:val="11"/>
          <w:color w:val="auto"/>
        </w:rPr>
        <w:t>Following an Insolvency Event in respect of a Transaction Party, a person may claim that a transaction (including a payment) in connection with this Guarantee or the Guaranteed Money is void or voidable.</w:t>
      </w:r>
    </w:p>
    <w:p>
      <w:pPr>
        <w:spacing w:after="0" w:line="30" w:lineRule="exact"/>
        <w:rPr>
          <w:rFonts w:ascii="Arial" w:cs="Arial" w:eastAsia="Arial" w:hAnsi="Arial"/>
          <w:sz w:val="11"/>
          <w:szCs w:val="11"/>
          <w:color w:val="auto"/>
        </w:rPr>
      </w:pPr>
    </w:p>
    <w:p>
      <w:pPr>
        <w:ind w:left="1080" w:hanging="280"/>
        <w:spacing w:after="0"/>
        <w:tabs>
          <w:tab w:leader="none" w:pos="1080" w:val="left"/>
        </w:tabs>
        <w:numPr>
          <w:ilvl w:val="0"/>
          <w:numId w:val="211"/>
        </w:numPr>
        <w:rPr>
          <w:rFonts w:ascii="Arial" w:cs="Arial" w:eastAsia="Arial" w:hAnsi="Arial"/>
          <w:sz w:val="11"/>
          <w:szCs w:val="11"/>
          <w:color w:val="auto"/>
        </w:rPr>
      </w:pPr>
      <w:r>
        <w:rPr>
          <w:rFonts w:ascii="Arial" w:cs="Arial" w:eastAsia="Arial" w:hAnsi="Arial"/>
          <w:sz w:val="11"/>
          <w:szCs w:val="11"/>
          <w:color w:val="auto"/>
        </w:rPr>
        <w:t>If a claim is made and upheld, conceded or comprised:</w:t>
      </w:r>
    </w:p>
    <w:p>
      <w:pPr>
        <w:spacing w:after="0" w:line="68" w:lineRule="exact"/>
        <w:rPr>
          <w:rFonts w:ascii="Arial" w:cs="Arial" w:eastAsia="Arial" w:hAnsi="Arial"/>
          <w:sz w:val="11"/>
          <w:szCs w:val="11"/>
          <w:color w:val="auto"/>
        </w:rPr>
      </w:pPr>
    </w:p>
    <w:p>
      <w:pPr>
        <w:ind w:left="1400" w:right="460" w:hanging="285"/>
        <w:spacing w:after="0" w:line="256" w:lineRule="auto"/>
        <w:tabs>
          <w:tab w:leader="none" w:pos="1400" w:val="left"/>
        </w:tabs>
        <w:numPr>
          <w:ilvl w:val="1"/>
          <w:numId w:val="211"/>
        </w:numPr>
        <w:rPr>
          <w:rFonts w:ascii="Arial" w:cs="Arial" w:eastAsia="Arial" w:hAnsi="Arial"/>
          <w:sz w:val="11"/>
          <w:szCs w:val="11"/>
          <w:color w:val="auto"/>
        </w:rPr>
      </w:pPr>
      <w:r>
        <w:rPr>
          <w:rFonts w:ascii="Arial" w:cs="Arial" w:eastAsia="Arial" w:hAnsi="Arial"/>
          <w:sz w:val="11"/>
          <w:szCs w:val="11"/>
          <w:color w:val="auto"/>
        </w:rPr>
        <w:t>the Bank is immediately entitled as against the Guarantors to the rights in respect of the Guaranteed Money to which it was entitled immediately before the transaction; and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64</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32" w:name="page133"/>
    <w:bookmarkEnd w:id="132"/>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0" w:right="360" w:hanging="285"/>
        <w:spacing w:after="0" w:line="256" w:lineRule="auto"/>
        <w:tabs>
          <w:tab w:leader="none" w:pos="1400" w:val="left"/>
        </w:tabs>
        <w:numPr>
          <w:ilvl w:val="0"/>
          <w:numId w:val="212"/>
        </w:numPr>
        <w:rPr>
          <w:rFonts w:ascii="Arial" w:cs="Arial" w:eastAsia="Arial" w:hAnsi="Arial"/>
          <w:sz w:val="11"/>
          <w:szCs w:val="11"/>
          <w:color w:val="auto"/>
        </w:rPr>
      </w:pPr>
      <w:r>
        <w:rPr>
          <w:rFonts w:ascii="Arial" w:cs="Arial" w:eastAsia="Arial" w:hAnsi="Arial"/>
          <w:sz w:val="11"/>
          <w:szCs w:val="11"/>
          <w:color w:val="auto"/>
        </w:rPr>
        <w:t>on request from the Bank, each Guarantor agrees to do anything (including signing any document) to restore to the Bank any Security Interest (including this Guarantee) held by it from the Guarantors immediately before the transaction.</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16.5</w:t>
      </w:r>
      <w:r>
        <w:rPr>
          <w:sz w:val="20"/>
          <w:szCs w:val="20"/>
          <w:color w:val="auto"/>
        </w:rPr>
        <w:tab/>
      </w:r>
      <w:r>
        <w:rPr>
          <w:rFonts w:ascii="Arial" w:cs="Arial" w:eastAsia="Arial" w:hAnsi="Arial"/>
          <w:sz w:val="11"/>
          <w:szCs w:val="11"/>
          <w:b w:val="1"/>
          <w:bCs w:val="1"/>
          <w:color w:val="auto"/>
        </w:rPr>
        <w:t>Rights of the Bank are protected</w:t>
      </w:r>
    </w:p>
    <w:p>
      <w:pPr>
        <w:spacing w:after="0" w:line="47" w:lineRule="exact"/>
        <w:rPr>
          <w:sz w:val="20"/>
          <w:szCs w:val="20"/>
          <w:color w:val="auto"/>
        </w:rPr>
      </w:pPr>
    </w:p>
    <w:p>
      <w:pPr>
        <w:ind w:left="820" w:right="580"/>
        <w:spacing w:after="0" w:line="256" w:lineRule="auto"/>
        <w:rPr>
          <w:sz w:val="20"/>
          <w:szCs w:val="20"/>
          <w:color w:val="auto"/>
        </w:rPr>
      </w:pPr>
      <w:r>
        <w:rPr>
          <w:rFonts w:ascii="Arial" w:cs="Arial" w:eastAsia="Arial" w:hAnsi="Arial"/>
          <w:sz w:val="11"/>
          <w:szCs w:val="11"/>
          <w:color w:val="auto"/>
        </w:rPr>
        <w:t>Rights given to the Bank under this Guarantee (and each Guarantor’s liabilities under it) are not affected by any act or omission by the Bank or by anything else that might otherwise affect them under law or otherwise, including:</w:t>
      </w:r>
    </w:p>
    <w:p>
      <w:pPr>
        <w:spacing w:after="0" w:line="30" w:lineRule="exact"/>
        <w:rPr>
          <w:sz w:val="20"/>
          <w:szCs w:val="20"/>
          <w:color w:val="auto"/>
        </w:rPr>
      </w:pPr>
    </w:p>
    <w:p>
      <w:pPr>
        <w:ind w:left="1080" w:right="200" w:hanging="280"/>
        <w:spacing w:after="0" w:line="256" w:lineRule="auto"/>
        <w:tabs>
          <w:tab w:leader="none" w:pos="108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the fact that it varies or novates any agreement under which the Guaranteed Money is expressed to be owing, such as by increasing the Facility Limit or extending the term;</w:t>
      </w:r>
    </w:p>
    <w:p>
      <w:pPr>
        <w:spacing w:after="0" w:line="22" w:lineRule="exact"/>
        <w:rPr>
          <w:rFonts w:ascii="Arial" w:cs="Arial" w:eastAsia="Arial" w:hAnsi="Arial"/>
          <w:sz w:val="11"/>
          <w:szCs w:val="11"/>
          <w:color w:val="auto"/>
        </w:rPr>
      </w:pPr>
    </w:p>
    <w:p>
      <w:pPr>
        <w:ind w:left="1080" w:hanging="280"/>
        <w:spacing w:after="0"/>
        <w:tabs>
          <w:tab w:leader="none" w:pos="108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the fact that it releases any Transaction Party or gives it a concession, such as more time to pay;</w:t>
      </w:r>
    </w:p>
    <w:p>
      <w:pPr>
        <w:spacing w:after="0" w:line="53" w:lineRule="exact"/>
        <w:rPr>
          <w:rFonts w:ascii="Arial" w:cs="Arial" w:eastAsia="Arial" w:hAnsi="Arial"/>
          <w:sz w:val="11"/>
          <w:szCs w:val="11"/>
          <w:color w:val="auto"/>
        </w:rPr>
      </w:pPr>
    </w:p>
    <w:p>
      <w:pPr>
        <w:ind w:left="1080" w:hanging="280"/>
        <w:spacing w:after="0"/>
        <w:tabs>
          <w:tab w:leader="none" w:pos="108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the fact that a Transaction Party opens an account with it;</w:t>
      </w:r>
    </w:p>
    <w:p>
      <w:pPr>
        <w:spacing w:after="0" w:line="68" w:lineRule="exact"/>
        <w:rPr>
          <w:rFonts w:ascii="Arial" w:cs="Arial" w:eastAsia="Arial" w:hAnsi="Arial"/>
          <w:sz w:val="11"/>
          <w:szCs w:val="11"/>
          <w:color w:val="auto"/>
        </w:rPr>
      </w:pPr>
    </w:p>
    <w:p>
      <w:pPr>
        <w:ind w:left="1080" w:hanging="280"/>
        <w:spacing w:after="0"/>
        <w:tabs>
          <w:tab w:leader="none" w:pos="108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the fact that it releases, loses the benefit of or does not obtain any Security Interest;</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the fact that it does not register any Security Interest which could be registered;</w:t>
      </w:r>
    </w:p>
    <w:p>
      <w:pPr>
        <w:spacing w:after="0" w:line="40" w:lineRule="exact"/>
        <w:rPr>
          <w:rFonts w:ascii="Arial" w:cs="Arial" w:eastAsia="Arial" w:hAnsi="Arial"/>
          <w:sz w:val="11"/>
          <w:szCs w:val="11"/>
          <w:color w:val="auto"/>
        </w:rPr>
      </w:pPr>
    </w:p>
    <w:p>
      <w:pPr>
        <w:ind w:left="1080" w:hanging="280"/>
        <w:spacing w:after="0"/>
        <w:tabs>
          <w:tab w:leader="none" w:pos="108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 xml:space="preserve">the fact that it releases any person who gives a guarantee or indemnity in connection with any Transaction Party’s obligations (including under </w:t>
      </w:r>
      <w:r>
        <w:rPr>
          <w:rFonts w:ascii="Arial" w:cs="Arial" w:eastAsia="Arial" w:hAnsi="Arial"/>
          <w:sz w:val="11"/>
          <w:szCs w:val="11"/>
          <w:b w:val="1"/>
          <w:bCs w:val="1"/>
          <w:color w:val="auto"/>
        </w:rPr>
        <w:t>clause 16.13</w:t>
      </w:r>
      <w:r>
        <w:rPr>
          <w:rFonts w:ascii="Arial" w:cs="Arial" w:eastAsia="Arial" w:hAnsi="Arial"/>
          <w:sz w:val="11"/>
          <w:szCs w:val="11"/>
          <w:color w:val="auto"/>
        </w:rPr>
        <w:t>);</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 xml:space="preserve">the fact that a person becomes a Guarantor after the date of this document (including under </w:t>
      </w:r>
      <w:r>
        <w:rPr>
          <w:rFonts w:ascii="Arial" w:cs="Arial" w:eastAsia="Arial" w:hAnsi="Arial"/>
          <w:sz w:val="11"/>
          <w:szCs w:val="11"/>
          <w:b w:val="1"/>
          <w:bCs w:val="1"/>
          <w:color w:val="auto"/>
        </w:rPr>
        <w:t>clause 16.14</w:t>
      </w:r>
      <w:r>
        <w:rPr>
          <w:rFonts w:ascii="Arial" w:cs="Arial" w:eastAsia="Arial" w:hAnsi="Arial"/>
          <w:sz w:val="11"/>
          <w:szCs w:val="11"/>
          <w:color w:val="auto"/>
        </w:rPr>
        <w:t>);</w:t>
      </w:r>
    </w:p>
    <w:p>
      <w:pPr>
        <w:spacing w:after="0" w:line="52" w:lineRule="exact"/>
        <w:rPr>
          <w:rFonts w:ascii="Arial" w:cs="Arial" w:eastAsia="Arial" w:hAnsi="Arial"/>
          <w:sz w:val="11"/>
          <w:szCs w:val="11"/>
          <w:color w:val="auto"/>
        </w:rPr>
      </w:pPr>
    </w:p>
    <w:p>
      <w:pPr>
        <w:ind w:left="1080" w:hanging="280"/>
        <w:spacing w:after="0"/>
        <w:tabs>
          <w:tab w:leader="none" w:pos="108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the fact the obligations of any person who guarantees any Transaction Party’s obligations (including under this Guarantee) may not be enforceable;</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the fact that any person who was intended to guarantee any Transaction Party’s obligations does not do so or does not do so effectively;</w:t>
      </w:r>
    </w:p>
    <w:p>
      <w:pPr>
        <w:spacing w:after="0" w:line="61" w:lineRule="exact"/>
        <w:rPr>
          <w:rFonts w:ascii="Arial" w:cs="Arial" w:eastAsia="Arial" w:hAnsi="Arial"/>
          <w:sz w:val="11"/>
          <w:szCs w:val="11"/>
          <w:color w:val="auto"/>
        </w:rPr>
      </w:pPr>
    </w:p>
    <w:p>
      <w:pPr>
        <w:ind w:left="1080" w:hanging="280"/>
        <w:spacing w:after="0"/>
        <w:tabs>
          <w:tab w:leader="none" w:pos="108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changes in the membership, name or business of any person; or</w:t>
      </w:r>
    </w:p>
    <w:p>
      <w:pPr>
        <w:spacing w:after="0" w:line="68" w:lineRule="exact"/>
        <w:rPr>
          <w:rFonts w:ascii="Arial" w:cs="Arial" w:eastAsia="Arial" w:hAnsi="Arial"/>
          <w:sz w:val="11"/>
          <w:szCs w:val="11"/>
          <w:color w:val="auto"/>
        </w:rPr>
      </w:pPr>
    </w:p>
    <w:p>
      <w:pPr>
        <w:ind w:left="1080" w:hanging="280"/>
        <w:spacing w:after="0"/>
        <w:tabs>
          <w:tab w:leader="none" w:pos="108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the fact that a person who is a co-surety or co-indemnifier for payment of the Guaranteed Money is discharged under an agreement or by operation of law.</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16.6</w:t>
      </w:r>
      <w:r>
        <w:rPr>
          <w:sz w:val="20"/>
          <w:szCs w:val="20"/>
          <w:color w:val="auto"/>
        </w:rPr>
        <w:tab/>
      </w:r>
      <w:r>
        <w:rPr>
          <w:rFonts w:ascii="Arial" w:cs="Arial" w:eastAsia="Arial" w:hAnsi="Arial"/>
          <w:sz w:val="11"/>
          <w:szCs w:val="11"/>
          <w:b w:val="1"/>
          <w:bCs w:val="1"/>
          <w:color w:val="auto"/>
        </w:rPr>
        <w:t>No merger</w:t>
      </w:r>
    </w:p>
    <w:p>
      <w:pPr>
        <w:spacing w:after="0" w:line="47" w:lineRule="exact"/>
        <w:rPr>
          <w:sz w:val="20"/>
          <w:szCs w:val="20"/>
          <w:color w:val="auto"/>
        </w:rPr>
      </w:pPr>
    </w:p>
    <w:p>
      <w:pPr>
        <w:ind w:left="1080" w:hanging="280"/>
        <w:spacing w:after="0"/>
        <w:tabs>
          <w:tab w:leader="none" w:pos="1080" w:val="left"/>
        </w:tabs>
        <w:numPr>
          <w:ilvl w:val="0"/>
          <w:numId w:val="214"/>
        </w:numPr>
        <w:rPr>
          <w:rFonts w:ascii="Arial" w:cs="Arial" w:eastAsia="Arial" w:hAnsi="Arial"/>
          <w:sz w:val="11"/>
          <w:szCs w:val="11"/>
          <w:color w:val="auto"/>
        </w:rPr>
      </w:pPr>
      <w:r>
        <w:rPr>
          <w:rFonts w:ascii="Arial" w:cs="Arial" w:eastAsia="Arial" w:hAnsi="Arial"/>
          <w:sz w:val="11"/>
          <w:szCs w:val="11"/>
          <w:color w:val="auto"/>
        </w:rPr>
        <w:t>This Guarantee does not merge with or adversely affect, and is not adversely affected by, any of the following:</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214"/>
        </w:numPr>
        <w:rPr>
          <w:rFonts w:ascii="Arial" w:cs="Arial" w:eastAsia="Arial" w:hAnsi="Arial"/>
          <w:sz w:val="11"/>
          <w:szCs w:val="11"/>
          <w:color w:val="auto"/>
        </w:rPr>
      </w:pPr>
      <w:r>
        <w:rPr>
          <w:rFonts w:ascii="Arial" w:cs="Arial" w:eastAsia="Arial" w:hAnsi="Arial"/>
          <w:sz w:val="11"/>
          <w:szCs w:val="11"/>
          <w:color w:val="auto"/>
        </w:rPr>
        <w:t>any other guarantee, indemnity, or Security Interest, or other right or remedy to which the Bank is entitled; or</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214"/>
        </w:numPr>
        <w:rPr>
          <w:rFonts w:ascii="Arial" w:cs="Arial" w:eastAsia="Arial" w:hAnsi="Arial"/>
          <w:sz w:val="11"/>
          <w:szCs w:val="11"/>
          <w:color w:val="auto"/>
        </w:rPr>
      </w:pPr>
      <w:r>
        <w:rPr>
          <w:rFonts w:ascii="Arial" w:cs="Arial" w:eastAsia="Arial" w:hAnsi="Arial"/>
          <w:sz w:val="11"/>
          <w:szCs w:val="11"/>
          <w:color w:val="auto"/>
        </w:rPr>
        <w:t>a judgment which the Bank obtains against the Guarantors in connection with the Guaranteed Money or any other amount payable under this Guarantee.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65</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33" w:name="page134"/>
    <w:bookmarkEnd w:id="133"/>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80" w:hanging="280"/>
        <w:spacing w:after="0"/>
        <w:tabs>
          <w:tab w:leader="none" w:pos="1080" w:val="left"/>
        </w:tabs>
        <w:numPr>
          <w:ilvl w:val="0"/>
          <w:numId w:val="215"/>
        </w:numPr>
        <w:rPr>
          <w:rFonts w:ascii="Arial" w:cs="Arial" w:eastAsia="Arial" w:hAnsi="Arial"/>
          <w:sz w:val="11"/>
          <w:szCs w:val="11"/>
          <w:color w:val="auto"/>
        </w:rPr>
      </w:pPr>
      <w:r>
        <w:rPr>
          <w:rFonts w:ascii="Arial" w:cs="Arial" w:eastAsia="Arial" w:hAnsi="Arial"/>
          <w:sz w:val="11"/>
          <w:szCs w:val="11"/>
          <w:color w:val="auto"/>
        </w:rPr>
        <w:t>The Bank may still exercise rights under this Guarantee as well as under the judgment, other guarantee, indemnity, Security Interest, or other right or remedy.</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16.7</w:t>
      </w:r>
      <w:r>
        <w:rPr>
          <w:sz w:val="20"/>
          <w:szCs w:val="20"/>
          <w:color w:val="auto"/>
        </w:rPr>
        <w:tab/>
      </w:r>
      <w:r>
        <w:rPr>
          <w:rFonts w:ascii="Arial" w:cs="Arial" w:eastAsia="Arial" w:hAnsi="Arial"/>
          <w:sz w:val="11"/>
          <w:szCs w:val="11"/>
          <w:b w:val="1"/>
          <w:bCs w:val="1"/>
          <w:color w:val="auto"/>
        </w:rPr>
        <w:t>Extent of Guarantor’s obligations</w:t>
      </w:r>
    </w:p>
    <w:p>
      <w:pPr>
        <w:spacing w:after="0" w:line="47" w:lineRule="exact"/>
        <w:rPr>
          <w:sz w:val="20"/>
          <w:szCs w:val="20"/>
          <w:color w:val="auto"/>
        </w:rPr>
      </w:pPr>
    </w:p>
    <w:p>
      <w:pPr>
        <w:ind w:left="840" w:right="140"/>
        <w:spacing w:after="0" w:line="256" w:lineRule="auto"/>
        <w:rPr>
          <w:sz w:val="20"/>
          <w:szCs w:val="20"/>
          <w:color w:val="auto"/>
        </w:rPr>
      </w:pPr>
      <w:r>
        <w:rPr>
          <w:rFonts w:ascii="Arial" w:cs="Arial" w:eastAsia="Arial" w:hAnsi="Arial"/>
          <w:sz w:val="11"/>
          <w:szCs w:val="11"/>
          <w:color w:val="auto"/>
        </w:rPr>
        <w:t>If more than one person is named as “Guarantor”, each of them is liable for all the obligations under this Guarantee both individually and jointly with any one or more other persons named as “Guarantor”.</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16.8</w:t>
      </w:r>
      <w:r>
        <w:rPr>
          <w:sz w:val="20"/>
          <w:szCs w:val="20"/>
          <w:color w:val="auto"/>
        </w:rPr>
        <w:tab/>
      </w:r>
      <w:r>
        <w:rPr>
          <w:rFonts w:ascii="Arial" w:cs="Arial" w:eastAsia="Arial" w:hAnsi="Arial"/>
          <w:sz w:val="11"/>
          <w:szCs w:val="11"/>
          <w:b w:val="1"/>
          <w:bCs w:val="1"/>
          <w:color w:val="auto"/>
        </w:rPr>
        <w:t>Guarantor’s rights are suspended</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As long as any of the Guaranteed Money remains unpaid, the Guarantor may not, without the Bank’s consent:</w:t>
      </w:r>
    </w:p>
    <w:p>
      <w:pPr>
        <w:spacing w:after="0" w:line="46" w:lineRule="exact"/>
        <w:rPr>
          <w:sz w:val="20"/>
          <w:szCs w:val="20"/>
          <w:color w:val="auto"/>
        </w:rPr>
      </w:pPr>
    </w:p>
    <w:p>
      <w:pPr>
        <w:ind w:left="1080" w:hanging="280"/>
        <w:spacing w:after="0"/>
        <w:tabs>
          <w:tab w:leader="none" w:pos="1080" w:val="left"/>
        </w:tabs>
        <w:numPr>
          <w:ilvl w:val="0"/>
          <w:numId w:val="216"/>
        </w:numPr>
        <w:rPr>
          <w:rFonts w:ascii="Arial" w:cs="Arial" w:eastAsia="Arial" w:hAnsi="Arial"/>
          <w:sz w:val="11"/>
          <w:szCs w:val="11"/>
          <w:color w:val="auto"/>
        </w:rPr>
      </w:pPr>
      <w:r>
        <w:rPr>
          <w:rFonts w:ascii="Arial" w:cs="Arial" w:eastAsia="Arial" w:hAnsi="Arial"/>
          <w:sz w:val="11"/>
          <w:szCs w:val="11"/>
          <w:color w:val="auto"/>
        </w:rPr>
        <w:t>reduce its liability under this Guarantee by claiming that it or any other Transaction Party or any other person has a right of set-off or counterclaim against the Bank;</w:t>
      </w:r>
    </w:p>
    <w:p>
      <w:pPr>
        <w:spacing w:after="0" w:line="46" w:lineRule="exact"/>
        <w:rPr>
          <w:rFonts w:ascii="Arial" w:cs="Arial" w:eastAsia="Arial" w:hAnsi="Arial"/>
          <w:sz w:val="11"/>
          <w:szCs w:val="11"/>
          <w:color w:val="auto"/>
        </w:rPr>
      </w:pPr>
    </w:p>
    <w:p>
      <w:pPr>
        <w:ind w:left="1080" w:right="480" w:hanging="280"/>
        <w:spacing w:after="0" w:line="256" w:lineRule="auto"/>
        <w:tabs>
          <w:tab w:leader="none" w:pos="1080" w:val="left"/>
        </w:tabs>
        <w:numPr>
          <w:ilvl w:val="0"/>
          <w:numId w:val="216"/>
        </w:numPr>
        <w:rPr>
          <w:rFonts w:ascii="Arial" w:cs="Arial" w:eastAsia="Arial" w:hAnsi="Arial"/>
          <w:sz w:val="11"/>
          <w:szCs w:val="11"/>
          <w:color w:val="auto"/>
        </w:rPr>
      </w:pPr>
      <w:r>
        <w:rPr>
          <w:rFonts w:ascii="Arial" w:cs="Arial" w:eastAsia="Arial" w:hAnsi="Arial"/>
          <w:sz w:val="11"/>
          <w:szCs w:val="11"/>
          <w:color w:val="auto"/>
        </w:rPr>
        <w:t>exercise any legal right to claim to be entitled to the benefit of another guarantee, indemnity, or Security Interest given in connection with the Guaranteed Money or any other amount payable under this Guarantee;</w:t>
      </w:r>
    </w:p>
    <w:p>
      <w:pPr>
        <w:spacing w:after="0" w:line="22" w:lineRule="exact"/>
        <w:rPr>
          <w:rFonts w:ascii="Arial" w:cs="Arial" w:eastAsia="Arial" w:hAnsi="Arial"/>
          <w:sz w:val="11"/>
          <w:szCs w:val="11"/>
          <w:color w:val="auto"/>
        </w:rPr>
      </w:pPr>
    </w:p>
    <w:p>
      <w:pPr>
        <w:ind w:left="1080" w:right="880" w:hanging="280"/>
        <w:spacing w:after="0" w:line="256" w:lineRule="auto"/>
        <w:tabs>
          <w:tab w:leader="none" w:pos="1080" w:val="left"/>
        </w:tabs>
        <w:numPr>
          <w:ilvl w:val="0"/>
          <w:numId w:val="216"/>
        </w:numPr>
        <w:rPr>
          <w:rFonts w:ascii="Arial" w:cs="Arial" w:eastAsia="Arial" w:hAnsi="Arial"/>
          <w:sz w:val="11"/>
          <w:szCs w:val="11"/>
          <w:color w:val="auto"/>
        </w:rPr>
      </w:pPr>
      <w:r>
        <w:rPr>
          <w:rFonts w:ascii="Arial" w:cs="Arial" w:eastAsia="Arial" w:hAnsi="Arial"/>
          <w:sz w:val="11"/>
          <w:szCs w:val="11"/>
          <w:color w:val="auto"/>
        </w:rPr>
        <w:t>claim an amount from another Transaction Party, or another guarantor of the Guaranteed Money (including a person who has signed this document as a “Guarantor”), under a right of indemnity in respect of this guarantee; or</w:t>
      </w:r>
    </w:p>
    <w:p>
      <w:pPr>
        <w:spacing w:after="0" w:line="22" w:lineRule="exact"/>
        <w:rPr>
          <w:rFonts w:ascii="Arial" w:cs="Arial" w:eastAsia="Arial" w:hAnsi="Arial"/>
          <w:sz w:val="11"/>
          <w:szCs w:val="11"/>
          <w:color w:val="auto"/>
        </w:rPr>
      </w:pPr>
    </w:p>
    <w:p>
      <w:pPr>
        <w:ind w:left="1080" w:right="380" w:hanging="280"/>
        <w:spacing w:after="0" w:line="256" w:lineRule="auto"/>
        <w:tabs>
          <w:tab w:leader="none" w:pos="1080" w:val="left"/>
        </w:tabs>
        <w:numPr>
          <w:ilvl w:val="0"/>
          <w:numId w:val="216"/>
        </w:numPr>
        <w:rPr>
          <w:rFonts w:ascii="Arial" w:cs="Arial" w:eastAsia="Arial" w:hAnsi="Arial"/>
          <w:sz w:val="11"/>
          <w:szCs w:val="11"/>
          <w:color w:val="auto"/>
        </w:rPr>
      </w:pPr>
      <w:r>
        <w:rPr>
          <w:rFonts w:ascii="Arial" w:cs="Arial" w:eastAsia="Arial" w:hAnsi="Arial"/>
          <w:sz w:val="11"/>
          <w:szCs w:val="11"/>
          <w:color w:val="auto"/>
        </w:rPr>
        <w:t>claim an amount in the insolvency of a Transaction Party or of another guarantor of the Guaranteed Money (including a person who has signed this document as a “Guarantor”).</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16.9</w:t>
      </w:r>
      <w:r>
        <w:rPr>
          <w:sz w:val="20"/>
          <w:szCs w:val="20"/>
          <w:color w:val="auto"/>
        </w:rPr>
        <w:tab/>
      </w:r>
      <w:r>
        <w:rPr>
          <w:rFonts w:ascii="Arial" w:cs="Arial" w:eastAsia="Arial" w:hAnsi="Arial"/>
          <w:sz w:val="11"/>
          <w:szCs w:val="11"/>
          <w:b w:val="1"/>
          <w:bCs w:val="1"/>
          <w:color w:val="auto"/>
        </w:rPr>
        <w:t>Guarantor’s right of proof limited</w:t>
      </w:r>
    </w:p>
    <w:p>
      <w:pPr>
        <w:spacing w:after="0" w:line="47" w:lineRule="exact"/>
        <w:rPr>
          <w:sz w:val="20"/>
          <w:szCs w:val="20"/>
          <w:color w:val="auto"/>
        </w:rPr>
      </w:pPr>
    </w:p>
    <w:p>
      <w:pPr>
        <w:ind w:left="840" w:right="180"/>
        <w:spacing w:after="0" w:line="275" w:lineRule="auto"/>
        <w:rPr>
          <w:sz w:val="20"/>
          <w:szCs w:val="20"/>
          <w:color w:val="auto"/>
        </w:rPr>
      </w:pPr>
      <w:r>
        <w:rPr>
          <w:rFonts w:ascii="Arial" w:cs="Arial" w:eastAsia="Arial" w:hAnsi="Arial"/>
          <w:sz w:val="11"/>
          <w:szCs w:val="11"/>
          <w:color w:val="auto"/>
        </w:rPr>
        <w:t xml:space="preserve">Each Guarantor agrees not to exercise a right of proof after an event occurs relating to the insolvency of a Transaction Party or another guarantor of the Guaranteed Money (including a person who has signed this document as a “Guarantor”) independently of an attorney appointed under </w:t>
      </w:r>
      <w:r>
        <w:rPr>
          <w:rFonts w:ascii="Arial" w:cs="Arial" w:eastAsia="Arial" w:hAnsi="Arial"/>
          <w:sz w:val="11"/>
          <w:szCs w:val="11"/>
          <w:b w:val="1"/>
          <w:bCs w:val="1"/>
          <w:color w:val="auto"/>
        </w:rPr>
        <w:t>clause 16.12</w:t>
      </w:r>
      <w:r>
        <w:rPr>
          <w:rFonts w:ascii="Arial" w:cs="Arial" w:eastAsia="Arial" w:hAnsi="Arial"/>
          <w:sz w:val="11"/>
          <w:szCs w:val="11"/>
          <w:color w:val="auto"/>
        </w:rPr>
        <w:t>.</w:t>
      </w:r>
    </w:p>
    <w:p>
      <w:pPr>
        <w:spacing w:after="0" w:line="3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16.10</w:t>
      </w:r>
      <w:r>
        <w:rPr>
          <w:sz w:val="20"/>
          <w:szCs w:val="20"/>
          <w:color w:val="auto"/>
        </w:rPr>
        <w:tab/>
      </w:r>
      <w:r>
        <w:rPr>
          <w:rFonts w:ascii="Arial" w:cs="Arial" w:eastAsia="Arial" w:hAnsi="Arial"/>
          <w:sz w:val="11"/>
          <w:szCs w:val="11"/>
          <w:b w:val="1"/>
          <w:bCs w:val="1"/>
          <w:color w:val="auto"/>
        </w:rPr>
        <w:t>No set-off against assignees</w:t>
      </w:r>
    </w:p>
    <w:p>
      <w:pPr>
        <w:spacing w:after="0" w:line="47" w:lineRule="exact"/>
        <w:rPr>
          <w:sz w:val="20"/>
          <w:szCs w:val="20"/>
          <w:color w:val="auto"/>
        </w:rPr>
      </w:pPr>
    </w:p>
    <w:p>
      <w:pPr>
        <w:ind w:left="840" w:right="240"/>
        <w:spacing w:after="0" w:line="256" w:lineRule="auto"/>
        <w:rPr>
          <w:sz w:val="20"/>
          <w:szCs w:val="20"/>
          <w:color w:val="auto"/>
        </w:rPr>
      </w:pPr>
      <w:r>
        <w:rPr>
          <w:rFonts w:ascii="Arial" w:cs="Arial" w:eastAsia="Arial" w:hAnsi="Arial"/>
          <w:sz w:val="11"/>
          <w:szCs w:val="11"/>
          <w:color w:val="auto"/>
        </w:rPr>
        <w:t>If the Bank assigns or otherwise deals with its rights under this Guarantee, the Guarantors may not claim against any assignee (or any other person who has an interest in this Guarantee) any right of set-off or other right the Guarantors have against the Bank.</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16.11</w:t>
      </w:r>
      <w:r>
        <w:rPr>
          <w:sz w:val="20"/>
          <w:szCs w:val="20"/>
          <w:color w:val="auto"/>
        </w:rPr>
        <w:tab/>
      </w:r>
      <w:r>
        <w:rPr>
          <w:rFonts w:ascii="Arial" w:cs="Arial" w:eastAsia="Arial" w:hAnsi="Arial"/>
          <w:sz w:val="11"/>
          <w:szCs w:val="11"/>
          <w:b w:val="1"/>
          <w:bCs w:val="1"/>
          <w:color w:val="auto"/>
        </w:rPr>
        <w:t>Suspense account</w:t>
      </w:r>
    </w:p>
    <w:p>
      <w:pPr>
        <w:spacing w:after="0" w:line="47" w:lineRule="exact"/>
        <w:rPr>
          <w:sz w:val="20"/>
          <w:szCs w:val="20"/>
          <w:color w:val="auto"/>
        </w:rPr>
      </w:pPr>
    </w:p>
    <w:p>
      <w:pPr>
        <w:ind w:left="840" w:right="580"/>
        <w:spacing w:after="0" w:line="242" w:lineRule="auto"/>
        <w:rPr>
          <w:sz w:val="20"/>
          <w:szCs w:val="20"/>
          <w:color w:val="auto"/>
        </w:rPr>
      </w:pPr>
      <w:r>
        <w:rPr>
          <w:rFonts w:ascii="Arial" w:cs="Arial" w:eastAsia="Arial" w:hAnsi="Arial"/>
          <w:sz w:val="11"/>
          <w:szCs w:val="11"/>
          <w:color w:val="auto"/>
        </w:rPr>
        <w:t>The Bank may place in a suspense account any payment it receives from the Guarantors if there is currently an Insolvency Event, or an Insolvency Event is likely to occur, in relation to any Transaction Party, but must apply it towards satisfying the Guaranteed Money within six months unless the winding up of the relevant Guarantor has commenced.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66</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34" w:name="page135"/>
    <w:bookmarkEnd w:id="134"/>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9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16.12</w:t>
        <w:tab/>
        <w:t>Right to prove</w:t>
      </w:r>
    </w:p>
    <w:p>
      <w:pPr>
        <w:spacing w:after="0" w:line="47" w:lineRule="exact"/>
        <w:rPr>
          <w:sz w:val="20"/>
          <w:szCs w:val="20"/>
          <w:color w:val="auto"/>
        </w:rPr>
      </w:pPr>
    </w:p>
    <w:p>
      <w:pPr>
        <w:ind w:left="1080" w:right="360" w:hanging="280"/>
        <w:spacing w:after="0" w:line="275" w:lineRule="auto"/>
        <w:tabs>
          <w:tab w:leader="none" w:pos="1080" w:val="left"/>
        </w:tabs>
        <w:numPr>
          <w:ilvl w:val="0"/>
          <w:numId w:val="217"/>
        </w:numPr>
        <w:rPr>
          <w:rFonts w:ascii="Arial" w:cs="Arial" w:eastAsia="Arial" w:hAnsi="Arial"/>
          <w:sz w:val="11"/>
          <w:szCs w:val="11"/>
          <w:color w:val="auto"/>
        </w:rPr>
      </w:pPr>
      <w:r>
        <w:rPr>
          <w:rFonts w:ascii="Arial" w:cs="Arial" w:eastAsia="Arial" w:hAnsi="Arial"/>
          <w:sz w:val="11"/>
          <w:szCs w:val="11"/>
          <w:color w:val="auto"/>
        </w:rPr>
        <w:t xml:space="preserve">The Guarantor irrevocably appoints the Bank and each of its Authorised Representatives individually as its attorney and agrees to formally approve all action taken by an attorney under this </w:t>
      </w:r>
      <w:r>
        <w:rPr>
          <w:rFonts w:ascii="Arial" w:cs="Arial" w:eastAsia="Arial" w:hAnsi="Arial"/>
          <w:sz w:val="11"/>
          <w:szCs w:val="11"/>
          <w:b w:val="1"/>
          <w:bCs w:val="1"/>
          <w:color w:val="auto"/>
        </w:rPr>
        <w:t>clause 16</w:t>
      </w:r>
      <w:r>
        <w:rPr>
          <w:rFonts w:ascii="Arial" w:cs="Arial" w:eastAsia="Arial" w:hAnsi="Arial"/>
          <w:sz w:val="11"/>
          <w:szCs w:val="11"/>
          <w:color w:val="auto"/>
        </w:rPr>
        <w:t>.</w:t>
      </w:r>
    </w:p>
    <w:p>
      <w:pPr>
        <w:spacing w:after="0" w:line="2" w:lineRule="exact"/>
        <w:rPr>
          <w:rFonts w:ascii="Arial" w:cs="Arial" w:eastAsia="Arial" w:hAnsi="Arial"/>
          <w:sz w:val="11"/>
          <w:szCs w:val="11"/>
          <w:color w:val="auto"/>
        </w:rPr>
      </w:pPr>
    </w:p>
    <w:p>
      <w:pPr>
        <w:ind w:left="1080" w:hanging="280"/>
        <w:spacing w:after="0"/>
        <w:tabs>
          <w:tab w:leader="none" w:pos="1080" w:val="left"/>
        </w:tabs>
        <w:numPr>
          <w:ilvl w:val="0"/>
          <w:numId w:val="217"/>
        </w:numPr>
        <w:rPr>
          <w:rFonts w:ascii="Arial" w:cs="Arial" w:eastAsia="Arial" w:hAnsi="Arial"/>
          <w:sz w:val="11"/>
          <w:szCs w:val="11"/>
          <w:color w:val="auto"/>
        </w:rPr>
      </w:pPr>
      <w:r>
        <w:rPr>
          <w:rFonts w:ascii="Arial" w:cs="Arial" w:eastAsia="Arial" w:hAnsi="Arial"/>
          <w:sz w:val="11"/>
          <w:szCs w:val="11"/>
          <w:color w:val="auto"/>
        </w:rPr>
        <w:t>Each attorney may, at any time while any Guaranteed Money is outstanding:</w:t>
      </w:r>
    </w:p>
    <w:p>
      <w:pPr>
        <w:spacing w:after="0" w:line="46" w:lineRule="exact"/>
        <w:rPr>
          <w:rFonts w:ascii="Arial" w:cs="Arial" w:eastAsia="Arial" w:hAnsi="Arial"/>
          <w:sz w:val="11"/>
          <w:szCs w:val="11"/>
          <w:color w:val="auto"/>
        </w:rPr>
      </w:pPr>
    </w:p>
    <w:p>
      <w:pPr>
        <w:ind w:left="1400" w:right="700" w:hanging="285"/>
        <w:spacing w:after="0" w:line="242" w:lineRule="auto"/>
        <w:tabs>
          <w:tab w:leader="none" w:pos="1400" w:val="left"/>
        </w:tabs>
        <w:numPr>
          <w:ilvl w:val="1"/>
          <w:numId w:val="217"/>
        </w:numPr>
        <w:rPr>
          <w:rFonts w:ascii="Arial" w:cs="Arial" w:eastAsia="Arial" w:hAnsi="Arial"/>
          <w:sz w:val="11"/>
          <w:szCs w:val="11"/>
          <w:color w:val="auto"/>
        </w:rPr>
      </w:pPr>
      <w:r>
        <w:rPr>
          <w:rFonts w:ascii="Arial" w:cs="Arial" w:eastAsia="Arial" w:hAnsi="Arial"/>
          <w:sz w:val="11"/>
          <w:szCs w:val="11"/>
          <w:color w:val="auto"/>
        </w:rPr>
        <w:t>do anything which a Guarantor may lawfully do to exercise their right of proof in respect of a Transaction Party after an Insolvency Event occurs in respect of such Transaction Party. These things may be done in the Guarantor’s name or the attorney’s name and they include signing and delivering documents, taking part in legal proceedings and receiving any dividends arising out of the right of proof;</w:t>
      </w:r>
    </w:p>
    <w:p>
      <w:pPr>
        <w:spacing w:after="0" w:line="29" w:lineRule="exact"/>
        <w:rPr>
          <w:rFonts w:ascii="Arial" w:cs="Arial" w:eastAsia="Arial" w:hAnsi="Arial"/>
          <w:sz w:val="11"/>
          <w:szCs w:val="11"/>
          <w:color w:val="auto"/>
        </w:rPr>
      </w:pPr>
    </w:p>
    <w:p>
      <w:pPr>
        <w:ind w:left="1400" w:hanging="285"/>
        <w:spacing w:after="0"/>
        <w:tabs>
          <w:tab w:leader="none" w:pos="1400" w:val="left"/>
        </w:tabs>
        <w:numPr>
          <w:ilvl w:val="1"/>
          <w:numId w:val="217"/>
        </w:numPr>
        <w:rPr>
          <w:rFonts w:ascii="Arial" w:cs="Arial" w:eastAsia="Arial" w:hAnsi="Arial"/>
          <w:sz w:val="11"/>
          <w:szCs w:val="11"/>
          <w:color w:val="auto"/>
        </w:rPr>
      </w:pPr>
      <w:r>
        <w:rPr>
          <w:rFonts w:ascii="Arial" w:cs="Arial" w:eastAsia="Arial" w:hAnsi="Arial"/>
          <w:sz w:val="11"/>
          <w:szCs w:val="11"/>
          <w:color w:val="auto"/>
        </w:rPr>
        <w:t>delegates its powers (including this power) and may revoke a delegation; and</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217"/>
        </w:numPr>
        <w:rPr>
          <w:rFonts w:ascii="Arial" w:cs="Arial" w:eastAsia="Arial" w:hAnsi="Arial"/>
          <w:sz w:val="11"/>
          <w:szCs w:val="11"/>
          <w:color w:val="auto"/>
        </w:rPr>
      </w:pPr>
      <w:r>
        <w:rPr>
          <w:rFonts w:ascii="Arial" w:cs="Arial" w:eastAsia="Arial" w:hAnsi="Arial"/>
          <w:sz w:val="11"/>
          <w:szCs w:val="11"/>
          <w:color w:val="auto"/>
        </w:rPr>
        <w:t>exercise its powers even if this involves a conflict of duty and even if it has a personal interest in doing so.</w:t>
      </w:r>
    </w:p>
    <w:p>
      <w:pPr>
        <w:spacing w:after="0" w:line="40" w:lineRule="exact"/>
        <w:rPr>
          <w:rFonts w:ascii="Arial" w:cs="Arial" w:eastAsia="Arial" w:hAnsi="Arial"/>
          <w:sz w:val="11"/>
          <w:szCs w:val="11"/>
          <w:color w:val="auto"/>
        </w:rPr>
      </w:pPr>
    </w:p>
    <w:p>
      <w:pPr>
        <w:ind w:left="1080" w:right="780" w:hanging="280"/>
        <w:spacing w:after="0" w:line="268" w:lineRule="auto"/>
        <w:tabs>
          <w:tab w:leader="none" w:pos="1080" w:val="left"/>
        </w:tabs>
        <w:numPr>
          <w:ilvl w:val="0"/>
          <w:numId w:val="217"/>
        </w:numPr>
        <w:rPr>
          <w:rFonts w:ascii="Arial" w:cs="Arial" w:eastAsia="Arial" w:hAnsi="Arial"/>
          <w:sz w:val="11"/>
          <w:szCs w:val="11"/>
          <w:color w:val="auto"/>
        </w:rPr>
      </w:pPr>
      <w:r>
        <w:rPr>
          <w:rFonts w:ascii="Arial" w:cs="Arial" w:eastAsia="Arial" w:hAnsi="Arial"/>
          <w:sz w:val="11"/>
          <w:szCs w:val="11"/>
          <w:color w:val="auto"/>
        </w:rPr>
        <w:t xml:space="preserve">The attorney need not account to a Guarantor for any dividend received on exercising the right of proof under </w:t>
      </w:r>
      <w:r>
        <w:rPr>
          <w:rFonts w:ascii="Arial" w:cs="Arial" w:eastAsia="Arial" w:hAnsi="Arial"/>
          <w:sz w:val="11"/>
          <w:szCs w:val="11"/>
          <w:b w:val="1"/>
          <w:bCs w:val="1"/>
          <w:color w:val="auto"/>
        </w:rPr>
        <w:t>clause 16.12(i)</w:t>
      </w:r>
      <w:r>
        <w:rPr>
          <w:rFonts w:ascii="Arial" w:cs="Arial" w:eastAsia="Arial" w:hAnsi="Arial"/>
          <w:sz w:val="11"/>
          <w:szCs w:val="11"/>
          <w:color w:val="auto"/>
        </w:rPr>
        <w:t xml:space="preserve"> except to the extent that any dividend remains after the Bank has received all of the Guaranteed Money and all other amounts payable under the Guarantee.</w:t>
      </w:r>
    </w:p>
    <w:p>
      <w:pPr>
        <w:spacing w:after="0" w:line="4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16.13</w:t>
      </w:r>
      <w:r>
        <w:rPr>
          <w:sz w:val="20"/>
          <w:szCs w:val="20"/>
          <w:color w:val="auto"/>
        </w:rPr>
        <w:tab/>
      </w:r>
      <w:r>
        <w:rPr>
          <w:rFonts w:ascii="Arial" w:cs="Arial" w:eastAsia="Arial" w:hAnsi="Arial"/>
          <w:sz w:val="11"/>
          <w:szCs w:val="11"/>
          <w:b w:val="1"/>
          <w:bCs w:val="1"/>
          <w:color w:val="auto"/>
        </w:rPr>
        <w:t>Release of Guarantors</w:t>
      </w:r>
    </w:p>
    <w:p>
      <w:pPr>
        <w:spacing w:after="0" w:line="41" w:lineRule="exact"/>
        <w:rPr>
          <w:sz w:val="20"/>
          <w:szCs w:val="20"/>
          <w:color w:val="auto"/>
        </w:rPr>
      </w:pPr>
    </w:p>
    <w:p>
      <w:pPr>
        <w:ind w:left="1080" w:hanging="280"/>
        <w:spacing w:after="0"/>
        <w:tabs>
          <w:tab w:leader="none" w:pos="1080" w:val="left"/>
        </w:tabs>
        <w:numPr>
          <w:ilvl w:val="0"/>
          <w:numId w:val="218"/>
        </w:numPr>
        <w:rPr>
          <w:rFonts w:ascii="Arial" w:cs="Arial" w:eastAsia="Arial" w:hAnsi="Arial"/>
          <w:sz w:val="11"/>
          <w:szCs w:val="11"/>
          <w:color w:val="auto"/>
        </w:rPr>
      </w:pPr>
      <w:r>
        <w:rPr>
          <w:rFonts w:ascii="Arial" w:cs="Arial" w:eastAsia="Arial" w:hAnsi="Arial"/>
          <w:sz w:val="11"/>
          <w:szCs w:val="11"/>
          <w:color w:val="auto"/>
        </w:rPr>
        <w:t xml:space="preserve">The Bank must, at the Borrower’s cost, execute any release documentation in respect of the Bank’s rights under </w:t>
      </w:r>
      <w:r>
        <w:rPr>
          <w:rFonts w:ascii="Arial" w:cs="Arial" w:eastAsia="Arial" w:hAnsi="Arial"/>
          <w:sz w:val="11"/>
          <w:szCs w:val="11"/>
          <w:b w:val="1"/>
          <w:bCs w:val="1"/>
          <w:color w:val="auto"/>
        </w:rPr>
        <w:t>clause 16</w:t>
      </w:r>
      <w:r>
        <w:rPr>
          <w:rFonts w:ascii="Arial" w:cs="Arial" w:eastAsia="Arial" w:hAnsi="Arial"/>
          <w:sz w:val="11"/>
          <w:szCs w:val="11"/>
          <w:color w:val="auto"/>
        </w:rPr>
        <w:t>.</w:t>
      </w:r>
    </w:p>
    <w:p>
      <w:pPr>
        <w:spacing w:after="0" w:line="52" w:lineRule="exact"/>
        <w:rPr>
          <w:rFonts w:ascii="Arial" w:cs="Arial" w:eastAsia="Arial" w:hAnsi="Arial"/>
          <w:sz w:val="11"/>
          <w:szCs w:val="11"/>
          <w:color w:val="auto"/>
        </w:rPr>
      </w:pPr>
    </w:p>
    <w:p>
      <w:pPr>
        <w:ind w:left="1080" w:right="720" w:hanging="280"/>
        <w:spacing w:after="0" w:line="256" w:lineRule="auto"/>
        <w:tabs>
          <w:tab w:leader="none" w:pos="1080" w:val="left"/>
        </w:tabs>
        <w:numPr>
          <w:ilvl w:val="0"/>
          <w:numId w:val="218"/>
        </w:numPr>
        <w:rPr>
          <w:rFonts w:ascii="Arial" w:cs="Arial" w:eastAsia="Arial" w:hAnsi="Arial"/>
          <w:sz w:val="11"/>
          <w:szCs w:val="11"/>
          <w:color w:val="auto"/>
        </w:rPr>
      </w:pPr>
      <w:r>
        <w:rPr>
          <w:rFonts w:ascii="Arial" w:cs="Arial" w:eastAsia="Arial" w:hAnsi="Arial"/>
          <w:sz w:val="11"/>
          <w:szCs w:val="11"/>
          <w:color w:val="auto"/>
        </w:rPr>
        <w:t>As between the Transaction Parties and the Bank, the Bank is not obliged to consent to a release unless required to do by the terms of another Transaction Document.</w:t>
      </w:r>
    </w:p>
    <w:p>
      <w:pPr>
        <w:spacing w:after="0" w:line="16" w:lineRule="exact"/>
        <w:rPr>
          <w:rFonts w:ascii="Arial" w:cs="Arial" w:eastAsia="Arial" w:hAnsi="Arial"/>
          <w:sz w:val="11"/>
          <w:szCs w:val="11"/>
          <w:color w:val="auto"/>
        </w:rPr>
      </w:pPr>
    </w:p>
    <w:p>
      <w:pPr>
        <w:ind w:left="1080" w:right="940" w:hanging="280"/>
        <w:spacing w:after="0" w:line="287" w:lineRule="auto"/>
        <w:tabs>
          <w:tab w:leader="none" w:pos="1080" w:val="left"/>
        </w:tabs>
        <w:numPr>
          <w:ilvl w:val="0"/>
          <w:numId w:val="218"/>
        </w:numPr>
        <w:rPr>
          <w:rFonts w:ascii="Arial" w:cs="Arial" w:eastAsia="Arial" w:hAnsi="Arial"/>
          <w:sz w:val="11"/>
          <w:szCs w:val="11"/>
          <w:color w:val="auto"/>
        </w:rPr>
      </w:pPr>
      <w:r>
        <w:rPr>
          <w:rFonts w:ascii="Arial" w:cs="Arial" w:eastAsia="Arial" w:hAnsi="Arial"/>
          <w:sz w:val="11"/>
          <w:szCs w:val="11"/>
          <w:color w:val="auto"/>
        </w:rPr>
        <w:t xml:space="preserve">The rights and obligations of the remaining Guarantors under the Guarantee in </w:t>
      </w:r>
      <w:r>
        <w:rPr>
          <w:rFonts w:ascii="Arial" w:cs="Arial" w:eastAsia="Arial" w:hAnsi="Arial"/>
          <w:sz w:val="11"/>
          <w:szCs w:val="11"/>
          <w:b w:val="1"/>
          <w:bCs w:val="1"/>
          <w:color w:val="auto"/>
        </w:rPr>
        <w:t>clause 16.1</w:t>
      </w:r>
      <w:r>
        <w:rPr>
          <w:rFonts w:ascii="Arial" w:cs="Arial" w:eastAsia="Arial" w:hAnsi="Arial"/>
          <w:sz w:val="11"/>
          <w:szCs w:val="11"/>
          <w:color w:val="auto"/>
        </w:rPr>
        <w:t xml:space="preserve"> will continue in full force and effect despite the release of a Guarantor under this </w:t>
      </w:r>
      <w:r>
        <w:rPr>
          <w:rFonts w:ascii="Arial" w:cs="Arial" w:eastAsia="Arial" w:hAnsi="Arial"/>
          <w:sz w:val="11"/>
          <w:szCs w:val="11"/>
          <w:b w:val="1"/>
          <w:bCs w:val="1"/>
          <w:color w:val="auto"/>
        </w:rPr>
        <w:t>clause 16.13</w:t>
      </w:r>
      <w:r>
        <w:rPr>
          <w:rFonts w:ascii="Arial" w:cs="Arial" w:eastAsia="Arial" w:hAnsi="Arial"/>
          <w:sz w:val="11"/>
          <w:szCs w:val="11"/>
          <w:color w:val="auto"/>
        </w:rPr>
        <w:t>.</w:t>
      </w:r>
    </w:p>
    <w:p>
      <w:pPr>
        <w:spacing w:after="0" w:line="2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16.14</w:t>
        <w:tab/>
        <w:t>New Guarantors</w:t>
      </w:r>
    </w:p>
    <w:p>
      <w:pPr>
        <w:spacing w:after="0" w:line="47" w:lineRule="exact"/>
        <w:rPr>
          <w:sz w:val="20"/>
          <w:szCs w:val="20"/>
          <w:color w:val="auto"/>
        </w:rPr>
      </w:pPr>
    </w:p>
    <w:p>
      <w:pPr>
        <w:ind w:left="840" w:right="1140"/>
        <w:spacing w:after="0" w:line="256" w:lineRule="auto"/>
        <w:rPr>
          <w:sz w:val="20"/>
          <w:szCs w:val="20"/>
          <w:color w:val="auto"/>
        </w:rPr>
      </w:pPr>
      <w:r>
        <w:rPr>
          <w:rFonts w:ascii="Arial" w:cs="Arial" w:eastAsia="Arial" w:hAnsi="Arial"/>
          <w:sz w:val="11"/>
          <w:szCs w:val="11"/>
          <w:color w:val="auto"/>
        </w:rPr>
        <w:t>If a Subsidiary of any Transaction Party is required by the terms of a Transaction Document to become a Guarantor, the Borrower must ensure that such subsidiary executes a Guarantor Accession Deed as a new Transaction Party.</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16.15</w:t>
        <w:tab/>
        <w:t>Consideration</w:t>
      </w:r>
    </w:p>
    <w:p>
      <w:pPr>
        <w:spacing w:after="0" w:line="47" w:lineRule="exact"/>
        <w:rPr>
          <w:sz w:val="20"/>
          <w:szCs w:val="20"/>
          <w:color w:val="auto"/>
        </w:rPr>
      </w:pPr>
    </w:p>
    <w:p>
      <w:pPr>
        <w:ind w:left="840" w:right="660"/>
        <w:spacing w:after="0" w:line="256" w:lineRule="auto"/>
        <w:rPr>
          <w:sz w:val="20"/>
          <w:szCs w:val="20"/>
          <w:color w:val="auto"/>
        </w:rPr>
      </w:pPr>
      <w:r>
        <w:rPr>
          <w:rFonts w:ascii="Arial" w:cs="Arial" w:eastAsia="Arial" w:hAnsi="Arial"/>
          <w:sz w:val="11"/>
          <w:szCs w:val="11"/>
          <w:color w:val="auto"/>
        </w:rPr>
        <w:t>Each Guarantor acknowledges having executed this document in return for the Bank entering into the Transaction Documents at the request of the Guarantor and other valuable consideration.</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67</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35" w:name="page136"/>
    <w:bookmarkEnd w:id="135"/>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9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16.16</w:t>
        <w:tab/>
        <w:t>New Guarantors</w:t>
      </w:r>
    </w:p>
    <w:p>
      <w:pPr>
        <w:spacing w:after="0" w:line="47" w:lineRule="exact"/>
        <w:rPr>
          <w:sz w:val="20"/>
          <w:szCs w:val="20"/>
          <w:color w:val="auto"/>
        </w:rPr>
      </w:pPr>
    </w:p>
    <w:p>
      <w:pPr>
        <w:ind w:left="1080" w:right="480" w:hanging="280"/>
        <w:spacing w:after="0" w:line="242" w:lineRule="auto"/>
        <w:tabs>
          <w:tab w:leader="none" w:pos="1080" w:val="left"/>
        </w:tabs>
        <w:numPr>
          <w:ilvl w:val="0"/>
          <w:numId w:val="219"/>
        </w:numPr>
        <w:rPr>
          <w:rFonts w:ascii="Arial" w:cs="Arial" w:eastAsia="Arial" w:hAnsi="Arial"/>
          <w:sz w:val="11"/>
          <w:szCs w:val="11"/>
          <w:color w:val="auto"/>
        </w:rPr>
      </w:pPr>
      <w:r>
        <w:rPr>
          <w:rFonts w:ascii="Arial" w:cs="Arial" w:eastAsia="Arial" w:hAnsi="Arial"/>
          <w:sz w:val="11"/>
          <w:szCs w:val="11"/>
          <w:color w:val="auto"/>
        </w:rPr>
        <w:t>A person automatically becomes a party to this document as a Guarantor and Transaction Party (after the date of this document) by signing and delivering to the Bank a Guarantor Accession Deed and doing anything else which the Bank reasonably requests to ensure the enforceability of that person’s obligations as a Guarantor.</w:t>
      </w:r>
    </w:p>
    <w:p>
      <w:pPr>
        <w:spacing w:after="0" w:line="29" w:lineRule="exact"/>
        <w:rPr>
          <w:rFonts w:ascii="Arial" w:cs="Arial" w:eastAsia="Arial" w:hAnsi="Arial"/>
          <w:sz w:val="11"/>
          <w:szCs w:val="11"/>
          <w:color w:val="auto"/>
        </w:rPr>
      </w:pPr>
    </w:p>
    <w:p>
      <w:pPr>
        <w:ind w:left="1080" w:hanging="280"/>
        <w:spacing w:after="0"/>
        <w:tabs>
          <w:tab w:leader="none" w:pos="1080" w:val="left"/>
        </w:tabs>
        <w:numPr>
          <w:ilvl w:val="0"/>
          <w:numId w:val="219"/>
        </w:numPr>
        <w:rPr>
          <w:rFonts w:ascii="Arial" w:cs="Arial" w:eastAsia="Arial" w:hAnsi="Arial"/>
          <w:sz w:val="11"/>
          <w:szCs w:val="11"/>
          <w:color w:val="auto"/>
        </w:rPr>
      </w:pPr>
      <w:r>
        <w:rPr>
          <w:rFonts w:ascii="Arial" w:cs="Arial" w:eastAsia="Arial" w:hAnsi="Arial"/>
          <w:sz w:val="11"/>
          <w:szCs w:val="11"/>
          <w:color w:val="auto"/>
        </w:rPr>
        <w:t>Each of the other parties to his document irrevocably appoints the Bank as its agent to sign on its behalf any Guarantor Accession Deed.</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219"/>
        </w:numPr>
        <w:rPr>
          <w:rFonts w:ascii="Arial" w:cs="Arial" w:eastAsia="Arial" w:hAnsi="Arial"/>
          <w:sz w:val="11"/>
          <w:szCs w:val="11"/>
          <w:color w:val="auto"/>
        </w:rPr>
      </w:pPr>
      <w:r>
        <w:rPr>
          <w:rFonts w:ascii="Arial" w:cs="Arial" w:eastAsia="Arial" w:hAnsi="Arial"/>
          <w:sz w:val="11"/>
          <w:szCs w:val="11"/>
          <w:color w:val="auto"/>
        </w:rPr>
        <w:t>The execution of a Guarantor Accession Deed will not operate to release any party from its obligations under any Transaction Document.</w:t>
      </w:r>
    </w:p>
    <w:p>
      <w:pPr>
        <w:spacing w:after="0" w:line="11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6"/>
          <w:szCs w:val="16"/>
          <w:color w:val="auto"/>
        </w:rPr>
        <w:t>17</w:t>
        <w:tab/>
        <w:t>Attorney</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17.1</w:t>
        <w:tab/>
        <w:t>Appointment</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If and for so long as an Event of Default occurred and is continuing, the Borrower irrevocably appoints the Bank its attorney with the power:</w:t>
      </w:r>
    </w:p>
    <w:p>
      <w:pPr>
        <w:spacing w:after="0" w:line="54" w:lineRule="exact"/>
        <w:rPr>
          <w:sz w:val="20"/>
          <w:szCs w:val="20"/>
          <w:color w:val="auto"/>
        </w:rPr>
      </w:pPr>
    </w:p>
    <w:p>
      <w:pPr>
        <w:ind w:left="1080" w:hanging="280"/>
        <w:spacing w:after="0"/>
        <w:tabs>
          <w:tab w:leader="none" w:pos="1080" w:val="left"/>
        </w:tabs>
        <w:numPr>
          <w:ilvl w:val="0"/>
          <w:numId w:val="220"/>
        </w:numPr>
        <w:rPr>
          <w:rFonts w:ascii="Arial" w:cs="Arial" w:eastAsia="Arial" w:hAnsi="Arial"/>
          <w:sz w:val="11"/>
          <w:szCs w:val="11"/>
          <w:color w:val="auto"/>
        </w:rPr>
      </w:pPr>
      <w:r>
        <w:rPr>
          <w:rFonts w:ascii="Arial" w:cs="Arial" w:eastAsia="Arial" w:hAnsi="Arial"/>
          <w:sz w:val="11"/>
          <w:szCs w:val="11"/>
          <w:color w:val="auto"/>
        </w:rPr>
        <w:t>at any time to:</w:t>
      </w:r>
    </w:p>
    <w:p>
      <w:pPr>
        <w:spacing w:after="0" w:line="68" w:lineRule="exact"/>
        <w:rPr>
          <w:rFonts w:ascii="Arial" w:cs="Arial" w:eastAsia="Arial" w:hAnsi="Arial"/>
          <w:sz w:val="11"/>
          <w:szCs w:val="11"/>
          <w:color w:val="auto"/>
        </w:rPr>
      </w:pPr>
    </w:p>
    <w:p>
      <w:pPr>
        <w:ind w:left="1400" w:right="860" w:hanging="285"/>
        <w:spacing w:after="0" w:line="256" w:lineRule="auto"/>
        <w:tabs>
          <w:tab w:leader="none" w:pos="1400" w:val="left"/>
        </w:tabs>
        <w:numPr>
          <w:ilvl w:val="1"/>
          <w:numId w:val="220"/>
        </w:numPr>
        <w:rPr>
          <w:rFonts w:ascii="Arial" w:cs="Arial" w:eastAsia="Arial" w:hAnsi="Arial"/>
          <w:sz w:val="11"/>
          <w:szCs w:val="11"/>
          <w:color w:val="auto"/>
        </w:rPr>
      </w:pPr>
      <w:r>
        <w:rPr>
          <w:rFonts w:ascii="Arial" w:cs="Arial" w:eastAsia="Arial" w:hAnsi="Arial"/>
          <w:sz w:val="11"/>
          <w:szCs w:val="11"/>
          <w:color w:val="auto"/>
        </w:rPr>
        <w:t>do everything which in the Attorney’s reasonable opinion is necessary or expedient to enable the exercise of any right of the Bank in relation to the Transaction Documents;</w:t>
      </w:r>
    </w:p>
    <w:p>
      <w:pPr>
        <w:spacing w:after="0" w:line="30" w:lineRule="exact"/>
        <w:rPr>
          <w:rFonts w:ascii="Arial" w:cs="Arial" w:eastAsia="Arial" w:hAnsi="Arial"/>
          <w:sz w:val="11"/>
          <w:szCs w:val="11"/>
          <w:color w:val="auto"/>
        </w:rPr>
      </w:pPr>
    </w:p>
    <w:p>
      <w:pPr>
        <w:ind w:left="1400" w:hanging="285"/>
        <w:spacing w:after="0"/>
        <w:tabs>
          <w:tab w:leader="none" w:pos="1400" w:val="left"/>
        </w:tabs>
        <w:numPr>
          <w:ilvl w:val="1"/>
          <w:numId w:val="220"/>
        </w:numPr>
        <w:rPr>
          <w:rFonts w:ascii="Arial" w:cs="Arial" w:eastAsia="Arial" w:hAnsi="Arial"/>
          <w:sz w:val="11"/>
          <w:szCs w:val="11"/>
          <w:color w:val="auto"/>
        </w:rPr>
      </w:pPr>
      <w:r>
        <w:rPr>
          <w:rFonts w:ascii="Arial" w:cs="Arial" w:eastAsia="Arial" w:hAnsi="Arial"/>
          <w:sz w:val="11"/>
          <w:szCs w:val="11"/>
          <w:color w:val="auto"/>
        </w:rPr>
        <w:t>not used;</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220"/>
        </w:numPr>
        <w:rPr>
          <w:rFonts w:ascii="Arial" w:cs="Arial" w:eastAsia="Arial" w:hAnsi="Arial"/>
          <w:sz w:val="11"/>
          <w:szCs w:val="11"/>
          <w:color w:val="auto"/>
        </w:rPr>
      </w:pPr>
      <w:r>
        <w:rPr>
          <w:rFonts w:ascii="Arial" w:cs="Arial" w:eastAsia="Arial" w:hAnsi="Arial"/>
          <w:sz w:val="11"/>
          <w:szCs w:val="11"/>
          <w:color w:val="auto"/>
        </w:rPr>
        <w:t>complete the Transaction Documents to which it is a party; and</w:t>
      </w:r>
    </w:p>
    <w:p>
      <w:pPr>
        <w:spacing w:after="0" w:line="68" w:lineRule="exact"/>
        <w:rPr>
          <w:rFonts w:ascii="Arial" w:cs="Arial" w:eastAsia="Arial" w:hAnsi="Arial"/>
          <w:sz w:val="11"/>
          <w:szCs w:val="11"/>
          <w:color w:val="auto"/>
        </w:rPr>
      </w:pPr>
    </w:p>
    <w:p>
      <w:pPr>
        <w:ind w:left="1400" w:right="1640" w:hanging="285"/>
        <w:spacing w:after="0" w:line="256" w:lineRule="auto"/>
        <w:tabs>
          <w:tab w:leader="none" w:pos="1400" w:val="left"/>
        </w:tabs>
        <w:numPr>
          <w:ilvl w:val="1"/>
          <w:numId w:val="220"/>
        </w:numPr>
        <w:rPr>
          <w:rFonts w:ascii="Arial" w:cs="Arial" w:eastAsia="Arial" w:hAnsi="Arial"/>
          <w:sz w:val="11"/>
          <w:szCs w:val="11"/>
          <w:color w:val="auto"/>
        </w:rPr>
      </w:pPr>
      <w:r>
        <w:rPr>
          <w:rFonts w:ascii="Arial" w:cs="Arial" w:eastAsia="Arial" w:hAnsi="Arial"/>
          <w:sz w:val="11"/>
          <w:szCs w:val="11"/>
          <w:color w:val="auto"/>
        </w:rPr>
        <w:t>appoint its directors, officers, employees and solicitors as substitutes and otherwise delegate its powers to any of them (except this power of delegation); and</w:t>
      </w:r>
    </w:p>
    <w:p>
      <w:pPr>
        <w:spacing w:after="0" w:line="16" w:lineRule="exact"/>
        <w:rPr>
          <w:rFonts w:ascii="Arial" w:cs="Arial" w:eastAsia="Arial" w:hAnsi="Arial"/>
          <w:sz w:val="11"/>
          <w:szCs w:val="11"/>
          <w:color w:val="auto"/>
        </w:rPr>
      </w:pPr>
    </w:p>
    <w:p>
      <w:pPr>
        <w:ind w:left="1080" w:right="1040" w:hanging="280"/>
        <w:spacing w:after="0" w:line="247" w:lineRule="auto"/>
        <w:tabs>
          <w:tab w:leader="none" w:pos="1080" w:val="left"/>
        </w:tabs>
        <w:numPr>
          <w:ilvl w:val="0"/>
          <w:numId w:val="220"/>
        </w:numPr>
        <w:rPr>
          <w:rFonts w:ascii="Arial" w:cs="Arial" w:eastAsia="Arial" w:hAnsi="Arial"/>
          <w:sz w:val="11"/>
          <w:szCs w:val="11"/>
          <w:color w:val="auto"/>
        </w:rPr>
      </w:pPr>
      <w:r>
        <w:rPr>
          <w:rFonts w:ascii="Arial" w:cs="Arial" w:eastAsia="Arial" w:hAnsi="Arial"/>
          <w:sz w:val="11"/>
          <w:szCs w:val="11"/>
          <w:color w:val="auto"/>
        </w:rPr>
        <w:t xml:space="preserve">at any time after a notice is given under </w:t>
      </w:r>
      <w:r>
        <w:rPr>
          <w:rFonts w:ascii="Arial" w:cs="Arial" w:eastAsia="Arial" w:hAnsi="Arial"/>
          <w:sz w:val="11"/>
          <w:szCs w:val="11"/>
          <w:b w:val="1"/>
          <w:bCs w:val="1"/>
          <w:color w:val="auto"/>
        </w:rPr>
        <w:t>clause 10.2(a)(ii)(A) or 10.2(a)(ii)(B)</w:t>
      </w:r>
      <w:r>
        <w:rPr>
          <w:rFonts w:ascii="Arial" w:cs="Arial" w:eastAsia="Arial" w:hAnsi="Arial"/>
          <w:sz w:val="11"/>
          <w:szCs w:val="11"/>
          <w:color w:val="auto"/>
        </w:rPr>
        <w:t>, to do all acts and things which the Borrower is obliged to do under the Transaction Documents or which in the Attorney’s opinion are necessary or expedient to enable the exercise of any right of the Bank in relation to the Transaction Documents.</w:t>
      </w:r>
    </w:p>
    <w:p>
      <w:pPr>
        <w:spacing w:after="0" w:line="60"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17.2</w:t>
        <w:tab/>
        <w:t>Not used</w:t>
      </w:r>
    </w:p>
    <w:p>
      <w:pPr>
        <w:spacing w:after="0" w:line="72"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17.3</w:t>
        <w:tab/>
        <w:t>General</w:t>
      </w:r>
    </w:p>
    <w:p>
      <w:pPr>
        <w:spacing w:after="0" w:line="47" w:lineRule="exact"/>
        <w:rPr>
          <w:sz w:val="20"/>
          <w:szCs w:val="20"/>
          <w:color w:val="auto"/>
        </w:rPr>
      </w:pPr>
    </w:p>
    <w:p>
      <w:pPr>
        <w:ind w:left="1080" w:hanging="280"/>
        <w:spacing w:after="0"/>
        <w:tabs>
          <w:tab w:leader="none" w:pos="1080" w:val="left"/>
        </w:tabs>
        <w:numPr>
          <w:ilvl w:val="0"/>
          <w:numId w:val="221"/>
        </w:numPr>
        <w:rPr>
          <w:rFonts w:ascii="Arial" w:cs="Arial" w:eastAsia="Arial" w:hAnsi="Arial"/>
          <w:sz w:val="11"/>
          <w:szCs w:val="11"/>
          <w:color w:val="auto"/>
        </w:rPr>
      </w:pPr>
      <w:r>
        <w:rPr>
          <w:rFonts w:ascii="Arial" w:cs="Arial" w:eastAsia="Arial" w:hAnsi="Arial"/>
          <w:sz w:val="11"/>
          <w:szCs w:val="11"/>
          <w:color w:val="auto"/>
        </w:rPr>
        <w:t>Any Attorney may exercise any right solely for the benefit of the Bank, even if the exercise of the right constitutes a conflict of interest or duty.</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221"/>
        </w:numPr>
        <w:rPr>
          <w:rFonts w:ascii="Arial" w:cs="Arial" w:eastAsia="Arial" w:hAnsi="Arial"/>
          <w:sz w:val="11"/>
          <w:szCs w:val="11"/>
          <w:color w:val="auto"/>
        </w:rPr>
      </w:pPr>
      <w:r>
        <w:rPr>
          <w:rFonts w:ascii="Arial" w:cs="Arial" w:eastAsia="Arial" w:hAnsi="Arial"/>
          <w:sz w:val="11"/>
          <w:szCs w:val="11"/>
          <w:color w:val="auto"/>
        </w:rPr>
        <w:t>The Borrower by this document ratifies anything done or not done by the Attorney pursuant to the power of attorney.</w:t>
      </w:r>
    </w:p>
    <w:p>
      <w:pPr>
        <w:spacing w:after="0" w:line="53" w:lineRule="exact"/>
        <w:rPr>
          <w:rFonts w:ascii="Arial" w:cs="Arial" w:eastAsia="Arial" w:hAnsi="Arial"/>
          <w:sz w:val="11"/>
          <w:szCs w:val="11"/>
          <w:color w:val="auto"/>
        </w:rPr>
      </w:pPr>
    </w:p>
    <w:p>
      <w:pPr>
        <w:ind w:left="1080" w:hanging="280"/>
        <w:spacing w:after="0"/>
        <w:tabs>
          <w:tab w:leader="none" w:pos="1080" w:val="left"/>
        </w:tabs>
        <w:numPr>
          <w:ilvl w:val="0"/>
          <w:numId w:val="221"/>
        </w:numPr>
        <w:rPr>
          <w:rFonts w:ascii="Arial" w:cs="Arial" w:eastAsia="Arial" w:hAnsi="Arial"/>
          <w:sz w:val="11"/>
          <w:szCs w:val="11"/>
          <w:color w:val="auto"/>
        </w:rPr>
      </w:pPr>
      <w:r>
        <w:rPr>
          <w:rFonts w:ascii="Arial" w:cs="Arial" w:eastAsia="Arial" w:hAnsi="Arial"/>
          <w:sz w:val="11"/>
          <w:szCs w:val="11"/>
          <w:color w:val="auto"/>
        </w:rPr>
        <w:t>The power of attorney is granted: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6420" w:type="dxa"/>
            <w:vAlign w:val="bottom"/>
            <w:gridSpan w:val="2"/>
          </w:tcPr>
          <w:p>
            <w:pPr>
              <w:ind w:left="440"/>
              <w:spacing w:after="0"/>
              <w:rPr>
                <w:sz w:val="20"/>
                <w:szCs w:val="20"/>
                <w:color w:val="auto"/>
              </w:rPr>
            </w:pPr>
            <w:r>
              <w:rPr>
                <w:rFonts w:ascii="Arial" w:cs="Arial" w:eastAsia="Arial" w:hAnsi="Arial"/>
                <w:sz w:val="11"/>
                <w:szCs w:val="11"/>
                <w:color w:val="auto"/>
              </w:rPr>
              <w:t>(i)    t o secure the compliance by the Borrower with its obligations to the Bank under the Transaction Documents</w:t>
            </w:r>
          </w:p>
        </w:tc>
        <w:tc>
          <w:tcPr>
            <w:tcW w:w="2380" w:type="dxa"/>
            <w:vAlign w:val="bottom"/>
          </w:tcPr>
          <w:p>
            <w:pPr>
              <w:ind w:left="40"/>
              <w:spacing w:after="0"/>
              <w:rPr>
                <w:sz w:val="20"/>
                <w:szCs w:val="20"/>
                <w:color w:val="auto"/>
              </w:rPr>
            </w:pPr>
            <w:r>
              <w:rPr>
                <w:rFonts w:ascii="Arial" w:cs="Arial" w:eastAsia="Arial" w:hAnsi="Arial"/>
                <w:sz w:val="11"/>
                <w:szCs w:val="11"/>
                <w:color w:val="auto"/>
              </w:rPr>
              <w:t>and any proprietary interests of the Bank</w:t>
            </w:r>
          </w:p>
        </w:tc>
      </w:tr>
      <w:tr>
        <w:trPr>
          <w:trHeight w:val="142"/>
        </w:trPr>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720" w:type="dxa"/>
            <w:vAlign w:val="bottom"/>
          </w:tcPr>
          <w:p>
            <w:pPr>
              <w:ind w:left="20"/>
              <w:spacing w:after="0"/>
              <w:rPr>
                <w:sz w:val="20"/>
                <w:szCs w:val="20"/>
                <w:color w:val="auto"/>
              </w:rPr>
            </w:pPr>
            <w:r>
              <w:rPr>
                <w:rFonts w:ascii="Arial" w:cs="Arial" w:eastAsia="Arial" w:hAnsi="Arial"/>
                <w:sz w:val="11"/>
                <w:szCs w:val="11"/>
                <w:color w:val="auto"/>
              </w:rPr>
              <w:t>under the Transaction Documents; and</w:t>
            </w:r>
          </w:p>
        </w:tc>
        <w:tc>
          <w:tcPr>
            <w:tcW w:w="2380" w:type="dxa"/>
            <w:vAlign w:val="bottom"/>
          </w:tcPr>
          <w:p>
            <w:pPr>
              <w:spacing w:after="0"/>
              <w:rPr>
                <w:sz w:val="12"/>
                <w:szCs w:val="12"/>
                <w:color w:val="auto"/>
              </w:rPr>
            </w:pPr>
          </w:p>
        </w:tc>
      </w:tr>
      <w:tr>
        <w:trPr>
          <w:trHeight w:val="456"/>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7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5720" w:type="dxa"/>
            <w:vAlign w:val="bottom"/>
          </w:tcPr>
          <w:p>
            <w:pPr>
              <w:spacing w:after="0"/>
              <w:rPr>
                <w:sz w:val="24"/>
                <w:szCs w:val="24"/>
                <w:color w:val="auto"/>
              </w:rPr>
            </w:pPr>
          </w:p>
        </w:tc>
        <w:tc>
          <w:tcPr>
            <w:tcW w:w="2380" w:type="dxa"/>
            <w:vAlign w:val="bottom"/>
          </w:tcPr>
          <w:p>
            <w:pPr>
              <w:ind w:left="2080"/>
              <w:spacing w:after="0"/>
              <w:rPr>
                <w:sz w:val="20"/>
                <w:szCs w:val="20"/>
                <w:color w:val="auto"/>
              </w:rPr>
            </w:pPr>
            <w:r>
              <w:rPr>
                <w:rFonts w:ascii="Arial" w:cs="Arial" w:eastAsia="Arial" w:hAnsi="Arial"/>
                <w:sz w:val="8"/>
                <w:szCs w:val="8"/>
                <w:color w:val="auto"/>
                <w:w w:val="96"/>
              </w:rPr>
              <w:t>page 68</w:t>
            </w:r>
          </w:p>
        </w:tc>
      </w:tr>
      <w:tr>
        <w:trPr>
          <w:trHeight w:val="94"/>
        </w:trPr>
        <w:tc>
          <w:tcPr>
            <w:tcW w:w="7100" w:type="dxa"/>
            <w:vAlign w:val="bottom"/>
            <w:gridSpan w:val="3"/>
          </w:tcPr>
          <w:p>
            <w:pPr>
              <w:spacing w:after="0"/>
              <w:rPr>
                <w:sz w:val="20"/>
                <w:szCs w:val="20"/>
                <w:color w:val="auto"/>
              </w:rPr>
            </w:pPr>
            <w:r>
              <w:rPr>
                <w:rFonts w:ascii="Arial" w:cs="Arial" w:eastAsia="Arial" w:hAnsi="Arial"/>
                <w:sz w:val="8"/>
                <w:szCs w:val="8"/>
                <w:color w:val="auto"/>
              </w:rPr>
              <w:t>Facility Agreement</w:t>
            </w:r>
          </w:p>
        </w:tc>
        <w:tc>
          <w:tcPr>
            <w:tcW w:w="238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700" w:type="dxa"/>
            <w:vAlign w:val="bottom"/>
            <w:tcBorders>
              <w:bottom w:val="single" w:sz="8" w:color="EEEEEE"/>
            </w:tcBorders>
          </w:tcPr>
          <w:p>
            <w:pPr>
              <w:spacing w:after="0"/>
              <w:rPr>
                <w:sz w:val="18"/>
                <w:szCs w:val="18"/>
                <w:color w:val="auto"/>
              </w:rPr>
            </w:pPr>
          </w:p>
        </w:tc>
        <w:tc>
          <w:tcPr>
            <w:tcW w:w="5720" w:type="dxa"/>
            <w:vAlign w:val="bottom"/>
            <w:tcBorders>
              <w:bottom w:val="single" w:sz="8" w:color="EEEEEE"/>
            </w:tcBorders>
          </w:tcPr>
          <w:p>
            <w:pPr>
              <w:spacing w:after="0"/>
              <w:rPr>
                <w:sz w:val="18"/>
                <w:szCs w:val="18"/>
                <w:color w:val="auto"/>
              </w:rPr>
            </w:pPr>
          </w:p>
        </w:tc>
        <w:tc>
          <w:tcPr>
            <w:tcW w:w="238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36" w:name="page137"/>
    <w:bookmarkEnd w:id="136"/>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0" w:hanging="285"/>
        <w:spacing w:after="0"/>
        <w:tabs>
          <w:tab w:leader="none" w:pos="1400" w:val="left"/>
        </w:tabs>
        <w:numPr>
          <w:ilvl w:val="0"/>
          <w:numId w:val="222"/>
        </w:numPr>
        <w:rPr>
          <w:rFonts w:ascii="Arial" w:cs="Arial" w:eastAsia="Arial" w:hAnsi="Arial"/>
          <w:sz w:val="11"/>
          <w:szCs w:val="11"/>
          <w:color w:val="auto"/>
        </w:rPr>
      </w:pPr>
      <w:r>
        <w:rPr>
          <w:rFonts w:ascii="Arial" w:cs="Arial" w:eastAsia="Arial" w:hAnsi="Arial"/>
          <w:sz w:val="11"/>
          <w:szCs w:val="11"/>
          <w:color w:val="auto"/>
        </w:rPr>
        <w:t>for valuable consideration (receipt of which is acknowledged) which includes entry into of this document by the Bank at the Borrower’s request.</w:t>
      </w:r>
    </w:p>
    <w:p>
      <w:pPr>
        <w:spacing w:after="0" w:line="28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6"/>
          <w:szCs w:val="16"/>
          <w:color w:val="auto"/>
        </w:rPr>
        <w:t>18</w:t>
        <w:tab/>
        <w:t>General</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18.1</w:t>
      </w:r>
      <w:r>
        <w:rPr>
          <w:sz w:val="20"/>
          <w:szCs w:val="20"/>
          <w:color w:val="auto"/>
        </w:rPr>
        <w:tab/>
      </w:r>
      <w:r>
        <w:rPr>
          <w:rFonts w:ascii="Arial" w:cs="Arial" w:eastAsia="Arial" w:hAnsi="Arial"/>
          <w:sz w:val="11"/>
          <w:szCs w:val="11"/>
          <w:b w:val="1"/>
          <w:bCs w:val="1"/>
          <w:color w:val="auto"/>
        </w:rPr>
        <w:t>Set-off</w:t>
      </w:r>
    </w:p>
    <w:p>
      <w:pPr>
        <w:spacing w:after="0" w:line="47" w:lineRule="exact"/>
        <w:rPr>
          <w:sz w:val="20"/>
          <w:szCs w:val="20"/>
          <w:color w:val="auto"/>
        </w:rPr>
      </w:pPr>
    </w:p>
    <w:p>
      <w:pPr>
        <w:ind w:left="840" w:right="320"/>
        <w:spacing w:after="0" w:line="256" w:lineRule="auto"/>
        <w:rPr>
          <w:sz w:val="20"/>
          <w:szCs w:val="20"/>
          <w:color w:val="auto"/>
        </w:rPr>
      </w:pPr>
      <w:r>
        <w:rPr>
          <w:rFonts w:ascii="Arial" w:cs="Arial" w:eastAsia="Arial" w:hAnsi="Arial"/>
          <w:sz w:val="11"/>
          <w:szCs w:val="11"/>
          <w:color w:val="auto"/>
        </w:rPr>
        <w:t>The Bank may set off any money due for payment by the Bank to the Borrower, whatsoever, including any money in any currency held by the Bank for the account of the Borrower in any place, against any money due for payment by the Borrower to the Bank under a Transaction Document.</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18.2</w:t>
        <w:tab/>
        <w:t>Bank’s certificate</w:t>
      </w:r>
    </w:p>
    <w:p>
      <w:pPr>
        <w:spacing w:after="0" w:line="47" w:lineRule="exact"/>
        <w:rPr>
          <w:sz w:val="20"/>
          <w:szCs w:val="20"/>
          <w:color w:val="auto"/>
        </w:rPr>
      </w:pPr>
    </w:p>
    <w:p>
      <w:pPr>
        <w:ind w:left="1080" w:right="380" w:hanging="280"/>
        <w:spacing w:after="0" w:line="256" w:lineRule="auto"/>
        <w:tabs>
          <w:tab w:leader="none" w:pos="1080" w:val="left"/>
        </w:tabs>
        <w:numPr>
          <w:ilvl w:val="0"/>
          <w:numId w:val="223"/>
        </w:numPr>
        <w:rPr>
          <w:rFonts w:ascii="Arial" w:cs="Arial" w:eastAsia="Arial" w:hAnsi="Arial"/>
          <w:sz w:val="11"/>
          <w:szCs w:val="11"/>
          <w:color w:val="auto"/>
        </w:rPr>
      </w:pPr>
      <w:r>
        <w:rPr>
          <w:rFonts w:ascii="Arial" w:cs="Arial" w:eastAsia="Arial" w:hAnsi="Arial"/>
          <w:sz w:val="11"/>
          <w:szCs w:val="11"/>
          <w:color w:val="auto"/>
        </w:rPr>
        <w:t>A certificate by the Bank relating to any amount owing under a Transaction Document or as to its opinion in relation to any matter under any Transaction Document is prima facie evidence against the Borrower of the matters certified unless proven incorrect or there is a manifest error.</w:t>
      </w:r>
    </w:p>
    <w:p>
      <w:pPr>
        <w:spacing w:after="0" w:line="22" w:lineRule="exact"/>
        <w:rPr>
          <w:rFonts w:ascii="Arial" w:cs="Arial" w:eastAsia="Arial" w:hAnsi="Arial"/>
          <w:sz w:val="11"/>
          <w:szCs w:val="11"/>
          <w:color w:val="auto"/>
        </w:rPr>
      </w:pPr>
    </w:p>
    <w:p>
      <w:pPr>
        <w:jc w:val="both"/>
        <w:ind w:left="1080" w:right="1820" w:hanging="280"/>
        <w:spacing w:after="0" w:line="256" w:lineRule="auto"/>
        <w:tabs>
          <w:tab w:leader="none" w:pos="1080" w:val="left"/>
        </w:tabs>
        <w:numPr>
          <w:ilvl w:val="0"/>
          <w:numId w:val="223"/>
        </w:numPr>
        <w:rPr>
          <w:rFonts w:ascii="Arial" w:cs="Arial" w:eastAsia="Arial" w:hAnsi="Arial"/>
          <w:sz w:val="11"/>
          <w:szCs w:val="11"/>
          <w:color w:val="auto"/>
        </w:rPr>
      </w:pPr>
      <w:r>
        <w:rPr>
          <w:rFonts w:ascii="Arial" w:cs="Arial" w:eastAsia="Arial" w:hAnsi="Arial"/>
          <w:sz w:val="11"/>
          <w:szCs w:val="11"/>
          <w:color w:val="auto"/>
        </w:rPr>
        <w:t>The Bank is not obliged to give the reasons for its determination or opinion in relation to any matter under any Transaction Document. Any certification, determination or opinion relating to an amount must contain reasonable detail as to how the amount was calculated.</w:t>
      </w:r>
    </w:p>
    <w:p>
      <w:pPr>
        <w:spacing w:after="0" w:line="22" w:lineRule="exact"/>
        <w:rPr>
          <w:rFonts w:ascii="Arial" w:cs="Arial" w:eastAsia="Arial" w:hAnsi="Arial"/>
          <w:sz w:val="11"/>
          <w:szCs w:val="11"/>
          <w:color w:val="auto"/>
        </w:rPr>
      </w:pPr>
    </w:p>
    <w:p>
      <w:pPr>
        <w:ind w:left="1080" w:right="240" w:hanging="280"/>
        <w:spacing w:after="0" w:line="256" w:lineRule="auto"/>
        <w:tabs>
          <w:tab w:leader="none" w:pos="1080" w:val="left"/>
        </w:tabs>
        <w:numPr>
          <w:ilvl w:val="0"/>
          <w:numId w:val="223"/>
        </w:numPr>
        <w:rPr>
          <w:rFonts w:ascii="Arial" w:cs="Arial" w:eastAsia="Arial" w:hAnsi="Arial"/>
          <w:sz w:val="11"/>
          <w:szCs w:val="11"/>
          <w:color w:val="auto"/>
        </w:rPr>
      </w:pPr>
      <w:r>
        <w:rPr>
          <w:rFonts w:ascii="Arial" w:cs="Arial" w:eastAsia="Arial" w:hAnsi="Arial"/>
          <w:sz w:val="11"/>
          <w:szCs w:val="11"/>
          <w:color w:val="auto"/>
        </w:rPr>
        <w:t>A determination or an opinion of an Authorised Representative of the Bank which is given to the Borrower or otherwise expressed or acted on by the Bank as being a determination or an opinion of the Bank will be deemed to be a determination or opinion of the Bank.</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18.3</w:t>
        <w:tab/>
        <w:t>Supervening legislation</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Any present or future legislation which operates:</w:t>
      </w:r>
    </w:p>
    <w:p>
      <w:pPr>
        <w:spacing w:after="0" w:line="69" w:lineRule="exact"/>
        <w:rPr>
          <w:sz w:val="20"/>
          <w:szCs w:val="20"/>
          <w:color w:val="auto"/>
        </w:rPr>
      </w:pPr>
    </w:p>
    <w:p>
      <w:pPr>
        <w:ind w:left="1080" w:hanging="280"/>
        <w:spacing w:after="0"/>
        <w:tabs>
          <w:tab w:leader="none" w:pos="1080" w:val="left"/>
        </w:tabs>
        <w:numPr>
          <w:ilvl w:val="0"/>
          <w:numId w:val="224"/>
        </w:numPr>
        <w:rPr>
          <w:rFonts w:ascii="Arial" w:cs="Arial" w:eastAsia="Arial" w:hAnsi="Arial"/>
          <w:sz w:val="11"/>
          <w:szCs w:val="11"/>
          <w:color w:val="auto"/>
        </w:rPr>
      </w:pPr>
      <w:r>
        <w:rPr>
          <w:rFonts w:ascii="Arial" w:cs="Arial" w:eastAsia="Arial" w:hAnsi="Arial"/>
          <w:sz w:val="11"/>
          <w:szCs w:val="11"/>
          <w:color w:val="auto"/>
        </w:rPr>
        <w:t>to lessen or vary in favour of the Borrower any of its obligations in connection with the Transaction Documents; or</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224"/>
        </w:numPr>
        <w:rPr>
          <w:rFonts w:ascii="Arial" w:cs="Arial" w:eastAsia="Arial" w:hAnsi="Arial"/>
          <w:sz w:val="11"/>
          <w:szCs w:val="11"/>
          <w:color w:val="auto"/>
        </w:rPr>
      </w:pPr>
      <w:r>
        <w:rPr>
          <w:rFonts w:ascii="Arial" w:cs="Arial" w:eastAsia="Arial" w:hAnsi="Arial"/>
          <w:sz w:val="11"/>
          <w:szCs w:val="11"/>
          <w:color w:val="auto"/>
        </w:rPr>
        <w:t>to postpone, stay, suspend or curtail any rights of the Bank under the Transaction Documents,</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is excluded except to the extent that its exclusion is prohibited or rendered ineffective by law.</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18.4</w:t>
      </w:r>
      <w:r>
        <w:rPr>
          <w:sz w:val="20"/>
          <w:szCs w:val="20"/>
          <w:color w:val="auto"/>
        </w:rPr>
        <w:tab/>
      </w:r>
      <w:r>
        <w:rPr>
          <w:rFonts w:ascii="Arial" w:cs="Arial" w:eastAsia="Arial" w:hAnsi="Arial"/>
          <w:sz w:val="11"/>
          <w:szCs w:val="11"/>
          <w:b w:val="1"/>
          <w:bCs w:val="1"/>
          <w:color w:val="auto"/>
        </w:rPr>
        <w:t>Time of the essence</w:t>
      </w:r>
    </w:p>
    <w:p>
      <w:pPr>
        <w:spacing w:after="0" w:line="47" w:lineRule="exact"/>
        <w:rPr>
          <w:sz w:val="20"/>
          <w:szCs w:val="20"/>
          <w:color w:val="auto"/>
        </w:rPr>
      </w:pPr>
    </w:p>
    <w:p>
      <w:pPr>
        <w:ind w:left="840" w:right="280"/>
        <w:spacing w:after="0" w:line="256" w:lineRule="auto"/>
        <w:rPr>
          <w:sz w:val="20"/>
          <w:szCs w:val="20"/>
          <w:color w:val="auto"/>
        </w:rPr>
      </w:pPr>
      <w:r>
        <w:rPr>
          <w:rFonts w:ascii="Arial" w:cs="Arial" w:eastAsia="Arial" w:hAnsi="Arial"/>
          <w:sz w:val="11"/>
          <w:szCs w:val="11"/>
          <w:color w:val="auto"/>
        </w:rPr>
        <w:t>Time is of the essence as regards any obligations of the Borrower or any date or period determined under the Transaction Documents, and if any date or period is altered by agreement between the parties, time is of the essence as regards such altered date or period.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69</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37" w:name="page138"/>
    <w:bookmarkEnd w:id="137"/>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9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18.5</w:t>
        <w:tab/>
        <w:t>Business Days</w:t>
      </w:r>
    </w:p>
    <w:p>
      <w:pPr>
        <w:spacing w:after="0" w:line="47" w:lineRule="exact"/>
        <w:rPr>
          <w:sz w:val="20"/>
          <w:szCs w:val="20"/>
          <w:color w:val="auto"/>
        </w:rPr>
      </w:pPr>
    </w:p>
    <w:p>
      <w:pPr>
        <w:ind w:left="1080" w:right="1720" w:hanging="280"/>
        <w:spacing w:after="0" w:line="256" w:lineRule="auto"/>
        <w:tabs>
          <w:tab w:leader="none" w:pos="1080" w:val="left"/>
        </w:tabs>
        <w:numPr>
          <w:ilvl w:val="0"/>
          <w:numId w:val="225"/>
        </w:numPr>
        <w:rPr>
          <w:rFonts w:ascii="Arial" w:cs="Arial" w:eastAsia="Arial" w:hAnsi="Arial"/>
          <w:sz w:val="11"/>
          <w:szCs w:val="11"/>
          <w:color w:val="auto"/>
        </w:rPr>
      </w:pPr>
      <w:r>
        <w:rPr>
          <w:rFonts w:ascii="Arial" w:cs="Arial" w:eastAsia="Arial" w:hAnsi="Arial"/>
          <w:sz w:val="11"/>
          <w:szCs w:val="11"/>
          <w:color w:val="auto"/>
        </w:rPr>
        <w:t>If the day on or by which anything, other than making a payment, must be done by the Borrower under a Transaction Document is not a Business Day, that thing must be done on or by the preceding Business Day.</w:t>
      </w:r>
    </w:p>
    <w:p>
      <w:pPr>
        <w:spacing w:after="0" w:line="22" w:lineRule="exact"/>
        <w:rPr>
          <w:rFonts w:ascii="Arial" w:cs="Arial" w:eastAsia="Arial" w:hAnsi="Arial"/>
          <w:sz w:val="11"/>
          <w:szCs w:val="11"/>
          <w:color w:val="auto"/>
        </w:rPr>
      </w:pPr>
    </w:p>
    <w:p>
      <w:pPr>
        <w:ind w:left="1080" w:right="340" w:hanging="280"/>
        <w:spacing w:after="0" w:line="256" w:lineRule="auto"/>
        <w:tabs>
          <w:tab w:leader="none" w:pos="1080" w:val="left"/>
        </w:tabs>
        <w:numPr>
          <w:ilvl w:val="0"/>
          <w:numId w:val="225"/>
        </w:numPr>
        <w:rPr>
          <w:rFonts w:ascii="Arial" w:cs="Arial" w:eastAsia="Arial" w:hAnsi="Arial"/>
          <w:sz w:val="11"/>
          <w:szCs w:val="11"/>
          <w:color w:val="auto"/>
        </w:rPr>
      </w:pPr>
      <w:r>
        <w:rPr>
          <w:rFonts w:ascii="Arial" w:cs="Arial" w:eastAsia="Arial" w:hAnsi="Arial"/>
          <w:sz w:val="11"/>
          <w:szCs w:val="11"/>
          <w:color w:val="auto"/>
        </w:rPr>
        <w:t>If a payment would otherwise be due on a day which is not a Business Day it will be due on the immediately following Business Day. However, if this would result in the payment being due in the month after the original due day or after the Termination Date it will be due on the immediately preceding Business Day.</w:t>
      </w:r>
    </w:p>
    <w:p>
      <w:pPr>
        <w:spacing w:after="0" w:line="22" w:lineRule="exact"/>
        <w:rPr>
          <w:rFonts w:ascii="Arial" w:cs="Arial" w:eastAsia="Arial" w:hAnsi="Arial"/>
          <w:sz w:val="11"/>
          <w:szCs w:val="11"/>
          <w:color w:val="auto"/>
        </w:rPr>
      </w:pPr>
    </w:p>
    <w:p>
      <w:pPr>
        <w:ind w:left="1080" w:hanging="280"/>
        <w:spacing w:after="0"/>
        <w:tabs>
          <w:tab w:leader="none" w:pos="1080" w:val="left"/>
        </w:tabs>
        <w:numPr>
          <w:ilvl w:val="0"/>
          <w:numId w:val="225"/>
        </w:numPr>
        <w:rPr>
          <w:rFonts w:ascii="Arial" w:cs="Arial" w:eastAsia="Arial" w:hAnsi="Arial"/>
          <w:sz w:val="11"/>
          <w:szCs w:val="11"/>
          <w:color w:val="auto"/>
        </w:rPr>
      </w:pPr>
      <w:r>
        <w:rPr>
          <w:rFonts w:ascii="Arial" w:cs="Arial" w:eastAsia="Arial" w:hAnsi="Arial"/>
          <w:sz w:val="11"/>
          <w:szCs w:val="11"/>
          <w:color w:val="auto"/>
        </w:rPr>
        <w:t>If anything, including making a payment, is to be done by the Borrower on or by a particular day and it is done:</w:t>
      </w:r>
    </w:p>
    <w:p>
      <w:pPr>
        <w:spacing w:after="0" w:line="46" w:lineRule="exact"/>
        <w:rPr>
          <w:rFonts w:ascii="Arial" w:cs="Arial" w:eastAsia="Arial" w:hAnsi="Arial"/>
          <w:sz w:val="11"/>
          <w:szCs w:val="11"/>
          <w:color w:val="auto"/>
        </w:rPr>
      </w:pPr>
    </w:p>
    <w:p>
      <w:pPr>
        <w:ind w:left="1400" w:right="1680" w:hanging="285"/>
        <w:spacing w:after="0" w:line="271" w:lineRule="auto"/>
        <w:tabs>
          <w:tab w:leader="none" w:pos="1385" w:val="left"/>
        </w:tabs>
        <w:numPr>
          <w:ilvl w:val="1"/>
          <w:numId w:val="225"/>
        </w:numPr>
        <w:rPr>
          <w:rFonts w:ascii="Arial" w:cs="Arial" w:eastAsia="Arial" w:hAnsi="Arial"/>
          <w:sz w:val="11"/>
          <w:szCs w:val="11"/>
          <w:color w:val="auto"/>
        </w:rPr>
      </w:pPr>
      <w:r>
        <w:rPr>
          <w:rFonts w:ascii="Arial" w:cs="Arial" w:eastAsia="Arial" w:hAnsi="Arial"/>
          <w:sz w:val="11"/>
          <w:szCs w:val="11"/>
          <w:color w:val="auto"/>
        </w:rPr>
        <w:t>after the time by which a Transaction Document states it must be done or, if the Transaction Document does not state a time, after 4.00 pm in the place where it is to be done; or</w:t>
      </w:r>
    </w:p>
    <w:p>
      <w:pPr>
        <w:spacing w:after="0" w:line="44" w:lineRule="exact"/>
        <w:rPr>
          <w:rFonts w:ascii="Arial" w:cs="Arial" w:eastAsia="Arial" w:hAnsi="Arial"/>
          <w:sz w:val="11"/>
          <w:szCs w:val="11"/>
          <w:color w:val="auto"/>
        </w:rPr>
      </w:pPr>
    </w:p>
    <w:p>
      <w:pPr>
        <w:ind w:left="1400" w:hanging="285"/>
        <w:spacing w:after="0"/>
        <w:tabs>
          <w:tab w:leader="none" w:pos="1400" w:val="left"/>
        </w:tabs>
        <w:numPr>
          <w:ilvl w:val="1"/>
          <w:numId w:val="225"/>
        </w:numPr>
        <w:rPr>
          <w:rFonts w:ascii="Arial" w:cs="Arial" w:eastAsia="Arial" w:hAnsi="Arial"/>
          <w:sz w:val="11"/>
          <w:szCs w:val="11"/>
          <w:color w:val="auto"/>
        </w:rPr>
      </w:pPr>
      <w:r>
        <w:rPr>
          <w:rFonts w:ascii="Arial" w:cs="Arial" w:eastAsia="Arial" w:hAnsi="Arial"/>
          <w:sz w:val="11"/>
          <w:szCs w:val="11"/>
          <w:color w:val="auto"/>
        </w:rPr>
        <w:t>on a day which is not a Business Day,</w:t>
      </w:r>
    </w:p>
    <w:p>
      <w:pPr>
        <w:spacing w:after="0" w:line="69"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it will be deemed to have been done at 9.00 am on the next Business Day.</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18.6</w:t>
        <w:tab/>
        <w:t>Confidentiality</w:t>
      </w:r>
    </w:p>
    <w:p>
      <w:pPr>
        <w:spacing w:after="0" w:line="47" w:lineRule="exact"/>
        <w:rPr>
          <w:sz w:val="20"/>
          <w:szCs w:val="20"/>
          <w:color w:val="auto"/>
        </w:rPr>
      </w:pPr>
    </w:p>
    <w:p>
      <w:pPr>
        <w:ind w:left="1080" w:right="640" w:hanging="280"/>
        <w:spacing w:after="0" w:line="256" w:lineRule="auto"/>
        <w:tabs>
          <w:tab w:leader="none" w:pos="1080" w:val="left"/>
        </w:tabs>
        <w:numPr>
          <w:ilvl w:val="0"/>
          <w:numId w:val="226"/>
        </w:numPr>
        <w:rPr>
          <w:rFonts w:ascii="Arial" w:cs="Arial" w:eastAsia="Arial" w:hAnsi="Arial"/>
          <w:sz w:val="11"/>
          <w:szCs w:val="11"/>
          <w:color w:val="auto"/>
        </w:rPr>
      </w:pPr>
      <w:r>
        <w:rPr>
          <w:rFonts w:ascii="Arial" w:cs="Arial" w:eastAsia="Arial" w:hAnsi="Arial"/>
          <w:sz w:val="11"/>
          <w:szCs w:val="11"/>
          <w:color w:val="auto"/>
        </w:rPr>
        <w:t>The Bank must keep any information or document relating to a Transaction Party confidential. However, the Bank may disclose to any person any information or document relating to a Transaction Party:</w:t>
      </w:r>
    </w:p>
    <w:p>
      <w:pPr>
        <w:spacing w:after="0" w:line="37" w:lineRule="exact"/>
        <w:rPr>
          <w:rFonts w:ascii="Arial" w:cs="Arial" w:eastAsia="Arial" w:hAnsi="Arial"/>
          <w:sz w:val="11"/>
          <w:szCs w:val="11"/>
          <w:color w:val="auto"/>
        </w:rPr>
      </w:pPr>
    </w:p>
    <w:p>
      <w:pPr>
        <w:ind w:left="1400" w:hanging="285"/>
        <w:spacing w:after="0"/>
        <w:tabs>
          <w:tab w:leader="none" w:pos="1400" w:val="left"/>
        </w:tabs>
        <w:numPr>
          <w:ilvl w:val="1"/>
          <w:numId w:val="226"/>
        </w:numPr>
        <w:rPr>
          <w:rFonts w:ascii="Arial" w:cs="Arial" w:eastAsia="Arial" w:hAnsi="Arial"/>
          <w:sz w:val="11"/>
          <w:szCs w:val="11"/>
          <w:color w:val="auto"/>
        </w:rPr>
      </w:pPr>
      <w:r>
        <w:rPr>
          <w:rFonts w:ascii="Arial" w:cs="Arial" w:eastAsia="Arial" w:hAnsi="Arial"/>
          <w:sz w:val="11"/>
          <w:szCs w:val="11"/>
          <w:color w:val="auto"/>
        </w:rPr>
        <w:t>where permitted in a Transaction Document;</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226"/>
        </w:numPr>
        <w:rPr>
          <w:rFonts w:ascii="Arial" w:cs="Arial" w:eastAsia="Arial" w:hAnsi="Arial"/>
          <w:sz w:val="11"/>
          <w:szCs w:val="11"/>
          <w:color w:val="auto"/>
        </w:rPr>
      </w:pPr>
      <w:r>
        <w:rPr>
          <w:rFonts w:ascii="Arial" w:cs="Arial" w:eastAsia="Arial" w:hAnsi="Arial"/>
          <w:sz w:val="11"/>
          <w:szCs w:val="11"/>
          <w:color w:val="auto"/>
        </w:rPr>
        <w:t>to another party to a Transaction Document;</w:t>
      </w:r>
    </w:p>
    <w:p>
      <w:pPr>
        <w:spacing w:after="0" w:line="68" w:lineRule="exact"/>
        <w:rPr>
          <w:rFonts w:ascii="Arial" w:cs="Arial" w:eastAsia="Arial" w:hAnsi="Arial"/>
          <w:sz w:val="11"/>
          <w:szCs w:val="11"/>
          <w:color w:val="auto"/>
        </w:rPr>
      </w:pPr>
    </w:p>
    <w:p>
      <w:pPr>
        <w:ind w:left="1400" w:right="80" w:hanging="285"/>
        <w:spacing w:after="0" w:line="256" w:lineRule="auto"/>
        <w:tabs>
          <w:tab w:leader="none" w:pos="1400" w:val="left"/>
        </w:tabs>
        <w:numPr>
          <w:ilvl w:val="1"/>
          <w:numId w:val="226"/>
        </w:numPr>
        <w:rPr>
          <w:rFonts w:ascii="Arial" w:cs="Arial" w:eastAsia="Arial" w:hAnsi="Arial"/>
          <w:sz w:val="11"/>
          <w:szCs w:val="11"/>
          <w:color w:val="auto"/>
        </w:rPr>
      </w:pPr>
      <w:r>
        <w:rPr>
          <w:rFonts w:ascii="Arial" w:cs="Arial" w:eastAsia="Arial" w:hAnsi="Arial"/>
          <w:sz w:val="11"/>
          <w:szCs w:val="11"/>
          <w:color w:val="auto"/>
        </w:rPr>
        <w:t>t o a potential transferee, assignee, participant or sub-participant of the Bank’s interests under a Transaction Document or t o any other person w h o is considering entering into contractual relations with it in connection with a Transaction Document;</w:t>
      </w:r>
    </w:p>
    <w:p>
      <w:pPr>
        <w:spacing w:after="0" w:line="22" w:lineRule="exact"/>
        <w:rPr>
          <w:rFonts w:ascii="Arial" w:cs="Arial" w:eastAsia="Arial" w:hAnsi="Arial"/>
          <w:sz w:val="11"/>
          <w:szCs w:val="11"/>
          <w:color w:val="auto"/>
        </w:rPr>
      </w:pPr>
    </w:p>
    <w:p>
      <w:pPr>
        <w:ind w:left="1400" w:right="100" w:hanging="285"/>
        <w:spacing w:after="0" w:line="256" w:lineRule="auto"/>
        <w:tabs>
          <w:tab w:leader="none" w:pos="1400" w:val="left"/>
        </w:tabs>
        <w:numPr>
          <w:ilvl w:val="1"/>
          <w:numId w:val="226"/>
        </w:numPr>
        <w:rPr>
          <w:rFonts w:ascii="Arial" w:cs="Arial" w:eastAsia="Arial" w:hAnsi="Arial"/>
          <w:sz w:val="11"/>
          <w:szCs w:val="11"/>
          <w:color w:val="auto"/>
        </w:rPr>
      </w:pPr>
      <w:r>
        <w:rPr>
          <w:rFonts w:ascii="Arial" w:cs="Arial" w:eastAsia="Arial" w:hAnsi="Arial"/>
          <w:sz w:val="11"/>
          <w:szCs w:val="11"/>
          <w:color w:val="auto"/>
        </w:rPr>
        <w:t>to the Bank’s related bodies corporate and shareholders, or to any employee, banker, lawyer, auditor or other consultant of the Bank, its related bodies corporate or its shareholders;</w:t>
      </w:r>
    </w:p>
    <w:p>
      <w:pPr>
        <w:spacing w:after="0" w:line="22" w:lineRule="exact"/>
        <w:rPr>
          <w:rFonts w:ascii="Arial" w:cs="Arial" w:eastAsia="Arial" w:hAnsi="Arial"/>
          <w:sz w:val="11"/>
          <w:szCs w:val="11"/>
          <w:color w:val="auto"/>
        </w:rPr>
      </w:pPr>
    </w:p>
    <w:p>
      <w:pPr>
        <w:ind w:left="1400" w:hanging="285"/>
        <w:spacing w:after="0"/>
        <w:tabs>
          <w:tab w:leader="none" w:pos="1400" w:val="left"/>
        </w:tabs>
        <w:numPr>
          <w:ilvl w:val="1"/>
          <w:numId w:val="226"/>
        </w:numPr>
        <w:rPr>
          <w:rFonts w:ascii="Arial" w:cs="Arial" w:eastAsia="Arial" w:hAnsi="Arial"/>
          <w:sz w:val="11"/>
          <w:szCs w:val="11"/>
          <w:color w:val="auto"/>
        </w:rPr>
      </w:pPr>
      <w:r>
        <w:rPr>
          <w:rFonts w:ascii="Arial" w:cs="Arial" w:eastAsia="Arial" w:hAnsi="Arial"/>
          <w:sz w:val="11"/>
          <w:szCs w:val="11"/>
          <w:color w:val="auto"/>
        </w:rPr>
        <w:t>to the professional advisers or consultants of any party involved in connection with any Facility who are bound by a duty or obligation of confidence;</w:t>
      </w:r>
    </w:p>
    <w:p>
      <w:pPr>
        <w:spacing w:after="0" w:line="61" w:lineRule="exact"/>
        <w:rPr>
          <w:rFonts w:ascii="Arial" w:cs="Arial" w:eastAsia="Arial" w:hAnsi="Arial"/>
          <w:sz w:val="11"/>
          <w:szCs w:val="11"/>
          <w:color w:val="auto"/>
        </w:rPr>
      </w:pPr>
    </w:p>
    <w:p>
      <w:pPr>
        <w:ind w:left="1400" w:hanging="285"/>
        <w:spacing w:after="0"/>
        <w:tabs>
          <w:tab w:leader="none" w:pos="1400" w:val="left"/>
        </w:tabs>
        <w:numPr>
          <w:ilvl w:val="1"/>
          <w:numId w:val="226"/>
        </w:numPr>
        <w:rPr>
          <w:rFonts w:ascii="Arial" w:cs="Arial" w:eastAsia="Arial" w:hAnsi="Arial"/>
          <w:sz w:val="11"/>
          <w:szCs w:val="11"/>
          <w:color w:val="auto"/>
        </w:rPr>
      </w:pPr>
      <w:r>
        <w:rPr>
          <w:rFonts w:ascii="Arial" w:cs="Arial" w:eastAsia="Arial" w:hAnsi="Arial"/>
          <w:sz w:val="11"/>
          <w:szCs w:val="11"/>
          <w:color w:val="auto"/>
        </w:rPr>
        <w:t>if required by law or by any Government Body or stock exchange;</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226"/>
        </w:numPr>
        <w:rPr>
          <w:rFonts w:ascii="Arial" w:cs="Arial" w:eastAsia="Arial" w:hAnsi="Arial"/>
          <w:sz w:val="11"/>
          <w:szCs w:val="11"/>
          <w:color w:val="auto"/>
        </w:rPr>
      </w:pPr>
      <w:r>
        <w:rPr>
          <w:rFonts w:ascii="Arial" w:cs="Arial" w:eastAsia="Arial" w:hAnsi="Arial"/>
          <w:sz w:val="11"/>
          <w:szCs w:val="11"/>
          <w:color w:val="auto"/>
        </w:rPr>
        <w:t>in connection with any legal proceedings relating to a Transaction Document or a document delivered under or in relation to a Transaction Document;</w:t>
      </w:r>
    </w:p>
    <w:p>
      <w:pPr>
        <w:spacing w:after="0" w:line="61" w:lineRule="exact"/>
        <w:rPr>
          <w:rFonts w:ascii="Arial" w:cs="Arial" w:eastAsia="Arial" w:hAnsi="Arial"/>
          <w:sz w:val="11"/>
          <w:szCs w:val="11"/>
          <w:color w:val="auto"/>
        </w:rPr>
      </w:pPr>
    </w:p>
    <w:p>
      <w:pPr>
        <w:ind w:left="1400" w:hanging="285"/>
        <w:spacing w:after="0"/>
        <w:tabs>
          <w:tab w:leader="none" w:pos="1400" w:val="left"/>
        </w:tabs>
        <w:numPr>
          <w:ilvl w:val="1"/>
          <w:numId w:val="226"/>
        </w:numPr>
        <w:rPr>
          <w:rFonts w:ascii="Arial" w:cs="Arial" w:eastAsia="Arial" w:hAnsi="Arial"/>
          <w:sz w:val="11"/>
          <w:szCs w:val="11"/>
          <w:color w:val="auto"/>
        </w:rPr>
      </w:pPr>
      <w:r>
        <w:rPr>
          <w:rFonts w:ascii="Arial" w:cs="Arial" w:eastAsia="Arial" w:hAnsi="Arial"/>
          <w:sz w:val="11"/>
          <w:szCs w:val="11"/>
          <w:color w:val="auto"/>
        </w:rPr>
        <w:t>if the information or document is in the public domain; or</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226"/>
        </w:numPr>
        <w:rPr>
          <w:rFonts w:ascii="Arial" w:cs="Arial" w:eastAsia="Arial" w:hAnsi="Arial"/>
          <w:sz w:val="11"/>
          <w:szCs w:val="11"/>
          <w:color w:val="auto"/>
        </w:rPr>
      </w:pPr>
      <w:r>
        <w:rPr>
          <w:rFonts w:ascii="Arial" w:cs="Arial" w:eastAsia="Arial" w:hAnsi="Arial"/>
          <w:sz w:val="11"/>
          <w:szCs w:val="11"/>
          <w:color w:val="auto"/>
        </w:rPr>
        <w:t>with the consent of the Borrower (which must not be unreasonably withheld or delayed).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70</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38" w:name="page139"/>
    <w:bookmarkEnd w:id="138"/>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80" w:hanging="280"/>
        <w:spacing w:after="0"/>
        <w:tabs>
          <w:tab w:leader="none" w:pos="1080" w:val="left"/>
        </w:tabs>
        <w:numPr>
          <w:ilvl w:val="0"/>
          <w:numId w:val="227"/>
        </w:numPr>
        <w:rPr>
          <w:rFonts w:ascii="Arial" w:cs="Arial" w:eastAsia="Arial" w:hAnsi="Arial"/>
          <w:sz w:val="11"/>
          <w:szCs w:val="11"/>
          <w:color w:val="auto"/>
        </w:rPr>
      </w:pPr>
      <w:r>
        <w:rPr>
          <w:rFonts w:ascii="Arial" w:cs="Arial" w:eastAsia="Arial" w:hAnsi="Arial"/>
          <w:sz w:val="11"/>
          <w:szCs w:val="11"/>
          <w:color w:val="auto"/>
        </w:rPr>
        <w:t xml:space="preserve">Subject to </w:t>
      </w:r>
      <w:r>
        <w:rPr>
          <w:rFonts w:ascii="Arial" w:cs="Arial" w:eastAsia="Arial" w:hAnsi="Arial"/>
          <w:sz w:val="11"/>
          <w:szCs w:val="11"/>
          <w:b w:val="1"/>
          <w:bCs w:val="1"/>
          <w:color w:val="auto"/>
        </w:rPr>
        <w:t>paragraph (c)</w:t>
      </w:r>
      <w:r>
        <w:rPr>
          <w:rFonts w:ascii="Arial" w:cs="Arial" w:eastAsia="Arial" w:hAnsi="Arial"/>
          <w:sz w:val="11"/>
          <w:szCs w:val="11"/>
          <w:color w:val="auto"/>
        </w:rPr>
        <w:t>, the Transaction Parties shall keep confidential and not disclose to any other person the terms of the Transaction Documents.</w:t>
      </w:r>
    </w:p>
    <w:p>
      <w:pPr>
        <w:spacing w:after="0" w:line="52" w:lineRule="exact"/>
        <w:rPr>
          <w:rFonts w:ascii="Arial" w:cs="Arial" w:eastAsia="Arial" w:hAnsi="Arial"/>
          <w:sz w:val="11"/>
          <w:szCs w:val="11"/>
          <w:color w:val="auto"/>
        </w:rPr>
      </w:pPr>
    </w:p>
    <w:p>
      <w:pPr>
        <w:ind w:left="1080" w:hanging="280"/>
        <w:spacing w:after="0"/>
        <w:tabs>
          <w:tab w:leader="none" w:pos="1080" w:val="left"/>
        </w:tabs>
        <w:numPr>
          <w:ilvl w:val="0"/>
          <w:numId w:val="227"/>
        </w:numPr>
        <w:rPr>
          <w:rFonts w:ascii="Arial" w:cs="Arial" w:eastAsia="Arial" w:hAnsi="Arial"/>
          <w:sz w:val="11"/>
          <w:szCs w:val="11"/>
          <w:color w:val="auto"/>
        </w:rPr>
      </w:pPr>
      <w:r>
        <w:rPr>
          <w:rFonts w:ascii="Arial" w:cs="Arial" w:eastAsia="Arial" w:hAnsi="Arial"/>
          <w:sz w:val="11"/>
          <w:szCs w:val="11"/>
          <w:color w:val="auto"/>
        </w:rPr>
        <w:t>However, the Transaction Parties and any officers or employees of each Transaction Party may disclose such information:</w:t>
      </w:r>
    </w:p>
    <w:p>
      <w:pPr>
        <w:spacing w:after="0" w:line="53" w:lineRule="exact"/>
        <w:rPr>
          <w:rFonts w:ascii="Arial" w:cs="Arial" w:eastAsia="Arial" w:hAnsi="Arial"/>
          <w:sz w:val="11"/>
          <w:szCs w:val="11"/>
          <w:color w:val="auto"/>
        </w:rPr>
      </w:pPr>
    </w:p>
    <w:p>
      <w:pPr>
        <w:ind w:left="1400" w:hanging="285"/>
        <w:spacing w:after="0"/>
        <w:tabs>
          <w:tab w:leader="none" w:pos="1400" w:val="left"/>
        </w:tabs>
        <w:numPr>
          <w:ilvl w:val="1"/>
          <w:numId w:val="227"/>
        </w:numPr>
        <w:rPr>
          <w:rFonts w:ascii="Arial" w:cs="Arial" w:eastAsia="Arial" w:hAnsi="Arial"/>
          <w:sz w:val="11"/>
          <w:szCs w:val="11"/>
          <w:color w:val="auto"/>
        </w:rPr>
      </w:pPr>
      <w:r>
        <w:rPr>
          <w:rFonts w:ascii="Arial" w:cs="Arial" w:eastAsia="Arial" w:hAnsi="Arial"/>
          <w:sz w:val="11"/>
          <w:szCs w:val="11"/>
          <w:color w:val="auto"/>
        </w:rPr>
        <w:t>with the prior written consent of the Bank;</w:t>
      </w:r>
    </w:p>
    <w:p>
      <w:pPr>
        <w:spacing w:after="0" w:line="76" w:lineRule="exact"/>
        <w:rPr>
          <w:rFonts w:ascii="Arial" w:cs="Arial" w:eastAsia="Arial" w:hAnsi="Arial"/>
          <w:sz w:val="11"/>
          <w:szCs w:val="11"/>
          <w:color w:val="auto"/>
        </w:rPr>
      </w:pPr>
    </w:p>
    <w:p>
      <w:pPr>
        <w:ind w:left="1400" w:hanging="285"/>
        <w:spacing w:after="0"/>
        <w:tabs>
          <w:tab w:leader="none" w:pos="1400" w:val="left"/>
        </w:tabs>
        <w:numPr>
          <w:ilvl w:val="1"/>
          <w:numId w:val="227"/>
        </w:numPr>
        <w:rPr>
          <w:rFonts w:ascii="Arial" w:cs="Arial" w:eastAsia="Arial" w:hAnsi="Arial"/>
          <w:sz w:val="11"/>
          <w:szCs w:val="11"/>
          <w:color w:val="auto"/>
        </w:rPr>
      </w:pPr>
      <w:r>
        <w:rPr>
          <w:rFonts w:ascii="Arial" w:cs="Arial" w:eastAsia="Arial" w:hAnsi="Arial"/>
          <w:sz w:val="11"/>
          <w:szCs w:val="11"/>
          <w:color w:val="auto"/>
        </w:rPr>
        <w:t>to the extent required by any applicable law or regulation;</w:t>
      </w:r>
    </w:p>
    <w:p>
      <w:pPr>
        <w:spacing w:after="0" w:line="62" w:lineRule="exact"/>
        <w:rPr>
          <w:rFonts w:ascii="Arial" w:cs="Arial" w:eastAsia="Arial" w:hAnsi="Arial"/>
          <w:sz w:val="11"/>
          <w:szCs w:val="11"/>
          <w:color w:val="auto"/>
        </w:rPr>
      </w:pPr>
    </w:p>
    <w:p>
      <w:pPr>
        <w:ind w:left="1400" w:hanging="285"/>
        <w:spacing w:after="0"/>
        <w:tabs>
          <w:tab w:leader="none" w:pos="1400" w:val="left"/>
        </w:tabs>
        <w:numPr>
          <w:ilvl w:val="1"/>
          <w:numId w:val="227"/>
        </w:numPr>
        <w:rPr>
          <w:rFonts w:ascii="Arial" w:cs="Arial" w:eastAsia="Arial" w:hAnsi="Arial"/>
          <w:sz w:val="11"/>
          <w:szCs w:val="11"/>
          <w:color w:val="auto"/>
        </w:rPr>
      </w:pPr>
      <w:r>
        <w:rPr>
          <w:rFonts w:ascii="Arial" w:cs="Arial" w:eastAsia="Arial" w:hAnsi="Arial"/>
          <w:sz w:val="11"/>
          <w:szCs w:val="11"/>
          <w:color w:val="auto"/>
        </w:rPr>
        <w:t xml:space="preserve">to the extent it reasonably deems necessary in connection with any actual or contemplated proceedings or a claim with respect to this </w:t>
      </w:r>
      <w:r>
        <w:rPr>
          <w:rFonts w:ascii="Arial" w:cs="Arial" w:eastAsia="Arial" w:hAnsi="Arial"/>
          <w:sz w:val="11"/>
          <w:szCs w:val="11"/>
          <w:b w:val="1"/>
          <w:bCs w:val="1"/>
          <w:color w:val="auto"/>
        </w:rPr>
        <w:t>clause 18.6</w:t>
      </w:r>
      <w:r>
        <w:rPr>
          <w:rFonts w:ascii="Arial" w:cs="Arial" w:eastAsia="Arial" w:hAnsi="Arial"/>
          <w:sz w:val="11"/>
          <w:szCs w:val="11"/>
          <w:color w:val="auto"/>
        </w:rPr>
        <w:t>; or</w:t>
      </w:r>
    </w:p>
    <w:p>
      <w:pPr>
        <w:spacing w:after="0" w:line="46" w:lineRule="exact"/>
        <w:rPr>
          <w:rFonts w:ascii="Arial" w:cs="Arial" w:eastAsia="Arial" w:hAnsi="Arial"/>
          <w:sz w:val="11"/>
          <w:szCs w:val="11"/>
          <w:color w:val="auto"/>
        </w:rPr>
      </w:pPr>
    </w:p>
    <w:p>
      <w:pPr>
        <w:ind w:left="1400" w:right="460" w:hanging="285"/>
        <w:spacing w:after="0" w:line="268" w:lineRule="auto"/>
        <w:tabs>
          <w:tab w:leader="none" w:pos="1400" w:val="left"/>
        </w:tabs>
        <w:numPr>
          <w:ilvl w:val="1"/>
          <w:numId w:val="227"/>
        </w:numPr>
        <w:rPr>
          <w:rFonts w:ascii="Arial" w:cs="Arial" w:eastAsia="Arial" w:hAnsi="Arial"/>
          <w:sz w:val="11"/>
          <w:szCs w:val="11"/>
          <w:color w:val="auto"/>
        </w:rPr>
      </w:pPr>
      <w:r>
        <w:rPr>
          <w:rFonts w:ascii="Arial" w:cs="Arial" w:eastAsia="Arial" w:hAnsi="Arial"/>
          <w:sz w:val="11"/>
          <w:szCs w:val="11"/>
          <w:color w:val="auto"/>
        </w:rPr>
        <w:t xml:space="preserve">to the extent permitted by </w:t>
      </w:r>
      <w:r>
        <w:rPr>
          <w:rFonts w:ascii="Arial" w:cs="Arial" w:eastAsia="Arial" w:hAnsi="Arial"/>
          <w:sz w:val="11"/>
          <w:szCs w:val="11"/>
          <w:b w:val="1"/>
          <w:bCs w:val="1"/>
          <w:color w:val="auto"/>
        </w:rPr>
        <w:t>clause 18.6(a)</w:t>
      </w:r>
      <w:r>
        <w:rPr>
          <w:rFonts w:ascii="Arial" w:cs="Arial" w:eastAsia="Arial" w:hAnsi="Arial"/>
          <w:sz w:val="11"/>
          <w:szCs w:val="11"/>
          <w:color w:val="auto"/>
        </w:rPr>
        <w:t xml:space="preserve"> (other than paragraph (iii)) as if each reference in that clause to the ‘Bank’ were to a ‘Transaction Party’ and each reference to the ‘Borrower’ were to the ‘Bank’; or</w:t>
      </w:r>
    </w:p>
    <w:p>
      <w:pPr>
        <w:spacing w:after="0" w:line="16" w:lineRule="exact"/>
        <w:rPr>
          <w:rFonts w:ascii="Arial" w:cs="Arial" w:eastAsia="Arial" w:hAnsi="Arial"/>
          <w:sz w:val="11"/>
          <w:szCs w:val="11"/>
          <w:color w:val="auto"/>
        </w:rPr>
      </w:pPr>
    </w:p>
    <w:p>
      <w:pPr>
        <w:ind w:left="1400" w:right="300" w:hanging="285"/>
        <w:spacing w:after="0" w:line="256" w:lineRule="auto"/>
        <w:tabs>
          <w:tab w:leader="none" w:pos="1400" w:val="left"/>
        </w:tabs>
        <w:numPr>
          <w:ilvl w:val="1"/>
          <w:numId w:val="227"/>
        </w:numPr>
        <w:rPr>
          <w:rFonts w:ascii="Arial" w:cs="Arial" w:eastAsia="Arial" w:hAnsi="Arial"/>
          <w:sz w:val="11"/>
          <w:szCs w:val="11"/>
          <w:color w:val="auto"/>
        </w:rPr>
      </w:pPr>
      <w:r>
        <w:rPr>
          <w:rFonts w:ascii="Arial" w:cs="Arial" w:eastAsia="Arial" w:hAnsi="Arial"/>
          <w:sz w:val="11"/>
          <w:szCs w:val="11"/>
          <w:color w:val="auto"/>
        </w:rPr>
        <w:t>Reading International, Inc. or any other holding company of a Transaction Party (who in turn may disclose such information to their officers or employees or to the extent required by any applicable law or regulation or rule of any stock exchange).</w:t>
      </w:r>
    </w:p>
    <w:p>
      <w:pPr>
        <w:spacing w:after="0" w:line="37" w:lineRule="exact"/>
        <w:rPr>
          <w:rFonts w:ascii="Arial" w:cs="Arial" w:eastAsia="Arial" w:hAnsi="Arial"/>
          <w:sz w:val="11"/>
          <w:szCs w:val="11"/>
          <w:color w:val="auto"/>
        </w:rPr>
      </w:pPr>
    </w:p>
    <w:p>
      <w:pPr>
        <w:ind w:left="1080" w:hanging="280"/>
        <w:spacing w:after="0"/>
        <w:tabs>
          <w:tab w:leader="none" w:pos="1080" w:val="left"/>
        </w:tabs>
        <w:numPr>
          <w:ilvl w:val="0"/>
          <w:numId w:val="227"/>
        </w:numPr>
        <w:rPr>
          <w:rFonts w:ascii="Arial" w:cs="Arial" w:eastAsia="Arial" w:hAnsi="Arial"/>
          <w:sz w:val="11"/>
          <w:szCs w:val="11"/>
          <w:color w:val="auto"/>
        </w:rPr>
      </w:pPr>
      <w:r>
        <w:rPr>
          <w:rFonts w:ascii="Arial" w:cs="Arial" w:eastAsia="Arial" w:hAnsi="Arial"/>
          <w:sz w:val="11"/>
          <w:szCs w:val="11"/>
          <w:color w:val="auto"/>
        </w:rPr>
        <w:t>The Bank and the Transaction Parties agree that:</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227"/>
        </w:numPr>
        <w:rPr>
          <w:rFonts w:ascii="Arial" w:cs="Arial" w:eastAsia="Arial" w:hAnsi="Arial"/>
          <w:sz w:val="11"/>
          <w:szCs w:val="11"/>
          <w:color w:val="auto"/>
        </w:rPr>
      </w:pPr>
      <w:r>
        <w:rPr>
          <w:rFonts w:ascii="Arial" w:cs="Arial" w:eastAsia="Arial" w:hAnsi="Arial"/>
          <w:sz w:val="11"/>
          <w:szCs w:val="11"/>
          <w:color w:val="auto"/>
        </w:rPr>
        <w:t>neither of them will disclose information of the kind mentioned in section 275(1) of the PPS Act; and</w:t>
      </w:r>
    </w:p>
    <w:p>
      <w:pPr>
        <w:spacing w:after="0" w:line="53" w:lineRule="exact"/>
        <w:rPr>
          <w:rFonts w:ascii="Arial" w:cs="Arial" w:eastAsia="Arial" w:hAnsi="Arial"/>
          <w:sz w:val="11"/>
          <w:szCs w:val="11"/>
          <w:color w:val="auto"/>
        </w:rPr>
      </w:pPr>
    </w:p>
    <w:p>
      <w:pPr>
        <w:ind w:left="1400" w:hanging="285"/>
        <w:spacing w:after="0"/>
        <w:tabs>
          <w:tab w:leader="none" w:pos="1400" w:val="left"/>
        </w:tabs>
        <w:numPr>
          <w:ilvl w:val="1"/>
          <w:numId w:val="227"/>
        </w:numPr>
        <w:rPr>
          <w:rFonts w:ascii="Arial" w:cs="Arial" w:eastAsia="Arial" w:hAnsi="Arial"/>
          <w:sz w:val="11"/>
          <w:szCs w:val="11"/>
          <w:color w:val="auto"/>
        </w:rPr>
      </w:pPr>
      <w:r>
        <w:rPr>
          <w:rFonts w:ascii="Arial" w:cs="Arial" w:eastAsia="Arial" w:hAnsi="Arial"/>
          <w:sz w:val="11"/>
          <w:szCs w:val="11"/>
          <w:color w:val="auto"/>
        </w:rPr>
        <w:t>this document does not create a Security Interest.</w:t>
      </w:r>
    </w:p>
    <w:p>
      <w:pPr>
        <w:spacing w:after="0" w:line="71" w:lineRule="exact"/>
        <w:rPr>
          <w:rFonts w:ascii="Arial" w:cs="Arial" w:eastAsia="Arial" w:hAnsi="Arial"/>
          <w:sz w:val="11"/>
          <w:szCs w:val="11"/>
          <w:color w:val="auto"/>
        </w:rPr>
      </w:pPr>
    </w:p>
    <w:p>
      <w:pPr>
        <w:ind w:left="1080" w:hanging="280"/>
        <w:spacing w:after="0"/>
        <w:tabs>
          <w:tab w:leader="none" w:pos="1080" w:val="left"/>
        </w:tabs>
        <w:numPr>
          <w:ilvl w:val="0"/>
          <w:numId w:val="227"/>
        </w:numPr>
        <w:rPr>
          <w:rFonts w:ascii="Arial" w:cs="Arial" w:eastAsia="Arial" w:hAnsi="Arial"/>
          <w:sz w:val="11"/>
          <w:szCs w:val="11"/>
          <w:color w:val="auto"/>
        </w:rPr>
      </w:pPr>
      <w:r>
        <w:rPr>
          <w:rFonts w:ascii="Arial" w:cs="Arial" w:eastAsia="Arial" w:hAnsi="Arial"/>
          <w:sz w:val="11"/>
          <w:szCs w:val="11"/>
          <w:color w:val="auto"/>
        </w:rPr>
        <w:t xml:space="preserve">This </w:t>
      </w:r>
      <w:r>
        <w:rPr>
          <w:rFonts w:ascii="Arial" w:cs="Arial" w:eastAsia="Arial" w:hAnsi="Arial"/>
          <w:sz w:val="11"/>
          <w:szCs w:val="11"/>
          <w:b w:val="1"/>
          <w:bCs w:val="1"/>
          <w:color w:val="auto"/>
        </w:rPr>
        <w:t>clause 18.6</w:t>
      </w:r>
      <w:r>
        <w:rPr>
          <w:rFonts w:ascii="Arial" w:cs="Arial" w:eastAsia="Arial" w:hAnsi="Arial"/>
          <w:sz w:val="11"/>
          <w:szCs w:val="11"/>
          <w:color w:val="auto"/>
        </w:rPr>
        <w:t xml:space="preserve"> survives the termination of this document.</w:t>
      </w:r>
    </w:p>
    <w:p>
      <w:pPr>
        <w:spacing w:after="0" w:line="65" w:lineRule="exact"/>
        <w:rPr>
          <w:rFonts w:ascii="Arial" w:cs="Arial" w:eastAsia="Arial" w:hAnsi="Arial"/>
          <w:sz w:val="11"/>
          <w:szCs w:val="11"/>
          <w:color w:val="auto"/>
        </w:rPr>
      </w:pPr>
    </w:p>
    <w:p>
      <w:pPr>
        <w:ind w:left="1080" w:hanging="280"/>
        <w:spacing w:after="0"/>
        <w:tabs>
          <w:tab w:leader="none" w:pos="1080" w:val="left"/>
        </w:tabs>
        <w:numPr>
          <w:ilvl w:val="0"/>
          <w:numId w:val="227"/>
        </w:numPr>
        <w:rPr>
          <w:rFonts w:ascii="Arial" w:cs="Arial" w:eastAsia="Arial" w:hAnsi="Arial"/>
          <w:sz w:val="11"/>
          <w:szCs w:val="11"/>
          <w:color w:val="auto"/>
        </w:rPr>
      </w:pPr>
      <w:r>
        <w:rPr>
          <w:rFonts w:ascii="Arial" w:cs="Arial" w:eastAsia="Arial" w:hAnsi="Arial"/>
          <w:sz w:val="11"/>
          <w:szCs w:val="11"/>
          <w:color w:val="auto"/>
        </w:rPr>
        <w:t>The Bank acknowledges that:</w:t>
      </w:r>
    </w:p>
    <w:p>
      <w:pPr>
        <w:spacing w:after="0" w:line="68" w:lineRule="exact"/>
        <w:rPr>
          <w:rFonts w:ascii="Arial" w:cs="Arial" w:eastAsia="Arial" w:hAnsi="Arial"/>
          <w:sz w:val="11"/>
          <w:szCs w:val="11"/>
          <w:color w:val="auto"/>
        </w:rPr>
      </w:pPr>
    </w:p>
    <w:p>
      <w:pPr>
        <w:ind w:left="1400" w:hanging="285"/>
        <w:spacing w:after="0"/>
        <w:tabs>
          <w:tab w:leader="none" w:pos="1400" w:val="left"/>
        </w:tabs>
        <w:numPr>
          <w:ilvl w:val="1"/>
          <w:numId w:val="227"/>
        </w:numPr>
        <w:rPr>
          <w:rFonts w:ascii="Arial" w:cs="Arial" w:eastAsia="Arial" w:hAnsi="Arial"/>
          <w:sz w:val="11"/>
          <w:szCs w:val="11"/>
          <w:color w:val="auto"/>
        </w:rPr>
      </w:pPr>
      <w:r>
        <w:rPr>
          <w:rFonts w:ascii="Arial" w:cs="Arial" w:eastAsia="Arial" w:hAnsi="Arial"/>
          <w:sz w:val="11"/>
          <w:szCs w:val="11"/>
          <w:color w:val="auto"/>
        </w:rPr>
        <w:t>information provided from time to time by the Transaction Parties to the Bank may constitute confidential non-public information; and</w:t>
      </w:r>
    </w:p>
    <w:p>
      <w:pPr>
        <w:spacing w:after="0" w:line="40" w:lineRule="exact"/>
        <w:rPr>
          <w:rFonts w:ascii="Arial" w:cs="Arial" w:eastAsia="Arial" w:hAnsi="Arial"/>
          <w:sz w:val="11"/>
          <w:szCs w:val="11"/>
          <w:color w:val="auto"/>
        </w:rPr>
      </w:pPr>
    </w:p>
    <w:p>
      <w:pPr>
        <w:ind w:left="1400" w:right="600" w:hanging="285"/>
        <w:spacing w:after="0" w:line="268" w:lineRule="auto"/>
        <w:tabs>
          <w:tab w:leader="none" w:pos="1400" w:val="left"/>
        </w:tabs>
        <w:numPr>
          <w:ilvl w:val="1"/>
          <w:numId w:val="227"/>
        </w:numPr>
        <w:rPr>
          <w:rFonts w:ascii="Arial" w:cs="Arial" w:eastAsia="Arial" w:hAnsi="Arial"/>
          <w:sz w:val="11"/>
          <w:szCs w:val="11"/>
          <w:color w:val="auto"/>
        </w:rPr>
      </w:pPr>
      <w:r>
        <w:rPr>
          <w:rFonts w:ascii="Arial" w:cs="Arial" w:eastAsia="Arial" w:hAnsi="Arial"/>
          <w:sz w:val="11"/>
          <w:szCs w:val="11"/>
          <w:color w:val="auto"/>
        </w:rPr>
        <w:t xml:space="preserve">trading in marketable securities of Reading International Inc while in possession of the information referred to </w:t>
      </w:r>
      <w:r>
        <w:rPr>
          <w:rFonts w:ascii="Arial" w:cs="Arial" w:eastAsia="Arial" w:hAnsi="Arial"/>
          <w:sz w:val="11"/>
          <w:szCs w:val="11"/>
          <w:b w:val="1"/>
          <w:bCs w:val="1"/>
          <w:color w:val="auto"/>
        </w:rPr>
        <w:t>clause 18.6(f)(i)</w:t>
      </w:r>
      <w:r>
        <w:rPr>
          <w:rFonts w:ascii="Arial" w:cs="Arial" w:eastAsia="Arial" w:hAnsi="Arial"/>
          <w:sz w:val="11"/>
          <w:szCs w:val="11"/>
          <w:color w:val="auto"/>
        </w:rPr>
        <w:t xml:space="preserve"> will violate United States' federal securities laws.</w:t>
      </w:r>
    </w:p>
    <w:p>
      <w:pPr>
        <w:spacing w:after="0" w:line="23" w:lineRule="exact"/>
        <w:rPr>
          <w:rFonts w:ascii="Arial" w:cs="Arial" w:eastAsia="Arial" w:hAnsi="Arial"/>
          <w:sz w:val="11"/>
          <w:szCs w:val="11"/>
          <w:color w:val="auto"/>
        </w:rPr>
      </w:pPr>
    </w:p>
    <w:p>
      <w:pPr>
        <w:ind w:left="1080" w:hanging="280"/>
        <w:spacing w:after="0"/>
        <w:tabs>
          <w:tab w:leader="none" w:pos="1080" w:val="left"/>
        </w:tabs>
        <w:numPr>
          <w:ilvl w:val="0"/>
          <w:numId w:val="227"/>
        </w:numPr>
        <w:rPr>
          <w:rFonts w:ascii="Arial" w:cs="Arial" w:eastAsia="Arial" w:hAnsi="Arial"/>
          <w:sz w:val="11"/>
          <w:szCs w:val="11"/>
          <w:color w:val="auto"/>
        </w:rPr>
      </w:pPr>
      <w:r>
        <w:rPr>
          <w:rFonts w:ascii="Arial" w:cs="Arial" w:eastAsia="Arial" w:hAnsi="Arial"/>
          <w:sz w:val="11"/>
          <w:szCs w:val="11"/>
          <w:color w:val="auto"/>
        </w:rPr>
        <w:t>The Bank agrees to:</w:t>
      </w:r>
    </w:p>
    <w:p>
      <w:pPr>
        <w:spacing w:after="0" w:line="62" w:lineRule="exact"/>
        <w:rPr>
          <w:rFonts w:ascii="Arial" w:cs="Arial" w:eastAsia="Arial" w:hAnsi="Arial"/>
          <w:sz w:val="11"/>
          <w:szCs w:val="11"/>
          <w:color w:val="auto"/>
        </w:rPr>
      </w:pPr>
    </w:p>
    <w:p>
      <w:pPr>
        <w:ind w:left="1400" w:hanging="285"/>
        <w:spacing w:after="0"/>
        <w:tabs>
          <w:tab w:leader="none" w:pos="1400" w:val="left"/>
        </w:tabs>
        <w:numPr>
          <w:ilvl w:val="1"/>
          <w:numId w:val="227"/>
        </w:numPr>
        <w:rPr>
          <w:rFonts w:ascii="Arial" w:cs="Arial" w:eastAsia="Arial" w:hAnsi="Arial"/>
          <w:sz w:val="11"/>
          <w:szCs w:val="11"/>
          <w:color w:val="auto"/>
        </w:rPr>
      </w:pPr>
      <w:r>
        <w:rPr>
          <w:rFonts w:ascii="Arial" w:cs="Arial" w:eastAsia="Arial" w:hAnsi="Arial"/>
          <w:sz w:val="11"/>
          <w:szCs w:val="11"/>
          <w:color w:val="auto"/>
        </w:rPr>
        <w:t xml:space="preserve">take reasonable precautions to maintain the confidentiality of the information referred to in </w:t>
      </w:r>
      <w:r>
        <w:rPr>
          <w:rFonts w:ascii="Arial" w:cs="Arial" w:eastAsia="Arial" w:hAnsi="Arial"/>
          <w:sz w:val="11"/>
          <w:szCs w:val="11"/>
          <w:b w:val="1"/>
          <w:bCs w:val="1"/>
          <w:color w:val="auto"/>
        </w:rPr>
        <w:t>clause 18.6(f)(i)</w:t>
      </w:r>
      <w:r>
        <w:rPr>
          <w:rFonts w:ascii="Arial" w:cs="Arial" w:eastAsia="Arial" w:hAnsi="Arial"/>
          <w:sz w:val="11"/>
          <w:szCs w:val="11"/>
          <w:color w:val="auto"/>
        </w:rPr>
        <w:t>; and</w:t>
      </w:r>
    </w:p>
    <w:p>
      <w:pPr>
        <w:spacing w:after="0" w:line="46" w:lineRule="exact"/>
        <w:rPr>
          <w:rFonts w:ascii="Arial" w:cs="Arial" w:eastAsia="Arial" w:hAnsi="Arial"/>
          <w:sz w:val="11"/>
          <w:szCs w:val="11"/>
          <w:color w:val="auto"/>
        </w:rPr>
      </w:pPr>
    </w:p>
    <w:p>
      <w:pPr>
        <w:ind w:left="1400" w:right="960" w:hanging="285"/>
        <w:spacing w:after="0" w:line="268" w:lineRule="auto"/>
        <w:tabs>
          <w:tab w:leader="none" w:pos="1400" w:val="left"/>
        </w:tabs>
        <w:numPr>
          <w:ilvl w:val="1"/>
          <w:numId w:val="227"/>
        </w:numPr>
        <w:rPr>
          <w:rFonts w:ascii="Arial" w:cs="Arial" w:eastAsia="Arial" w:hAnsi="Arial"/>
          <w:sz w:val="11"/>
          <w:szCs w:val="11"/>
          <w:color w:val="auto"/>
        </w:rPr>
      </w:pPr>
      <w:r>
        <w:rPr>
          <w:rFonts w:ascii="Arial" w:cs="Arial" w:eastAsia="Arial" w:hAnsi="Arial"/>
          <w:sz w:val="11"/>
          <w:szCs w:val="11"/>
          <w:color w:val="auto"/>
        </w:rPr>
        <w:t xml:space="preserve">advise any party to whom the information referred to in </w:t>
      </w:r>
      <w:r>
        <w:rPr>
          <w:rFonts w:ascii="Arial" w:cs="Arial" w:eastAsia="Arial" w:hAnsi="Arial"/>
          <w:sz w:val="11"/>
          <w:szCs w:val="11"/>
          <w:b w:val="1"/>
          <w:bCs w:val="1"/>
          <w:color w:val="auto"/>
        </w:rPr>
        <w:t>clause 18.6(f)(i)</w:t>
      </w:r>
      <w:r>
        <w:rPr>
          <w:rFonts w:ascii="Arial" w:cs="Arial" w:eastAsia="Arial" w:hAnsi="Arial"/>
          <w:sz w:val="11"/>
          <w:szCs w:val="11"/>
          <w:color w:val="auto"/>
        </w:rPr>
        <w:t xml:space="preserve"> is disclosed that it may not trade in the marketable securities of Reading International Inc while in the possession of such information.</w:t>
      </w:r>
    </w:p>
    <w:p>
      <w:pPr>
        <w:spacing w:after="0" w:line="10" w:lineRule="exact"/>
        <w:rPr>
          <w:rFonts w:ascii="Arial" w:cs="Arial" w:eastAsia="Arial" w:hAnsi="Arial"/>
          <w:sz w:val="11"/>
          <w:szCs w:val="11"/>
          <w:color w:val="auto"/>
        </w:rPr>
      </w:pPr>
    </w:p>
    <w:p>
      <w:pPr>
        <w:ind w:left="1080" w:hanging="280"/>
        <w:spacing w:after="0"/>
        <w:tabs>
          <w:tab w:leader="none" w:pos="1080" w:val="left"/>
        </w:tabs>
        <w:numPr>
          <w:ilvl w:val="0"/>
          <w:numId w:val="227"/>
        </w:numPr>
        <w:rPr>
          <w:rFonts w:ascii="Arial" w:cs="Arial" w:eastAsia="Arial" w:hAnsi="Arial"/>
          <w:sz w:val="11"/>
          <w:szCs w:val="11"/>
          <w:color w:val="auto"/>
        </w:rPr>
      </w:pPr>
      <w:r>
        <w:rPr>
          <w:rFonts w:ascii="Arial" w:cs="Arial" w:eastAsia="Arial" w:hAnsi="Arial"/>
          <w:sz w:val="11"/>
          <w:szCs w:val="11"/>
          <w:color w:val="auto"/>
        </w:rPr>
        <w:t xml:space="preserve">This </w:t>
      </w:r>
      <w:r>
        <w:rPr>
          <w:rFonts w:ascii="Arial" w:cs="Arial" w:eastAsia="Arial" w:hAnsi="Arial"/>
          <w:sz w:val="11"/>
          <w:szCs w:val="11"/>
          <w:b w:val="1"/>
          <w:bCs w:val="1"/>
          <w:color w:val="auto"/>
        </w:rPr>
        <w:t>clause 18.6</w:t>
      </w:r>
      <w:r>
        <w:rPr>
          <w:rFonts w:ascii="Arial" w:cs="Arial" w:eastAsia="Arial" w:hAnsi="Arial"/>
          <w:sz w:val="11"/>
          <w:szCs w:val="11"/>
          <w:color w:val="auto"/>
        </w:rPr>
        <w:t xml:space="preserve"> will not be deemed to restrict the provision of information by any party to the Internal Revenue Service of the United States of America.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71</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39" w:name="page140"/>
    <w:bookmarkEnd w:id="139"/>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8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18.7</w:t>
        <w:tab/>
        <w:t>Exchange rate</w:t>
      </w:r>
    </w:p>
    <w:p>
      <w:pPr>
        <w:spacing w:after="0" w:line="47" w:lineRule="exact"/>
        <w:rPr>
          <w:sz w:val="20"/>
          <w:szCs w:val="20"/>
          <w:color w:val="auto"/>
        </w:rPr>
      </w:pPr>
    </w:p>
    <w:p>
      <w:pPr>
        <w:ind w:left="840" w:right="180"/>
        <w:spacing w:after="0" w:line="256" w:lineRule="auto"/>
        <w:rPr>
          <w:sz w:val="20"/>
          <w:szCs w:val="20"/>
          <w:color w:val="auto"/>
        </w:rPr>
      </w:pPr>
      <w:r>
        <w:rPr>
          <w:rFonts w:ascii="Arial" w:cs="Arial" w:eastAsia="Arial" w:hAnsi="Arial"/>
          <w:sz w:val="11"/>
          <w:szCs w:val="11"/>
          <w:color w:val="auto"/>
        </w:rPr>
        <w:t>Subject to any express provision to the contrary, if for the purposes of a Transaction Document it is necessary to convert one currency into another currency, the conversion must be effected using an exchange rate selected by the Bank acting reasonably and in accordance with it usual practices.</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18.8</w:t>
        <w:tab/>
        <w:t>Records as evidence</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Bank may maintain records specifying:</w:t>
      </w:r>
    </w:p>
    <w:p>
      <w:pPr>
        <w:spacing w:after="0" w:line="69" w:lineRule="exact"/>
        <w:rPr>
          <w:sz w:val="20"/>
          <w:szCs w:val="20"/>
          <w:color w:val="auto"/>
        </w:rPr>
      </w:pPr>
    </w:p>
    <w:p>
      <w:pPr>
        <w:ind w:left="1080" w:hanging="280"/>
        <w:spacing w:after="0"/>
        <w:tabs>
          <w:tab w:leader="none" w:pos="1080" w:val="left"/>
        </w:tabs>
        <w:numPr>
          <w:ilvl w:val="0"/>
          <w:numId w:val="228"/>
        </w:numPr>
        <w:rPr>
          <w:rFonts w:ascii="Arial" w:cs="Arial" w:eastAsia="Arial" w:hAnsi="Arial"/>
          <w:sz w:val="11"/>
          <w:szCs w:val="11"/>
          <w:color w:val="auto"/>
        </w:rPr>
      </w:pPr>
      <w:r>
        <w:rPr>
          <w:rFonts w:ascii="Arial" w:cs="Arial" w:eastAsia="Arial" w:hAnsi="Arial"/>
          <w:sz w:val="11"/>
          <w:szCs w:val="11"/>
          <w:color w:val="auto"/>
        </w:rPr>
        <w:t>payments made by the Bank for the account of a Transaction Party under a Transaction Document;</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228"/>
        </w:numPr>
        <w:rPr>
          <w:rFonts w:ascii="Arial" w:cs="Arial" w:eastAsia="Arial" w:hAnsi="Arial"/>
          <w:sz w:val="11"/>
          <w:szCs w:val="11"/>
          <w:color w:val="auto"/>
        </w:rPr>
      </w:pPr>
      <w:r>
        <w:rPr>
          <w:rFonts w:ascii="Arial" w:cs="Arial" w:eastAsia="Arial" w:hAnsi="Arial"/>
          <w:sz w:val="11"/>
          <w:szCs w:val="11"/>
          <w:color w:val="auto"/>
        </w:rPr>
        <w:t>payments by a Transaction Party for the account of the Bank under a Transaction Document; and</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228"/>
        </w:numPr>
        <w:rPr>
          <w:rFonts w:ascii="Arial" w:cs="Arial" w:eastAsia="Arial" w:hAnsi="Arial"/>
          <w:sz w:val="11"/>
          <w:szCs w:val="11"/>
          <w:color w:val="auto"/>
        </w:rPr>
      </w:pPr>
      <w:r>
        <w:rPr>
          <w:rFonts w:ascii="Arial" w:cs="Arial" w:eastAsia="Arial" w:hAnsi="Arial"/>
          <w:sz w:val="11"/>
          <w:szCs w:val="11"/>
          <w:color w:val="auto"/>
        </w:rPr>
        <w:t>interest, fees, charges, costs and expenses payable in relation to the Transaction Documents,</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and those records will against the Borrower constitute prima facie evidence of the matters set out in them.</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18.9</w:t>
        <w:tab/>
        <w:t>Further assurances</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Borrower must promptly execute all documents and do all things that the Bank from time to time reasonably requires to:</w:t>
      </w:r>
    </w:p>
    <w:p>
      <w:pPr>
        <w:spacing w:after="0" w:line="46" w:lineRule="exact"/>
        <w:rPr>
          <w:sz w:val="20"/>
          <w:szCs w:val="20"/>
          <w:color w:val="auto"/>
        </w:rPr>
      </w:pPr>
    </w:p>
    <w:p>
      <w:pPr>
        <w:ind w:left="1080" w:hanging="280"/>
        <w:spacing w:after="0"/>
        <w:tabs>
          <w:tab w:leader="none" w:pos="1080" w:val="left"/>
        </w:tabs>
        <w:numPr>
          <w:ilvl w:val="0"/>
          <w:numId w:val="229"/>
        </w:numPr>
        <w:rPr>
          <w:rFonts w:ascii="Arial" w:cs="Arial" w:eastAsia="Arial" w:hAnsi="Arial"/>
          <w:sz w:val="11"/>
          <w:szCs w:val="11"/>
          <w:color w:val="auto"/>
        </w:rPr>
      </w:pPr>
      <w:r>
        <w:rPr>
          <w:rFonts w:ascii="Arial" w:cs="Arial" w:eastAsia="Arial" w:hAnsi="Arial"/>
          <w:sz w:val="11"/>
          <w:szCs w:val="11"/>
          <w:color w:val="auto"/>
        </w:rPr>
        <w:t>effect, perfect or complete the provisions of each Transaction Document or any transaction contemplated by it;</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229"/>
        </w:numPr>
        <w:rPr>
          <w:rFonts w:ascii="Arial" w:cs="Arial" w:eastAsia="Arial" w:hAnsi="Arial"/>
          <w:sz w:val="11"/>
          <w:szCs w:val="11"/>
          <w:color w:val="auto"/>
        </w:rPr>
      </w:pPr>
      <w:r>
        <w:rPr>
          <w:rFonts w:ascii="Arial" w:cs="Arial" w:eastAsia="Arial" w:hAnsi="Arial"/>
          <w:sz w:val="11"/>
          <w:szCs w:val="11"/>
          <w:color w:val="auto"/>
        </w:rPr>
        <w:t>establish the priority of or reserve or create any Security Interest contemplated by or purported to be reserved or created by a Transaction Document; and</w:t>
      </w:r>
    </w:p>
    <w:p>
      <w:pPr>
        <w:spacing w:after="0" w:line="46" w:lineRule="exact"/>
        <w:rPr>
          <w:rFonts w:ascii="Arial" w:cs="Arial" w:eastAsia="Arial" w:hAnsi="Arial"/>
          <w:sz w:val="11"/>
          <w:szCs w:val="11"/>
          <w:color w:val="auto"/>
        </w:rPr>
      </w:pPr>
    </w:p>
    <w:p>
      <w:pPr>
        <w:ind w:left="1080" w:hanging="280"/>
        <w:spacing w:after="0"/>
        <w:tabs>
          <w:tab w:leader="none" w:pos="1080" w:val="left"/>
        </w:tabs>
        <w:numPr>
          <w:ilvl w:val="0"/>
          <w:numId w:val="229"/>
        </w:numPr>
        <w:rPr>
          <w:rFonts w:ascii="Arial" w:cs="Arial" w:eastAsia="Arial" w:hAnsi="Arial"/>
          <w:sz w:val="11"/>
          <w:szCs w:val="11"/>
          <w:color w:val="auto"/>
        </w:rPr>
      </w:pPr>
      <w:r>
        <w:rPr>
          <w:rFonts w:ascii="Arial" w:cs="Arial" w:eastAsia="Arial" w:hAnsi="Arial"/>
          <w:sz w:val="11"/>
          <w:szCs w:val="11"/>
          <w:color w:val="auto"/>
        </w:rPr>
        <w:t>stamp and register each Transaction Document in any relevant jurisdiction and by any person that the Bank thinks fit.</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18.10</w:t>
        <w:tab/>
        <w:t>Amendment</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This document may only be varied or replaced by a document executed by the parties.</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18.11</w:t>
      </w:r>
      <w:r>
        <w:rPr>
          <w:sz w:val="20"/>
          <w:szCs w:val="20"/>
          <w:color w:val="auto"/>
        </w:rPr>
        <w:tab/>
      </w:r>
      <w:r>
        <w:rPr>
          <w:rFonts w:ascii="Arial" w:cs="Arial" w:eastAsia="Arial" w:hAnsi="Arial"/>
          <w:sz w:val="11"/>
          <w:szCs w:val="11"/>
          <w:b w:val="1"/>
          <w:bCs w:val="1"/>
          <w:color w:val="auto"/>
        </w:rPr>
        <w:t>Waiver and exercise of rights</w:t>
      </w:r>
    </w:p>
    <w:p>
      <w:pPr>
        <w:spacing w:after="0" w:line="47" w:lineRule="exact"/>
        <w:rPr>
          <w:sz w:val="20"/>
          <w:szCs w:val="20"/>
          <w:color w:val="auto"/>
        </w:rPr>
      </w:pPr>
    </w:p>
    <w:p>
      <w:pPr>
        <w:ind w:left="1080" w:right="280" w:hanging="280"/>
        <w:spacing w:after="0" w:line="256" w:lineRule="auto"/>
        <w:tabs>
          <w:tab w:leader="none" w:pos="1080" w:val="left"/>
        </w:tabs>
        <w:numPr>
          <w:ilvl w:val="0"/>
          <w:numId w:val="230"/>
        </w:numPr>
        <w:rPr>
          <w:rFonts w:ascii="Arial" w:cs="Arial" w:eastAsia="Arial" w:hAnsi="Arial"/>
          <w:sz w:val="11"/>
          <w:szCs w:val="11"/>
          <w:color w:val="auto"/>
        </w:rPr>
      </w:pPr>
      <w:r>
        <w:rPr>
          <w:rFonts w:ascii="Arial" w:cs="Arial" w:eastAsia="Arial" w:hAnsi="Arial"/>
          <w:sz w:val="11"/>
          <w:szCs w:val="11"/>
          <w:color w:val="auto"/>
        </w:rPr>
        <w:t>A right in favour of the Bank under a Transaction Document, a breach of an obligation of the Borrower under a Transaction Document or an Event of Default can only be waived by an instrument signed by the Bank. No other act, omission or delay of the Bank constitutes a waiver binding, or estoppel against, the Bank.</w:t>
      </w:r>
    </w:p>
    <w:p>
      <w:pPr>
        <w:spacing w:after="0" w:line="22" w:lineRule="exact"/>
        <w:rPr>
          <w:rFonts w:ascii="Arial" w:cs="Arial" w:eastAsia="Arial" w:hAnsi="Arial"/>
          <w:sz w:val="11"/>
          <w:szCs w:val="11"/>
          <w:color w:val="auto"/>
        </w:rPr>
      </w:pPr>
    </w:p>
    <w:p>
      <w:pPr>
        <w:ind w:left="1080" w:right="180" w:hanging="280"/>
        <w:spacing w:after="0" w:line="256" w:lineRule="auto"/>
        <w:tabs>
          <w:tab w:leader="none" w:pos="1080" w:val="left"/>
        </w:tabs>
        <w:numPr>
          <w:ilvl w:val="0"/>
          <w:numId w:val="230"/>
        </w:numPr>
        <w:rPr>
          <w:rFonts w:ascii="Arial" w:cs="Arial" w:eastAsia="Arial" w:hAnsi="Arial"/>
          <w:sz w:val="11"/>
          <w:szCs w:val="11"/>
          <w:color w:val="auto"/>
        </w:rPr>
      </w:pPr>
      <w:r>
        <w:rPr>
          <w:rFonts w:ascii="Arial" w:cs="Arial" w:eastAsia="Arial" w:hAnsi="Arial"/>
          <w:sz w:val="11"/>
          <w:szCs w:val="11"/>
          <w:color w:val="auto"/>
        </w:rPr>
        <w:t>A single or partial exercise or waiver by the Bank of a right relating to a Transaction Document does not prevent any other exercise of that right or the exercise of any other right.</w:t>
      </w:r>
    </w:p>
    <w:p>
      <w:pPr>
        <w:spacing w:after="0" w:line="30" w:lineRule="exact"/>
        <w:rPr>
          <w:rFonts w:ascii="Arial" w:cs="Arial" w:eastAsia="Arial" w:hAnsi="Arial"/>
          <w:sz w:val="11"/>
          <w:szCs w:val="11"/>
          <w:color w:val="auto"/>
        </w:rPr>
      </w:pPr>
    </w:p>
    <w:p>
      <w:pPr>
        <w:ind w:left="1080" w:right="860" w:hanging="280"/>
        <w:spacing w:after="0" w:line="256" w:lineRule="auto"/>
        <w:tabs>
          <w:tab w:leader="none" w:pos="1080" w:val="left"/>
        </w:tabs>
        <w:numPr>
          <w:ilvl w:val="0"/>
          <w:numId w:val="230"/>
        </w:numPr>
        <w:rPr>
          <w:rFonts w:ascii="Arial" w:cs="Arial" w:eastAsia="Arial" w:hAnsi="Arial"/>
          <w:sz w:val="11"/>
          <w:szCs w:val="11"/>
          <w:color w:val="auto"/>
        </w:rPr>
      </w:pPr>
      <w:r>
        <w:rPr>
          <w:rFonts w:ascii="Arial" w:cs="Arial" w:eastAsia="Arial" w:hAnsi="Arial"/>
          <w:sz w:val="11"/>
          <w:szCs w:val="11"/>
          <w:color w:val="auto"/>
        </w:rPr>
        <w:t>The Bank and its Representatives are not liable for any loss, cost or expense of the Borrower caused or contributed to by the waiver, exercise, attempted exercise, failure to exercise or delay in the exercise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72</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40" w:name="page141"/>
    <w:bookmarkEnd w:id="140"/>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 xml:space="preserve">of a right and the Bank holds the benefit of this </w:t>
      </w:r>
      <w:r>
        <w:rPr>
          <w:rFonts w:ascii="Arial" w:cs="Arial" w:eastAsia="Arial" w:hAnsi="Arial"/>
          <w:sz w:val="11"/>
          <w:szCs w:val="11"/>
          <w:b w:val="1"/>
          <w:bCs w:val="1"/>
          <w:color w:val="auto"/>
        </w:rPr>
        <w:t>clause 18.11</w:t>
      </w:r>
      <w:r>
        <w:rPr>
          <w:rFonts w:ascii="Arial" w:cs="Arial" w:eastAsia="Arial" w:hAnsi="Arial"/>
          <w:sz w:val="11"/>
          <w:szCs w:val="11"/>
          <w:color w:val="auto"/>
        </w:rPr>
        <w:t xml:space="preserve"> on trust for itself and its Representatives.</w:t>
      </w:r>
    </w:p>
    <w:p>
      <w:pPr>
        <w:spacing w:after="0" w:line="84"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18.12</w:t>
        <w:tab/>
        <w:t>Rights cumulative</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rights of the Bank under the Transaction Documents are cumulative and in addition to its other rights.</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18.13</w:t>
      </w:r>
      <w:r>
        <w:rPr>
          <w:sz w:val="20"/>
          <w:szCs w:val="20"/>
          <w:color w:val="auto"/>
        </w:rPr>
        <w:tab/>
      </w:r>
      <w:r>
        <w:rPr>
          <w:rFonts w:ascii="Arial" w:cs="Arial" w:eastAsia="Arial" w:hAnsi="Arial"/>
          <w:sz w:val="11"/>
          <w:szCs w:val="11"/>
          <w:b w:val="1"/>
          <w:bCs w:val="1"/>
          <w:color w:val="auto"/>
        </w:rPr>
        <w:t>Approval and consent</w:t>
      </w:r>
    </w:p>
    <w:p>
      <w:pPr>
        <w:spacing w:after="0" w:line="47" w:lineRule="exact"/>
        <w:rPr>
          <w:sz w:val="20"/>
          <w:szCs w:val="20"/>
          <w:color w:val="auto"/>
        </w:rPr>
      </w:pPr>
    </w:p>
    <w:p>
      <w:pPr>
        <w:ind w:left="840" w:right="520"/>
        <w:spacing w:after="0" w:line="256" w:lineRule="auto"/>
        <w:rPr>
          <w:sz w:val="20"/>
          <w:szCs w:val="20"/>
          <w:color w:val="auto"/>
        </w:rPr>
      </w:pPr>
      <w:r>
        <w:rPr>
          <w:rFonts w:ascii="Arial" w:cs="Arial" w:eastAsia="Arial" w:hAnsi="Arial"/>
          <w:sz w:val="11"/>
          <w:szCs w:val="11"/>
          <w:color w:val="auto"/>
        </w:rPr>
        <w:t>Except where a Transaction Document expressly provides otherwise, the Bank may conditionally or unconditionally give or withhold any consent under a Transaction Document and is not obliged to give its reasons for doing so.</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18.14</w:t>
        <w:tab/>
        <w:t>Assignment</w:t>
      </w:r>
    </w:p>
    <w:p>
      <w:pPr>
        <w:spacing w:after="0" w:line="47" w:lineRule="exact"/>
        <w:rPr>
          <w:sz w:val="20"/>
          <w:szCs w:val="20"/>
          <w:color w:val="auto"/>
        </w:rPr>
      </w:pPr>
    </w:p>
    <w:p>
      <w:pPr>
        <w:ind w:left="1080" w:hanging="280"/>
        <w:spacing w:after="0"/>
        <w:tabs>
          <w:tab w:leader="none" w:pos="1080" w:val="left"/>
        </w:tabs>
        <w:numPr>
          <w:ilvl w:val="0"/>
          <w:numId w:val="231"/>
        </w:numPr>
        <w:rPr>
          <w:rFonts w:ascii="Arial" w:cs="Arial" w:eastAsia="Arial" w:hAnsi="Arial"/>
          <w:sz w:val="11"/>
          <w:szCs w:val="11"/>
          <w:color w:val="auto"/>
        </w:rPr>
      </w:pPr>
      <w:r>
        <w:rPr>
          <w:rFonts w:ascii="Arial" w:cs="Arial" w:eastAsia="Arial" w:hAnsi="Arial"/>
          <w:sz w:val="11"/>
          <w:szCs w:val="11"/>
          <w:color w:val="auto"/>
        </w:rPr>
        <w:t>The Borrower must not dispose of or Encumber any right under the Transaction Documents without the consent of the Bank.</w:t>
      </w:r>
    </w:p>
    <w:p>
      <w:pPr>
        <w:spacing w:after="0" w:line="46" w:lineRule="exact"/>
        <w:rPr>
          <w:rFonts w:ascii="Arial" w:cs="Arial" w:eastAsia="Arial" w:hAnsi="Arial"/>
          <w:sz w:val="11"/>
          <w:szCs w:val="11"/>
          <w:color w:val="auto"/>
        </w:rPr>
      </w:pPr>
    </w:p>
    <w:p>
      <w:pPr>
        <w:ind w:left="1080" w:right="320" w:hanging="280"/>
        <w:spacing w:after="0" w:line="256" w:lineRule="auto"/>
        <w:tabs>
          <w:tab w:leader="none" w:pos="1080" w:val="left"/>
        </w:tabs>
        <w:numPr>
          <w:ilvl w:val="0"/>
          <w:numId w:val="231"/>
        </w:numPr>
        <w:rPr>
          <w:rFonts w:ascii="Arial" w:cs="Arial" w:eastAsia="Arial" w:hAnsi="Arial"/>
          <w:sz w:val="11"/>
          <w:szCs w:val="11"/>
          <w:color w:val="auto"/>
        </w:rPr>
      </w:pPr>
      <w:r>
        <w:rPr>
          <w:rFonts w:ascii="Arial" w:cs="Arial" w:eastAsia="Arial" w:hAnsi="Arial"/>
          <w:sz w:val="11"/>
          <w:szCs w:val="11"/>
          <w:color w:val="auto"/>
        </w:rPr>
        <w:t>The Bank may assign any of its rights or novate, sub-participate, sell- down or transfer by whatever form or otherwise deal with any or all of its rights and obligations under any Transaction Document without the consent of, or notice to, the Borrower.</w:t>
      </w:r>
    </w:p>
    <w:p>
      <w:pPr>
        <w:spacing w:after="0" w:line="22" w:lineRule="exact"/>
        <w:rPr>
          <w:rFonts w:ascii="Arial" w:cs="Arial" w:eastAsia="Arial" w:hAnsi="Arial"/>
          <w:sz w:val="11"/>
          <w:szCs w:val="11"/>
          <w:color w:val="auto"/>
        </w:rPr>
      </w:pPr>
    </w:p>
    <w:p>
      <w:pPr>
        <w:ind w:left="1080" w:right="180" w:hanging="280"/>
        <w:spacing w:after="0" w:line="235" w:lineRule="auto"/>
        <w:tabs>
          <w:tab w:leader="none" w:pos="1080" w:val="left"/>
        </w:tabs>
        <w:numPr>
          <w:ilvl w:val="0"/>
          <w:numId w:val="231"/>
        </w:numPr>
        <w:rPr>
          <w:rFonts w:ascii="Arial" w:cs="Arial" w:eastAsia="Arial" w:hAnsi="Arial"/>
          <w:sz w:val="11"/>
          <w:szCs w:val="11"/>
          <w:color w:val="auto"/>
        </w:rPr>
      </w:pPr>
      <w:r>
        <w:rPr>
          <w:rFonts w:ascii="Arial" w:cs="Arial" w:eastAsia="Arial" w:hAnsi="Arial"/>
          <w:sz w:val="11"/>
          <w:szCs w:val="11"/>
          <w:color w:val="auto"/>
        </w:rPr>
        <w:t>If an Event of Default subsists then, in order to facilitate the Bank to deal with its rights and obligations, the Bank may (but is not obliged to), from time to time, separate and sever any of its rights (or any part of any of its rights) described in a notice given by the Bank to the Borrower from its other rights and obligations</w:t>
      </w:r>
    </w:p>
    <w:p>
      <w:pPr>
        <w:ind w:left="1080"/>
        <w:spacing w:after="0"/>
        <w:rPr>
          <w:rFonts w:ascii="Arial" w:cs="Arial" w:eastAsia="Arial" w:hAnsi="Arial"/>
          <w:sz w:val="11"/>
          <w:szCs w:val="11"/>
          <w:color w:val="auto"/>
        </w:rPr>
      </w:pPr>
      <w:r>
        <w:rPr>
          <w:rFonts w:ascii="Arial" w:cs="Arial" w:eastAsia="Arial" w:hAnsi="Arial"/>
          <w:sz w:val="11"/>
          <w:szCs w:val="11"/>
          <w:color w:val="auto"/>
        </w:rPr>
        <w:t>under any Transaction Document. Any such notice is effective on the time of delivery to separate and sever the rights described in the notice so that:</w:t>
      </w:r>
    </w:p>
    <w:p>
      <w:pPr>
        <w:spacing w:after="0" w:line="38" w:lineRule="exact"/>
        <w:rPr>
          <w:rFonts w:ascii="Arial" w:cs="Arial" w:eastAsia="Arial" w:hAnsi="Arial"/>
          <w:sz w:val="11"/>
          <w:szCs w:val="11"/>
          <w:color w:val="auto"/>
        </w:rPr>
      </w:pPr>
    </w:p>
    <w:p>
      <w:pPr>
        <w:ind w:left="1400" w:right="500" w:hanging="285"/>
        <w:spacing w:after="0" w:line="256" w:lineRule="auto"/>
        <w:tabs>
          <w:tab w:leader="none" w:pos="1400" w:val="left"/>
        </w:tabs>
        <w:numPr>
          <w:ilvl w:val="1"/>
          <w:numId w:val="231"/>
        </w:numPr>
        <w:rPr>
          <w:rFonts w:ascii="Arial" w:cs="Arial" w:eastAsia="Arial" w:hAnsi="Arial"/>
          <w:sz w:val="11"/>
          <w:szCs w:val="11"/>
          <w:color w:val="auto"/>
        </w:rPr>
      </w:pPr>
      <w:r>
        <w:rPr>
          <w:rFonts w:ascii="Arial" w:cs="Arial" w:eastAsia="Arial" w:hAnsi="Arial"/>
          <w:sz w:val="11"/>
          <w:szCs w:val="11"/>
          <w:color w:val="auto"/>
        </w:rPr>
        <w:t>those rights and obligations are independent from, and may be assigned (including at law), novated, sub-participated, sold-down, transferred or otherwise dealt with separately from, any other of the rights and obligations of the Bank under that Transaction Document;</w:t>
      </w:r>
    </w:p>
    <w:p>
      <w:pPr>
        <w:spacing w:after="0" w:line="30" w:lineRule="exact"/>
        <w:rPr>
          <w:rFonts w:ascii="Arial" w:cs="Arial" w:eastAsia="Arial" w:hAnsi="Arial"/>
          <w:sz w:val="11"/>
          <w:szCs w:val="11"/>
          <w:color w:val="auto"/>
        </w:rPr>
      </w:pPr>
    </w:p>
    <w:p>
      <w:pPr>
        <w:ind w:left="1400" w:hanging="285"/>
        <w:spacing w:after="0"/>
        <w:tabs>
          <w:tab w:leader="none" w:pos="1400" w:val="left"/>
        </w:tabs>
        <w:numPr>
          <w:ilvl w:val="1"/>
          <w:numId w:val="231"/>
        </w:numPr>
        <w:rPr>
          <w:rFonts w:ascii="Arial" w:cs="Arial" w:eastAsia="Arial" w:hAnsi="Arial"/>
          <w:sz w:val="11"/>
          <w:szCs w:val="11"/>
          <w:color w:val="auto"/>
        </w:rPr>
      </w:pPr>
      <w:r>
        <w:rPr>
          <w:rFonts w:ascii="Arial" w:cs="Arial" w:eastAsia="Arial" w:hAnsi="Arial"/>
          <w:sz w:val="11"/>
          <w:szCs w:val="11"/>
          <w:color w:val="auto"/>
        </w:rPr>
        <w:t>those rights and obligations may be exercised differently from any other rights and obligations of the Bank under that Transaction Document; and</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1"/>
          <w:numId w:val="231"/>
        </w:numPr>
        <w:rPr>
          <w:rFonts w:ascii="Arial" w:cs="Arial" w:eastAsia="Arial" w:hAnsi="Arial"/>
          <w:sz w:val="11"/>
          <w:szCs w:val="11"/>
          <w:color w:val="auto"/>
        </w:rPr>
      </w:pPr>
      <w:r>
        <w:rPr>
          <w:rFonts w:ascii="Arial" w:cs="Arial" w:eastAsia="Arial" w:hAnsi="Arial"/>
          <w:sz w:val="11"/>
          <w:szCs w:val="11"/>
          <w:color w:val="auto"/>
        </w:rPr>
        <w:t>the Outstanding Accommodation in respect of those rights may be calculated separately from the other Outstanding Accommodation.</w:t>
      </w:r>
    </w:p>
    <w:p>
      <w:pPr>
        <w:spacing w:after="0" w:line="46" w:lineRule="exact"/>
        <w:rPr>
          <w:rFonts w:ascii="Arial" w:cs="Arial" w:eastAsia="Arial" w:hAnsi="Arial"/>
          <w:sz w:val="11"/>
          <w:szCs w:val="11"/>
          <w:color w:val="auto"/>
        </w:rPr>
      </w:pPr>
    </w:p>
    <w:p>
      <w:pPr>
        <w:ind w:left="1080" w:right="140" w:hanging="280"/>
        <w:spacing w:after="0" w:line="256" w:lineRule="auto"/>
        <w:tabs>
          <w:tab w:leader="none" w:pos="1080" w:val="left"/>
        </w:tabs>
        <w:numPr>
          <w:ilvl w:val="0"/>
          <w:numId w:val="231"/>
        </w:numPr>
        <w:rPr>
          <w:rFonts w:ascii="Arial" w:cs="Arial" w:eastAsia="Arial" w:hAnsi="Arial"/>
          <w:sz w:val="11"/>
          <w:szCs w:val="11"/>
          <w:color w:val="auto"/>
        </w:rPr>
      </w:pPr>
      <w:r>
        <w:rPr>
          <w:rFonts w:ascii="Arial" w:cs="Arial" w:eastAsia="Arial" w:hAnsi="Arial"/>
          <w:sz w:val="11"/>
          <w:szCs w:val="11"/>
          <w:color w:val="auto"/>
        </w:rPr>
        <w:t>If the Bank assigns its rights or transfers its rights and obligations under this document or any other Transaction Document, no Transaction Party will be required to pay any net increase in the aggregate amount of costs, Taxes, fees or charges which is a direct consequence of the assignment or transfer.</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18.15</w:t>
        <w:tab/>
        <w:t>Counterparts</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This document may consist of a number of counterparts and, if so, the counterparts taken together constitute one document.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73</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41" w:name="page142"/>
    <w:bookmarkEnd w:id="141"/>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9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18.16</w:t>
      </w:r>
      <w:r>
        <w:rPr>
          <w:sz w:val="20"/>
          <w:szCs w:val="20"/>
          <w:color w:val="auto"/>
        </w:rPr>
        <w:tab/>
      </w:r>
      <w:r>
        <w:rPr>
          <w:rFonts w:ascii="Arial" w:cs="Arial" w:eastAsia="Arial" w:hAnsi="Arial"/>
          <w:sz w:val="11"/>
          <w:szCs w:val="11"/>
          <w:b w:val="1"/>
          <w:bCs w:val="1"/>
          <w:color w:val="auto"/>
        </w:rPr>
        <w:t>Sovereign immunity</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Borrower irrevocably waives any immunity that it or its property has from:</w:t>
      </w:r>
    </w:p>
    <w:p>
      <w:pPr>
        <w:spacing w:after="0" w:line="76" w:lineRule="exact"/>
        <w:rPr>
          <w:sz w:val="20"/>
          <w:szCs w:val="20"/>
          <w:color w:val="auto"/>
        </w:rPr>
      </w:pPr>
    </w:p>
    <w:p>
      <w:pPr>
        <w:ind w:left="1080" w:hanging="280"/>
        <w:spacing w:after="0"/>
        <w:tabs>
          <w:tab w:leader="none" w:pos="1080" w:val="left"/>
        </w:tabs>
        <w:numPr>
          <w:ilvl w:val="0"/>
          <w:numId w:val="232"/>
        </w:numPr>
        <w:rPr>
          <w:rFonts w:ascii="Arial" w:cs="Arial" w:eastAsia="Arial" w:hAnsi="Arial"/>
          <w:sz w:val="11"/>
          <w:szCs w:val="11"/>
          <w:color w:val="auto"/>
        </w:rPr>
      </w:pPr>
      <w:r>
        <w:rPr>
          <w:rFonts w:ascii="Arial" w:cs="Arial" w:eastAsia="Arial" w:hAnsi="Arial"/>
          <w:sz w:val="11"/>
          <w:szCs w:val="11"/>
          <w:color w:val="auto"/>
        </w:rPr>
        <w:t>set-off;</w:t>
      </w:r>
    </w:p>
    <w:p>
      <w:pPr>
        <w:spacing w:after="0" w:line="76" w:lineRule="exact"/>
        <w:rPr>
          <w:rFonts w:ascii="Arial" w:cs="Arial" w:eastAsia="Arial" w:hAnsi="Arial"/>
          <w:sz w:val="11"/>
          <w:szCs w:val="11"/>
          <w:color w:val="auto"/>
        </w:rPr>
      </w:pPr>
    </w:p>
    <w:p>
      <w:pPr>
        <w:ind w:left="1080" w:hanging="280"/>
        <w:spacing w:after="0"/>
        <w:tabs>
          <w:tab w:leader="none" w:pos="1080" w:val="left"/>
        </w:tabs>
        <w:numPr>
          <w:ilvl w:val="0"/>
          <w:numId w:val="232"/>
        </w:numPr>
        <w:rPr>
          <w:rFonts w:ascii="Arial" w:cs="Arial" w:eastAsia="Arial" w:hAnsi="Arial"/>
          <w:sz w:val="11"/>
          <w:szCs w:val="11"/>
          <w:color w:val="auto"/>
        </w:rPr>
      </w:pPr>
      <w:r>
        <w:rPr>
          <w:rFonts w:ascii="Arial" w:cs="Arial" w:eastAsia="Arial" w:hAnsi="Arial"/>
          <w:sz w:val="11"/>
          <w:szCs w:val="11"/>
          <w:color w:val="auto"/>
        </w:rPr>
        <w:t>legal, arbitral or administrative proceedings;</w:t>
      </w:r>
    </w:p>
    <w:p>
      <w:pPr>
        <w:spacing w:after="0" w:line="69" w:lineRule="exact"/>
        <w:rPr>
          <w:sz w:val="20"/>
          <w:szCs w:val="20"/>
          <w:color w:val="auto"/>
        </w:rPr>
      </w:pPr>
    </w:p>
    <w:p>
      <w:pPr>
        <w:ind w:left="1080" w:right="160" w:hanging="279"/>
        <w:spacing w:after="0" w:line="256" w:lineRule="auto"/>
        <w:tabs>
          <w:tab w:leader="none" w:pos="1060" w:val="left"/>
        </w:tabs>
        <w:rPr>
          <w:sz w:val="20"/>
          <w:szCs w:val="20"/>
          <w:color w:val="auto"/>
        </w:rPr>
      </w:pPr>
      <w:r>
        <w:rPr>
          <w:rFonts w:ascii="Arial" w:cs="Arial" w:eastAsia="Arial" w:hAnsi="Arial"/>
          <w:sz w:val="11"/>
          <w:szCs w:val="11"/>
          <w:color w:val="auto"/>
        </w:rPr>
        <w:t>(c)</w:t>
      </w:r>
      <w:r>
        <w:rPr>
          <w:sz w:val="20"/>
          <w:szCs w:val="20"/>
          <w:color w:val="auto"/>
        </w:rPr>
        <w:tab/>
      </w:r>
      <w:r>
        <w:rPr>
          <w:rFonts w:ascii="Arial" w:cs="Arial" w:eastAsia="Arial" w:hAnsi="Arial"/>
          <w:sz w:val="11"/>
          <w:szCs w:val="11"/>
          <w:color w:val="auto"/>
        </w:rPr>
        <w:t>any process or order of any court, administrative tribunal or arbitrator for the satisfaction or enforcement of a judgment, order or arbitral award or for the arrest, detention or sale of any property; or</w:t>
      </w:r>
    </w:p>
    <w:p>
      <w:pPr>
        <w:spacing w:after="0" w:line="30" w:lineRule="exact"/>
        <w:rPr>
          <w:sz w:val="20"/>
          <w:szCs w:val="20"/>
          <w:color w:val="auto"/>
        </w:rPr>
      </w:pPr>
    </w:p>
    <w:p>
      <w:pPr>
        <w:ind w:left="1080" w:hanging="280"/>
        <w:spacing w:after="0"/>
        <w:tabs>
          <w:tab w:leader="none" w:pos="1080" w:val="left"/>
        </w:tabs>
        <w:numPr>
          <w:ilvl w:val="0"/>
          <w:numId w:val="233"/>
        </w:numPr>
        <w:rPr>
          <w:rFonts w:ascii="Arial" w:cs="Arial" w:eastAsia="Arial" w:hAnsi="Arial"/>
          <w:sz w:val="11"/>
          <w:szCs w:val="11"/>
          <w:color w:val="auto"/>
        </w:rPr>
      </w:pPr>
      <w:r>
        <w:rPr>
          <w:rFonts w:ascii="Arial" w:cs="Arial" w:eastAsia="Arial" w:hAnsi="Arial"/>
          <w:sz w:val="11"/>
          <w:szCs w:val="11"/>
          <w:color w:val="auto"/>
        </w:rPr>
        <w:t>service on it of any process, judgment, order or arbitral award,</w:t>
      </w:r>
    </w:p>
    <w:p>
      <w:pPr>
        <w:spacing w:after="0" w:line="69" w:lineRule="exact"/>
        <w:rPr>
          <w:sz w:val="20"/>
          <w:szCs w:val="20"/>
          <w:color w:val="auto"/>
        </w:rPr>
      </w:pPr>
    </w:p>
    <w:p>
      <w:pPr>
        <w:ind w:left="840" w:right="260"/>
        <w:spacing w:after="0" w:line="256" w:lineRule="auto"/>
        <w:rPr>
          <w:sz w:val="20"/>
          <w:szCs w:val="20"/>
          <w:color w:val="auto"/>
        </w:rPr>
      </w:pPr>
      <w:r>
        <w:rPr>
          <w:rFonts w:ascii="Arial" w:cs="Arial" w:eastAsia="Arial" w:hAnsi="Arial"/>
          <w:sz w:val="11"/>
          <w:szCs w:val="11"/>
          <w:color w:val="auto"/>
        </w:rPr>
        <w:t>on the grounds of sovereignty or otherwise under any law of any jurisdiction where any proceedings may be brought or enforced in relation to any Event of Default under a Transaction Document.</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18.17</w:t>
        <w:tab/>
        <w:t>Governing law and jurisdiction</w:t>
      </w:r>
    </w:p>
    <w:p>
      <w:pPr>
        <w:spacing w:after="0" w:line="47" w:lineRule="exact"/>
        <w:rPr>
          <w:sz w:val="20"/>
          <w:szCs w:val="20"/>
          <w:color w:val="auto"/>
        </w:rPr>
      </w:pPr>
    </w:p>
    <w:p>
      <w:pPr>
        <w:ind w:left="1080" w:hanging="280"/>
        <w:spacing w:after="0"/>
        <w:tabs>
          <w:tab w:leader="none" w:pos="1080" w:val="left"/>
        </w:tabs>
        <w:numPr>
          <w:ilvl w:val="0"/>
          <w:numId w:val="234"/>
        </w:numPr>
        <w:rPr>
          <w:rFonts w:ascii="Arial" w:cs="Arial" w:eastAsia="Arial" w:hAnsi="Arial"/>
          <w:sz w:val="11"/>
          <w:szCs w:val="11"/>
          <w:color w:val="auto"/>
        </w:rPr>
      </w:pPr>
      <w:r>
        <w:rPr>
          <w:rFonts w:ascii="Arial" w:cs="Arial" w:eastAsia="Arial" w:hAnsi="Arial"/>
          <w:sz w:val="11"/>
          <w:szCs w:val="11"/>
          <w:color w:val="auto"/>
        </w:rPr>
        <w:t>This document is governed by and is to be construed in accordance with the laws applicable in the Relevant Jurisdiction.</w:t>
      </w:r>
    </w:p>
    <w:p>
      <w:pPr>
        <w:spacing w:after="0" w:line="46" w:lineRule="exact"/>
        <w:rPr>
          <w:rFonts w:ascii="Arial" w:cs="Arial" w:eastAsia="Arial" w:hAnsi="Arial"/>
          <w:sz w:val="11"/>
          <w:szCs w:val="11"/>
          <w:color w:val="auto"/>
        </w:rPr>
      </w:pPr>
    </w:p>
    <w:p>
      <w:pPr>
        <w:ind w:left="1080" w:right="100" w:hanging="280"/>
        <w:spacing w:after="0" w:line="256" w:lineRule="auto"/>
        <w:tabs>
          <w:tab w:leader="none" w:pos="1080" w:val="left"/>
        </w:tabs>
        <w:numPr>
          <w:ilvl w:val="0"/>
          <w:numId w:val="234"/>
        </w:numPr>
        <w:rPr>
          <w:rFonts w:ascii="Arial" w:cs="Arial" w:eastAsia="Arial" w:hAnsi="Arial"/>
          <w:sz w:val="11"/>
          <w:szCs w:val="11"/>
          <w:color w:val="auto"/>
        </w:rPr>
      </w:pPr>
      <w:r>
        <w:rPr>
          <w:rFonts w:ascii="Arial" w:cs="Arial" w:eastAsia="Arial" w:hAnsi="Arial"/>
          <w:sz w:val="11"/>
          <w:szCs w:val="11"/>
          <w:color w:val="auto"/>
        </w:rPr>
        <w:t>Each party irrevocably and unconditionally submits to the non-exclusive jurisdiction of the courts exercising jurisdiction in the Relevant Jurisdiction and any courts which have jurisdiction to hear appeals from any of those courts and waives any right to object to any proceedings being brought in those courts.</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18.18</w:t>
      </w:r>
      <w:r>
        <w:rPr>
          <w:sz w:val="20"/>
          <w:szCs w:val="20"/>
          <w:color w:val="auto"/>
        </w:rPr>
        <w:tab/>
      </w:r>
      <w:r>
        <w:rPr>
          <w:rFonts w:ascii="Arial" w:cs="Arial" w:eastAsia="Arial" w:hAnsi="Arial"/>
          <w:sz w:val="11"/>
          <w:szCs w:val="11"/>
          <w:b w:val="1"/>
          <w:bCs w:val="1"/>
          <w:color w:val="auto"/>
        </w:rPr>
        <w:t>Telephone recording</w:t>
      </w:r>
    </w:p>
    <w:p>
      <w:pPr>
        <w:spacing w:after="0" w:line="47" w:lineRule="exact"/>
        <w:rPr>
          <w:sz w:val="20"/>
          <w:szCs w:val="20"/>
          <w:color w:val="auto"/>
        </w:rPr>
      </w:pPr>
    </w:p>
    <w:p>
      <w:pPr>
        <w:ind w:left="840" w:right="700"/>
        <w:spacing w:after="0" w:line="242" w:lineRule="auto"/>
        <w:rPr>
          <w:sz w:val="20"/>
          <w:szCs w:val="20"/>
          <w:color w:val="auto"/>
        </w:rPr>
      </w:pPr>
      <w:r>
        <w:rPr>
          <w:rFonts w:ascii="Arial" w:cs="Arial" w:eastAsia="Arial" w:hAnsi="Arial"/>
          <w:sz w:val="11"/>
          <w:szCs w:val="11"/>
          <w:color w:val="auto"/>
        </w:rPr>
        <w:t>The Borrower consents to the Bank recording any telephone conversations between it and the Bank in relation to any Facility that are customarily recorded in the finance industry or where the Borrower is notified prior to the commencement of the telephone conversation and such recordings being used in any arbitral or legal proceedings and any telephone recording remains the Bank’s sole property at all times.</w:t>
      </w:r>
    </w:p>
    <w:p>
      <w:pPr>
        <w:spacing w:after="0" w:line="62"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18.19</w:t>
      </w:r>
      <w:r>
        <w:rPr>
          <w:sz w:val="20"/>
          <w:szCs w:val="20"/>
          <w:color w:val="auto"/>
        </w:rPr>
        <w:tab/>
      </w:r>
      <w:r>
        <w:rPr>
          <w:rFonts w:ascii="Arial" w:cs="Arial" w:eastAsia="Arial" w:hAnsi="Arial"/>
          <w:sz w:val="11"/>
          <w:szCs w:val="11"/>
          <w:b w:val="1"/>
          <w:bCs w:val="1"/>
          <w:color w:val="auto"/>
        </w:rPr>
        <w:t>Legal advice</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Borrower acknowledges that, except as expressly set out in a Transaction Document:</w:t>
      </w:r>
    </w:p>
    <w:p>
      <w:pPr>
        <w:spacing w:after="0" w:line="46" w:lineRule="exact"/>
        <w:rPr>
          <w:sz w:val="20"/>
          <w:szCs w:val="20"/>
          <w:color w:val="auto"/>
        </w:rPr>
      </w:pPr>
    </w:p>
    <w:p>
      <w:pPr>
        <w:ind w:left="1080" w:right="280" w:hanging="280"/>
        <w:spacing w:after="0" w:line="256" w:lineRule="auto"/>
        <w:tabs>
          <w:tab w:leader="none" w:pos="1080" w:val="left"/>
        </w:tabs>
        <w:numPr>
          <w:ilvl w:val="0"/>
          <w:numId w:val="235"/>
        </w:numPr>
        <w:rPr>
          <w:rFonts w:ascii="Arial" w:cs="Arial" w:eastAsia="Arial" w:hAnsi="Arial"/>
          <w:sz w:val="11"/>
          <w:szCs w:val="11"/>
          <w:color w:val="auto"/>
        </w:rPr>
      </w:pPr>
      <w:r>
        <w:rPr>
          <w:rFonts w:ascii="Arial" w:cs="Arial" w:eastAsia="Arial" w:hAnsi="Arial"/>
          <w:sz w:val="11"/>
          <w:szCs w:val="11"/>
          <w:color w:val="auto"/>
        </w:rPr>
        <w:t>none of the Bank or any of its advisers have given any representation or warranty or other assurance to it in relation to any Transaction Document or the transactions contemplated by any Transaction Document, including as to Tax or other effects;</w:t>
      </w:r>
    </w:p>
    <w:p>
      <w:pPr>
        <w:spacing w:after="0" w:line="22" w:lineRule="exact"/>
        <w:rPr>
          <w:rFonts w:ascii="Arial" w:cs="Arial" w:eastAsia="Arial" w:hAnsi="Arial"/>
          <w:sz w:val="11"/>
          <w:szCs w:val="11"/>
          <w:color w:val="auto"/>
        </w:rPr>
      </w:pPr>
    </w:p>
    <w:p>
      <w:pPr>
        <w:ind w:left="1080" w:hanging="280"/>
        <w:spacing w:after="0"/>
        <w:tabs>
          <w:tab w:leader="none" w:pos="1080" w:val="left"/>
        </w:tabs>
        <w:numPr>
          <w:ilvl w:val="0"/>
          <w:numId w:val="235"/>
        </w:numPr>
        <w:rPr>
          <w:rFonts w:ascii="Arial" w:cs="Arial" w:eastAsia="Arial" w:hAnsi="Arial"/>
          <w:sz w:val="11"/>
          <w:szCs w:val="11"/>
          <w:color w:val="auto"/>
        </w:rPr>
      </w:pPr>
      <w:r>
        <w:rPr>
          <w:rFonts w:ascii="Arial" w:cs="Arial" w:eastAsia="Arial" w:hAnsi="Arial"/>
          <w:sz w:val="11"/>
          <w:szCs w:val="11"/>
          <w:color w:val="auto"/>
        </w:rPr>
        <w:t>it has not relied on the Bank or any of its advisers or on any conduct (including any recommendation) by the Bank or any of its advisers; and</w:t>
      </w:r>
    </w:p>
    <w:p>
      <w:pPr>
        <w:spacing w:after="0" w:line="61" w:lineRule="exact"/>
        <w:rPr>
          <w:rFonts w:ascii="Arial" w:cs="Arial" w:eastAsia="Arial" w:hAnsi="Arial"/>
          <w:sz w:val="11"/>
          <w:szCs w:val="11"/>
          <w:color w:val="auto"/>
        </w:rPr>
      </w:pPr>
    </w:p>
    <w:p>
      <w:pPr>
        <w:ind w:left="1080" w:hanging="280"/>
        <w:spacing w:after="0"/>
        <w:tabs>
          <w:tab w:leader="none" w:pos="1080" w:val="left"/>
        </w:tabs>
        <w:numPr>
          <w:ilvl w:val="0"/>
          <w:numId w:val="235"/>
        </w:numPr>
        <w:rPr>
          <w:rFonts w:ascii="Arial" w:cs="Arial" w:eastAsia="Arial" w:hAnsi="Arial"/>
          <w:sz w:val="11"/>
          <w:szCs w:val="11"/>
          <w:color w:val="auto"/>
        </w:rPr>
      </w:pPr>
      <w:r>
        <w:rPr>
          <w:rFonts w:ascii="Arial" w:cs="Arial" w:eastAsia="Arial" w:hAnsi="Arial"/>
          <w:sz w:val="11"/>
          <w:szCs w:val="11"/>
          <w:color w:val="auto"/>
        </w:rPr>
        <w:t>it has obtained its own independent financial, Tax and legal advice.</w:t>
      </w:r>
    </w:p>
    <w:p>
      <w:pPr>
        <w:spacing w:after="0" w:line="101"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18.20</w:t>
        <w:tab/>
        <w:t>Further assurances</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Whenever the Bank requests a Transaction Party to do anything: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74</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42" w:name="page143"/>
    <w:bookmarkEnd w:id="142"/>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80" w:hanging="280"/>
        <w:spacing w:after="0"/>
        <w:tabs>
          <w:tab w:leader="none" w:pos="1080" w:val="left"/>
        </w:tabs>
        <w:numPr>
          <w:ilvl w:val="0"/>
          <w:numId w:val="236"/>
        </w:numPr>
        <w:rPr>
          <w:rFonts w:ascii="Arial" w:cs="Arial" w:eastAsia="Arial" w:hAnsi="Arial"/>
          <w:sz w:val="11"/>
          <w:szCs w:val="11"/>
          <w:color w:val="auto"/>
        </w:rPr>
      </w:pPr>
      <w:r>
        <w:rPr>
          <w:rFonts w:ascii="Arial" w:cs="Arial" w:eastAsia="Arial" w:hAnsi="Arial"/>
          <w:sz w:val="11"/>
          <w:szCs w:val="11"/>
          <w:color w:val="auto"/>
        </w:rPr>
        <w:t>to ensure any Transaction Document (or any security interest (as defined in the PPS Act) or other Security</w:t>
      </w:r>
    </w:p>
    <w:p>
      <w:pPr>
        <w:spacing w:after="0" w:line="1" w:lineRule="exact"/>
        <w:rPr>
          <w:rFonts w:ascii="Arial" w:cs="Arial" w:eastAsia="Arial" w:hAnsi="Arial"/>
          <w:sz w:val="11"/>
          <w:szCs w:val="11"/>
          <w:color w:val="auto"/>
        </w:rPr>
      </w:pPr>
    </w:p>
    <w:p>
      <w:pPr>
        <w:ind w:left="1080"/>
        <w:spacing w:after="0"/>
        <w:rPr>
          <w:rFonts w:ascii="Arial" w:cs="Arial" w:eastAsia="Arial" w:hAnsi="Arial"/>
          <w:sz w:val="11"/>
          <w:szCs w:val="11"/>
          <w:color w:val="auto"/>
        </w:rPr>
      </w:pPr>
      <w:r>
        <w:rPr>
          <w:rFonts w:ascii="Arial" w:cs="Arial" w:eastAsia="Arial" w:hAnsi="Arial"/>
          <w:sz w:val="11"/>
          <w:szCs w:val="11"/>
          <w:color w:val="auto"/>
        </w:rPr>
        <w:t>Interest, right or power under any Transaction Document) is fully effective, enforceable and perfected with the contemplated priority;</w:t>
      </w:r>
    </w:p>
    <w:p>
      <w:pPr>
        <w:spacing w:after="0" w:line="38" w:lineRule="exact"/>
        <w:rPr>
          <w:rFonts w:ascii="Arial" w:cs="Arial" w:eastAsia="Arial" w:hAnsi="Arial"/>
          <w:sz w:val="11"/>
          <w:szCs w:val="11"/>
          <w:color w:val="auto"/>
        </w:rPr>
      </w:pPr>
    </w:p>
    <w:p>
      <w:pPr>
        <w:ind w:left="1080" w:right="860" w:hanging="280"/>
        <w:spacing w:after="0" w:line="256" w:lineRule="auto"/>
        <w:tabs>
          <w:tab w:leader="none" w:pos="1080" w:val="left"/>
        </w:tabs>
        <w:numPr>
          <w:ilvl w:val="0"/>
          <w:numId w:val="236"/>
        </w:numPr>
        <w:rPr>
          <w:rFonts w:ascii="Arial" w:cs="Arial" w:eastAsia="Arial" w:hAnsi="Arial"/>
          <w:sz w:val="11"/>
          <w:szCs w:val="11"/>
          <w:color w:val="auto"/>
        </w:rPr>
      </w:pPr>
      <w:r>
        <w:rPr>
          <w:rFonts w:ascii="Arial" w:cs="Arial" w:eastAsia="Arial" w:hAnsi="Arial"/>
          <w:sz w:val="11"/>
          <w:szCs w:val="11"/>
          <w:color w:val="auto"/>
        </w:rPr>
        <w:t>for more satisfactorily assuring or securing to the Bank the property the subject of any such security interest or other Security in a manner consistent with the Transaction Documents; or</w:t>
      </w:r>
    </w:p>
    <w:p>
      <w:pPr>
        <w:spacing w:after="0" w:line="22" w:lineRule="exact"/>
        <w:rPr>
          <w:rFonts w:ascii="Arial" w:cs="Arial" w:eastAsia="Arial" w:hAnsi="Arial"/>
          <w:sz w:val="11"/>
          <w:szCs w:val="11"/>
          <w:color w:val="auto"/>
        </w:rPr>
      </w:pPr>
    </w:p>
    <w:p>
      <w:pPr>
        <w:ind w:left="1080" w:hanging="280"/>
        <w:spacing w:after="0"/>
        <w:tabs>
          <w:tab w:leader="none" w:pos="1080" w:val="left"/>
        </w:tabs>
        <w:numPr>
          <w:ilvl w:val="0"/>
          <w:numId w:val="236"/>
        </w:numPr>
        <w:rPr>
          <w:rFonts w:ascii="Arial" w:cs="Arial" w:eastAsia="Arial" w:hAnsi="Arial"/>
          <w:sz w:val="11"/>
          <w:szCs w:val="11"/>
          <w:color w:val="auto"/>
        </w:rPr>
      </w:pPr>
      <w:r>
        <w:rPr>
          <w:rFonts w:ascii="Arial" w:cs="Arial" w:eastAsia="Arial" w:hAnsi="Arial"/>
          <w:sz w:val="11"/>
          <w:szCs w:val="11"/>
          <w:color w:val="auto"/>
        </w:rPr>
        <w:t>for aiding the exercise of any right or power in any Transaction Document,</w:t>
      </w:r>
    </w:p>
    <w:p>
      <w:pPr>
        <w:spacing w:after="0" w:line="46" w:lineRule="exact"/>
        <w:rPr>
          <w:sz w:val="20"/>
          <w:szCs w:val="20"/>
          <w:color w:val="auto"/>
        </w:rPr>
      </w:pPr>
    </w:p>
    <w:p>
      <w:pPr>
        <w:ind w:left="840" w:right="280"/>
        <w:spacing w:after="0" w:line="256" w:lineRule="auto"/>
        <w:rPr>
          <w:sz w:val="20"/>
          <w:szCs w:val="20"/>
          <w:color w:val="auto"/>
        </w:rPr>
      </w:pPr>
      <w:r>
        <w:rPr>
          <w:rFonts w:ascii="Arial" w:cs="Arial" w:eastAsia="Arial" w:hAnsi="Arial"/>
          <w:sz w:val="11"/>
          <w:szCs w:val="11"/>
          <w:color w:val="auto"/>
        </w:rPr>
        <w:t>the Transaction Party shall do it promptly at its own cost. This may include obtaining consents, getting documents completed and signed, supplying information, delivering documents and evidence of title and executed blank transfers, and giving possession or control with respect to any Secured Property.</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18.21</w:t>
      </w:r>
      <w:r>
        <w:rPr>
          <w:sz w:val="20"/>
          <w:szCs w:val="20"/>
          <w:color w:val="auto"/>
        </w:rPr>
        <w:tab/>
      </w:r>
      <w:r>
        <w:rPr>
          <w:rFonts w:ascii="Arial" w:cs="Arial" w:eastAsia="Arial" w:hAnsi="Arial"/>
          <w:sz w:val="11"/>
          <w:szCs w:val="11"/>
          <w:b w:val="1"/>
          <w:bCs w:val="1"/>
          <w:color w:val="auto"/>
        </w:rPr>
        <w:t>Exclusion of certain provisions</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Where there is a Security Interest under any Transaction Document:</w:t>
      </w:r>
    </w:p>
    <w:p>
      <w:pPr>
        <w:spacing w:after="0" w:line="69" w:lineRule="exact"/>
        <w:rPr>
          <w:sz w:val="20"/>
          <w:szCs w:val="20"/>
          <w:color w:val="auto"/>
        </w:rPr>
      </w:pPr>
    </w:p>
    <w:p>
      <w:pPr>
        <w:ind w:left="1080" w:right="600" w:hanging="280"/>
        <w:spacing w:after="0" w:line="256" w:lineRule="auto"/>
        <w:tabs>
          <w:tab w:leader="none" w:pos="1080" w:val="left"/>
        </w:tabs>
        <w:numPr>
          <w:ilvl w:val="0"/>
          <w:numId w:val="237"/>
        </w:numPr>
        <w:rPr>
          <w:rFonts w:ascii="Arial" w:cs="Arial" w:eastAsia="Arial" w:hAnsi="Arial"/>
          <w:sz w:val="11"/>
          <w:szCs w:val="11"/>
          <w:color w:val="auto"/>
        </w:rPr>
      </w:pPr>
      <w:r>
        <w:rPr>
          <w:rFonts w:ascii="Arial" w:cs="Arial" w:eastAsia="Arial" w:hAnsi="Arial"/>
          <w:sz w:val="11"/>
          <w:szCs w:val="11"/>
          <w:color w:val="auto"/>
        </w:rPr>
        <w:t>to the extent permitted, sections 142 and 143 of the PPS Act are excluded in full and will not apply to that Security Interest and the Bank need not comply with sections 95, 118, 121(4), 125, 130 ,132(3)(d), and 132(4) of the PPS Act; and</w:t>
      </w:r>
    </w:p>
    <w:p>
      <w:pPr>
        <w:spacing w:after="0" w:line="22" w:lineRule="exact"/>
        <w:rPr>
          <w:rFonts w:ascii="Arial" w:cs="Arial" w:eastAsia="Arial" w:hAnsi="Arial"/>
          <w:sz w:val="11"/>
          <w:szCs w:val="11"/>
          <w:color w:val="auto"/>
        </w:rPr>
      </w:pPr>
    </w:p>
    <w:p>
      <w:pPr>
        <w:ind w:left="1080" w:right="380" w:hanging="280"/>
        <w:spacing w:after="0" w:line="256" w:lineRule="auto"/>
        <w:tabs>
          <w:tab w:leader="none" w:pos="1080" w:val="left"/>
        </w:tabs>
        <w:numPr>
          <w:ilvl w:val="0"/>
          <w:numId w:val="237"/>
        </w:numPr>
        <w:rPr>
          <w:rFonts w:ascii="Arial" w:cs="Arial" w:eastAsia="Arial" w:hAnsi="Arial"/>
          <w:sz w:val="11"/>
          <w:szCs w:val="11"/>
          <w:color w:val="auto"/>
        </w:rPr>
      </w:pPr>
      <w:r>
        <w:rPr>
          <w:rFonts w:ascii="Arial" w:cs="Arial" w:eastAsia="Arial" w:hAnsi="Arial"/>
          <w:sz w:val="11"/>
          <w:szCs w:val="11"/>
          <w:color w:val="auto"/>
        </w:rPr>
        <w:t>each Transaction Party waives its right to receive from the Bank any notice required under s157 of the PPS Act or the provisions of the PPS Act referred to in s144 of the PPS Act, except section 135.</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This does not affect any rights a person has or would have other than by reason of the PPS Act and applies despite any other clause in any Transaction Document.</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18.22</w:t>
        <w:tab/>
        <w:t>Notice of changes</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Each Transaction Party agrees to notify the Bank at least 14 days before:</w:t>
      </w:r>
    </w:p>
    <w:p>
      <w:pPr>
        <w:spacing w:after="0" w:line="69" w:lineRule="exact"/>
        <w:rPr>
          <w:sz w:val="20"/>
          <w:szCs w:val="20"/>
          <w:color w:val="auto"/>
        </w:rPr>
      </w:pPr>
    </w:p>
    <w:p>
      <w:pPr>
        <w:ind w:left="1080" w:hanging="280"/>
        <w:spacing w:after="0"/>
        <w:tabs>
          <w:tab w:leader="none" w:pos="1080" w:val="left"/>
        </w:tabs>
        <w:numPr>
          <w:ilvl w:val="0"/>
          <w:numId w:val="238"/>
        </w:numPr>
        <w:rPr>
          <w:rFonts w:ascii="Arial" w:cs="Arial" w:eastAsia="Arial" w:hAnsi="Arial"/>
          <w:sz w:val="11"/>
          <w:szCs w:val="11"/>
          <w:color w:val="auto"/>
        </w:rPr>
      </w:pPr>
      <w:r>
        <w:rPr>
          <w:rFonts w:ascii="Arial" w:cs="Arial" w:eastAsia="Arial" w:hAnsi="Arial"/>
          <w:sz w:val="11"/>
          <w:szCs w:val="11"/>
          <w:color w:val="auto"/>
        </w:rPr>
        <w:t>a Transaction Party (or if the Transaction Party is trustee of a Trust or a partner of a partnership, the Trust or the partnership) changes its name;</w:t>
      </w:r>
    </w:p>
    <w:p>
      <w:pPr>
        <w:spacing w:after="0" w:line="46" w:lineRule="exact"/>
        <w:rPr>
          <w:rFonts w:ascii="Arial" w:cs="Arial" w:eastAsia="Arial" w:hAnsi="Arial"/>
          <w:sz w:val="11"/>
          <w:szCs w:val="11"/>
          <w:color w:val="auto"/>
        </w:rPr>
      </w:pPr>
    </w:p>
    <w:p>
      <w:pPr>
        <w:ind w:left="1080" w:right="340" w:hanging="280"/>
        <w:spacing w:after="0" w:line="242" w:lineRule="auto"/>
        <w:tabs>
          <w:tab w:leader="none" w:pos="1080" w:val="left"/>
        </w:tabs>
        <w:numPr>
          <w:ilvl w:val="0"/>
          <w:numId w:val="238"/>
        </w:numPr>
        <w:rPr>
          <w:rFonts w:ascii="Arial" w:cs="Arial" w:eastAsia="Arial" w:hAnsi="Arial"/>
          <w:sz w:val="11"/>
          <w:szCs w:val="11"/>
          <w:color w:val="auto"/>
        </w:rPr>
      </w:pPr>
      <w:r>
        <w:rPr>
          <w:rFonts w:ascii="Arial" w:cs="Arial" w:eastAsia="Arial" w:hAnsi="Arial"/>
          <w:sz w:val="11"/>
          <w:szCs w:val="11"/>
          <w:color w:val="auto"/>
        </w:rPr>
        <w:t>any ABN, ARBN or ARSN allocated to a Transaction Party (or if the Transaction Party is trustee of a Trust or a partner of a partnership, the Trust or the partnership) changes, is cancelled or otherwise ceases to apply to it (or if it does not have an ABN, ARBN or ARSN, one is allocated, or otherwise starts to apply, to it); or</w:t>
      </w:r>
    </w:p>
    <w:p>
      <w:pPr>
        <w:spacing w:after="0" w:line="157" w:lineRule="exact"/>
        <w:rPr>
          <w:rFonts w:ascii="Arial" w:cs="Arial" w:eastAsia="Arial" w:hAnsi="Arial"/>
          <w:sz w:val="11"/>
          <w:szCs w:val="11"/>
          <w:color w:val="auto"/>
        </w:rPr>
      </w:pPr>
    </w:p>
    <w:p>
      <w:pPr>
        <w:ind w:left="1080" w:hanging="280"/>
        <w:spacing w:after="0"/>
        <w:tabs>
          <w:tab w:leader="none" w:pos="1080" w:val="left"/>
        </w:tabs>
        <w:numPr>
          <w:ilvl w:val="0"/>
          <w:numId w:val="238"/>
        </w:numPr>
        <w:rPr>
          <w:rFonts w:ascii="Arial" w:cs="Arial" w:eastAsia="Arial" w:hAnsi="Arial"/>
          <w:sz w:val="11"/>
          <w:szCs w:val="11"/>
          <w:color w:val="auto"/>
        </w:rPr>
      </w:pPr>
      <w:r>
        <w:rPr>
          <w:rFonts w:ascii="Arial" w:cs="Arial" w:eastAsia="Arial" w:hAnsi="Arial"/>
          <w:sz w:val="11"/>
          <w:szCs w:val="11"/>
          <w:color w:val="auto"/>
        </w:rPr>
        <w:t>the Borrower becomes trustee of a trust, or a partner in a partnership, which is not expressly contemplated in the Transaction Documents.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75</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43" w:name="page144"/>
    <w:bookmarkEnd w:id="143"/>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6"/>
          <w:szCs w:val="16"/>
          <w:color w:val="auto"/>
        </w:rPr>
        <w:t>19</w:t>
        <w:tab/>
        <w:t>Notices</w:t>
      </w:r>
    </w:p>
    <w:p>
      <w:pPr>
        <w:spacing w:after="0" w:line="6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19.1</w:t>
        <w:tab/>
        <w:t>General</w:t>
      </w:r>
    </w:p>
    <w:p>
      <w:pPr>
        <w:spacing w:after="0" w:line="47" w:lineRule="exact"/>
        <w:rPr>
          <w:sz w:val="20"/>
          <w:szCs w:val="20"/>
          <w:color w:val="auto"/>
        </w:rPr>
      </w:pPr>
    </w:p>
    <w:p>
      <w:pPr>
        <w:ind w:left="840" w:right="220"/>
        <w:spacing w:after="0" w:line="256" w:lineRule="auto"/>
        <w:rPr>
          <w:sz w:val="20"/>
          <w:szCs w:val="20"/>
          <w:color w:val="auto"/>
        </w:rPr>
      </w:pPr>
      <w:r>
        <w:rPr>
          <w:rFonts w:ascii="Arial" w:cs="Arial" w:eastAsia="Arial" w:hAnsi="Arial"/>
          <w:sz w:val="11"/>
          <w:szCs w:val="11"/>
          <w:color w:val="auto"/>
        </w:rPr>
        <w:t>A notice, demand, certification, process or other communication relating to a Transaction Document must be in writing in English and may be given by an Authorised Representative of the sender.</w:t>
      </w:r>
    </w:p>
    <w:p>
      <w:pPr>
        <w:spacing w:after="0" w:line="55"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19.2</w:t>
        <w:tab/>
        <w:t>How to give a communication</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In addition to any other lawful means, a communication may be given by being:</w:t>
      </w:r>
    </w:p>
    <w:p>
      <w:pPr>
        <w:spacing w:after="0" w:line="76" w:lineRule="exact"/>
        <w:rPr>
          <w:sz w:val="20"/>
          <w:szCs w:val="20"/>
          <w:color w:val="auto"/>
        </w:rPr>
      </w:pPr>
    </w:p>
    <w:p>
      <w:pPr>
        <w:ind w:left="1080" w:hanging="280"/>
        <w:spacing w:after="0"/>
        <w:tabs>
          <w:tab w:leader="none" w:pos="1080" w:val="left"/>
        </w:tabs>
        <w:numPr>
          <w:ilvl w:val="0"/>
          <w:numId w:val="239"/>
        </w:numPr>
        <w:rPr>
          <w:rFonts w:ascii="Arial" w:cs="Arial" w:eastAsia="Arial" w:hAnsi="Arial"/>
          <w:sz w:val="11"/>
          <w:szCs w:val="11"/>
          <w:color w:val="auto"/>
        </w:rPr>
      </w:pPr>
      <w:r>
        <w:rPr>
          <w:rFonts w:ascii="Arial" w:cs="Arial" w:eastAsia="Arial" w:hAnsi="Arial"/>
          <w:sz w:val="11"/>
          <w:szCs w:val="11"/>
          <w:color w:val="auto"/>
        </w:rPr>
        <w:t>personally delivered;</w:t>
      </w:r>
    </w:p>
    <w:p>
      <w:pPr>
        <w:spacing w:after="0" w:line="76" w:lineRule="exact"/>
        <w:rPr>
          <w:rFonts w:ascii="Arial" w:cs="Arial" w:eastAsia="Arial" w:hAnsi="Arial"/>
          <w:sz w:val="11"/>
          <w:szCs w:val="11"/>
          <w:color w:val="auto"/>
        </w:rPr>
      </w:pPr>
    </w:p>
    <w:p>
      <w:pPr>
        <w:ind w:left="1080" w:hanging="280"/>
        <w:spacing w:after="0"/>
        <w:tabs>
          <w:tab w:leader="none" w:pos="1080" w:val="left"/>
        </w:tabs>
        <w:numPr>
          <w:ilvl w:val="0"/>
          <w:numId w:val="239"/>
        </w:numPr>
        <w:rPr>
          <w:rFonts w:ascii="Arial" w:cs="Arial" w:eastAsia="Arial" w:hAnsi="Arial"/>
          <w:sz w:val="11"/>
          <w:szCs w:val="11"/>
          <w:color w:val="auto"/>
        </w:rPr>
      </w:pPr>
      <w:r>
        <w:rPr>
          <w:rFonts w:ascii="Arial" w:cs="Arial" w:eastAsia="Arial" w:hAnsi="Arial"/>
          <w:sz w:val="11"/>
          <w:szCs w:val="11"/>
          <w:color w:val="auto"/>
        </w:rPr>
        <w:t>left at the party’s current address for notices;</w:t>
      </w:r>
    </w:p>
    <w:p>
      <w:pPr>
        <w:spacing w:after="0" w:line="68" w:lineRule="exact"/>
        <w:rPr>
          <w:rFonts w:ascii="Arial" w:cs="Arial" w:eastAsia="Arial" w:hAnsi="Arial"/>
          <w:sz w:val="11"/>
          <w:szCs w:val="11"/>
          <w:color w:val="auto"/>
        </w:rPr>
      </w:pPr>
    </w:p>
    <w:p>
      <w:pPr>
        <w:ind w:left="1080" w:hanging="280"/>
        <w:spacing w:after="0"/>
        <w:tabs>
          <w:tab w:leader="none" w:pos="1080" w:val="left"/>
        </w:tabs>
        <w:numPr>
          <w:ilvl w:val="0"/>
          <w:numId w:val="239"/>
        </w:numPr>
        <w:rPr>
          <w:rFonts w:ascii="Arial" w:cs="Arial" w:eastAsia="Arial" w:hAnsi="Arial"/>
          <w:sz w:val="11"/>
          <w:szCs w:val="11"/>
          <w:color w:val="auto"/>
        </w:rPr>
      </w:pPr>
      <w:r>
        <w:rPr>
          <w:rFonts w:ascii="Arial" w:cs="Arial" w:eastAsia="Arial" w:hAnsi="Arial"/>
          <w:sz w:val="11"/>
          <w:szCs w:val="11"/>
          <w:color w:val="auto"/>
        </w:rPr>
        <w:t>sent to the party’s current address for notices by pre-paid ordinary mail or, if the address is outside Australia, by pre-paid airmail; or</w:t>
      </w:r>
    </w:p>
    <w:p>
      <w:pPr>
        <w:spacing w:after="0" w:line="53" w:lineRule="exact"/>
        <w:rPr>
          <w:rFonts w:ascii="Arial" w:cs="Arial" w:eastAsia="Arial" w:hAnsi="Arial"/>
          <w:sz w:val="11"/>
          <w:szCs w:val="11"/>
          <w:color w:val="auto"/>
        </w:rPr>
      </w:pPr>
    </w:p>
    <w:p>
      <w:pPr>
        <w:ind w:left="1080" w:hanging="280"/>
        <w:spacing w:after="0"/>
        <w:tabs>
          <w:tab w:leader="none" w:pos="1080" w:val="left"/>
        </w:tabs>
        <w:numPr>
          <w:ilvl w:val="0"/>
          <w:numId w:val="239"/>
        </w:numPr>
        <w:rPr>
          <w:rFonts w:ascii="Arial" w:cs="Arial" w:eastAsia="Arial" w:hAnsi="Arial"/>
          <w:sz w:val="11"/>
          <w:szCs w:val="11"/>
          <w:color w:val="auto"/>
        </w:rPr>
      </w:pPr>
      <w:r>
        <w:rPr>
          <w:rFonts w:ascii="Arial" w:cs="Arial" w:eastAsia="Arial" w:hAnsi="Arial"/>
          <w:sz w:val="11"/>
          <w:szCs w:val="11"/>
          <w:color w:val="auto"/>
        </w:rPr>
        <w:t>sent by fax to the party’s current fax number for notices.</w:t>
      </w:r>
    </w:p>
    <w:p>
      <w:pPr>
        <w:spacing w:after="0" w:line="101"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19.3</w:t>
      </w:r>
      <w:r>
        <w:rPr>
          <w:sz w:val="20"/>
          <w:szCs w:val="20"/>
          <w:color w:val="auto"/>
        </w:rPr>
        <w:tab/>
      </w:r>
      <w:r>
        <w:rPr>
          <w:rFonts w:ascii="Arial" w:cs="Arial" w:eastAsia="Arial" w:hAnsi="Arial"/>
          <w:sz w:val="11"/>
          <w:szCs w:val="11"/>
          <w:b w:val="1"/>
          <w:bCs w:val="1"/>
          <w:color w:val="auto"/>
        </w:rPr>
        <w:t>Particulars for delivery of notices</w:t>
      </w:r>
    </w:p>
    <w:p>
      <w:pPr>
        <w:spacing w:after="0" w:line="55" w:lineRule="exact"/>
        <w:rPr>
          <w:sz w:val="20"/>
          <w:szCs w:val="20"/>
          <w:color w:val="auto"/>
        </w:rPr>
      </w:pPr>
    </w:p>
    <w:p>
      <w:pPr>
        <w:ind w:left="1080" w:hanging="280"/>
        <w:spacing w:after="0"/>
        <w:tabs>
          <w:tab w:leader="none" w:pos="1080" w:val="left"/>
        </w:tabs>
        <w:numPr>
          <w:ilvl w:val="0"/>
          <w:numId w:val="240"/>
        </w:numPr>
        <w:rPr>
          <w:rFonts w:ascii="Arial" w:cs="Arial" w:eastAsia="Arial" w:hAnsi="Arial"/>
          <w:sz w:val="11"/>
          <w:szCs w:val="11"/>
          <w:color w:val="auto"/>
        </w:rPr>
      </w:pPr>
      <w:r>
        <w:rPr>
          <w:rFonts w:ascii="Arial" w:cs="Arial" w:eastAsia="Arial" w:hAnsi="Arial"/>
          <w:sz w:val="11"/>
          <w:szCs w:val="11"/>
          <w:color w:val="auto"/>
        </w:rPr>
        <w:t>The particulars for delivery of notices are initially:</w:t>
      </w:r>
    </w:p>
    <w:p>
      <w:pPr>
        <w:spacing w:after="0" w:line="70" w:lineRule="exact"/>
        <w:rPr>
          <w:rFonts w:ascii="Arial" w:cs="Arial" w:eastAsia="Arial" w:hAnsi="Arial"/>
          <w:sz w:val="11"/>
          <w:szCs w:val="11"/>
          <w:color w:val="auto"/>
        </w:rPr>
      </w:pPr>
    </w:p>
    <w:p>
      <w:pPr>
        <w:ind w:left="1100"/>
        <w:spacing w:after="0"/>
        <w:rPr>
          <w:rFonts w:ascii="Arial" w:cs="Arial" w:eastAsia="Arial" w:hAnsi="Arial"/>
          <w:sz w:val="11"/>
          <w:szCs w:val="11"/>
          <w:color w:val="auto"/>
        </w:rPr>
      </w:pPr>
      <w:r>
        <w:rPr>
          <w:rFonts w:ascii="Arial" w:cs="Arial" w:eastAsia="Arial" w:hAnsi="Arial"/>
          <w:sz w:val="11"/>
          <w:szCs w:val="11"/>
          <w:b w:val="1"/>
          <w:bCs w:val="1"/>
          <w:color w:val="auto"/>
        </w:rPr>
        <w:t>Transaction Parties:</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 xml:space="preserve">As set out in </w:t>
      </w:r>
      <w:r>
        <w:rPr>
          <w:rFonts w:ascii="Arial" w:cs="Arial" w:eastAsia="Arial" w:hAnsi="Arial"/>
          <w:sz w:val="11"/>
          <w:szCs w:val="11"/>
          <w:b w:val="1"/>
          <w:bCs w:val="1"/>
          <w:color w:val="auto"/>
        </w:rPr>
        <w:t>schedule 1. Bank:</w:t>
      </w:r>
    </w:p>
    <w:p>
      <w:pPr>
        <w:spacing w:after="0" w:line="21" w:lineRule="exact"/>
        <w:rPr>
          <w:sz w:val="20"/>
          <w:szCs w:val="20"/>
          <w:color w:val="auto"/>
        </w:rPr>
      </w:pPr>
    </w:p>
    <w:p>
      <w:pPr>
        <w:ind w:left="1100"/>
        <w:spacing w:after="0"/>
        <w:tabs>
          <w:tab w:leader="none" w:pos="1900" w:val="left"/>
        </w:tabs>
        <w:rPr>
          <w:sz w:val="20"/>
          <w:szCs w:val="20"/>
          <w:color w:val="auto"/>
        </w:rPr>
      </w:pPr>
      <w:r>
        <w:rPr>
          <w:rFonts w:ascii="Arial" w:cs="Arial" w:eastAsia="Arial" w:hAnsi="Arial"/>
          <w:sz w:val="11"/>
          <w:szCs w:val="11"/>
          <w:color w:val="auto"/>
        </w:rPr>
        <w:t>Address:</w:t>
      </w:r>
      <w:r>
        <w:rPr>
          <w:sz w:val="20"/>
          <w:szCs w:val="20"/>
          <w:color w:val="auto"/>
        </w:rPr>
        <w:tab/>
      </w:r>
      <w:r>
        <w:rPr>
          <w:rFonts w:ascii="Arial" w:cs="Arial" w:eastAsia="Arial" w:hAnsi="Arial"/>
          <w:sz w:val="11"/>
          <w:szCs w:val="11"/>
          <w:color w:val="B5082D"/>
          <w:strike w:val="1"/>
        </w:rPr>
        <w:t>Level 28, 500</w:t>
      </w:r>
      <w:r>
        <w:rPr>
          <w:rFonts w:ascii="Arial" w:cs="Arial" w:eastAsia="Arial" w:hAnsi="Arial"/>
          <w:sz w:val="11"/>
          <w:szCs w:val="11"/>
          <w:u w:val="single" w:color="auto"/>
          <w:color w:val="2D96D2"/>
        </w:rPr>
        <w:t>Level 17, 395</w:t>
      </w:r>
      <w:r>
        <w:rPr>
          <w:rFonts w:ascii="Arial" w:cs="Arial" w:eastAsia="Arial" w:hAnsi="Arial"/>
          <w:sz w:val="11"/>
          <w:szCs w:val="11"/>
          <w:color w:val="B5082D"/>
        </w:rPr>
        <w:t xml:space="preserve"> </w:t>
      </w:r>
      <w:r>
        <w:rPr>
          <w:rFonts w:ascii="Arial" w:cs="Arial" w:eastAsia="Arial" w:hAnsi="Arial"/>
          <w:sz w:val="11"/>
          <w:szCs w:val="11"/>
          <w:color w:val="000000"/>
        </w:rPr>
        <w:t>Bourke Street, Melbourne, Victoria 300</w:t>
      </w:r>
      <w:r>
        <w:rPr>
          <w:rFonts w:ascii="Arial" w:cs="Arial" w:eastAsia="Arial" w:hAnsi="Arial"/>
          <w:sz w:val="11"/>
          <w:szCs w:val="11"/>
          <w:u w:val="single" w:color="auto"/>
          <w:color w:val="2D96D2"/>
        </w:rPr>
        <w:t>0</w:t>
      </w:r>
    </w:p>
    <w:p>
      <w:pPr>
        <w:spacing w:after="0" w:line="54" w:lineRule="exact"/>
        <w:rPr>
          <w:sz w:val="20"/>
          <w:szCs w:val="20"/>
          <w:color w:val="auto"/>
        </w:rPr>
      </w:pPr>
    </w:p>
    <w:p>
      <w:pPr>
        <w:ind w:left="1100"/>
        <w:spacing w:after="0"/>
        <w:tabs>
          <w:tab w:leader="none" w:pos="1760" w:val="left"/>
        </w:tabs>
        <w:rPr>
          <w:sz w:val="20"/>
          <w:szCs w:val="20"/>
          <w:color w:val="auto"/>
        </w:rPr>
      </w:pPr>
      <w:r>
        <w:rPr>
          <w:rFonts w:ascii="Arial" w:cs="Arial" w:eastAsia="Arial" w:hAnsi="Arial"/>
          <w:sz w:val="11"/>
          <w:szCs w:val="11"/>
          <w:color w:val="auto"/>
        </w:rPr>
        <w:t>Attention:</w:t>
      </w:r>
      <w:r>
        <w:rPr>
          <w:sz w:val="20"/>
          <w:szCs w:val="20"/>
          <w:color w:val="auto"/>
        </w:rPr>
        <w:tab/>
      </w:r>
      <w:r>
        <w:rPr>
          <w:rFonts w:ascii="Arial" w:cs="Arial" w:eastAsia="Arial" w:hAnsi="Arial"/>
          <w:sz w:val="11"/>
          <w:szCs w:val="11"/>
          <w:color w:val="auto"/>
        </w:rPr>
        <w:t>Jonathan Kerr</w:t>
      </w:r>
    </w:p>
    <w:p>
      <w:pPr>
        <w:spacing w:after="0" w:line="69" w:lineRule="exact"/>
        <w:rPr>
          <w:sz w:val="20"/>
          <w:szCs w:val="20"/>
          <w:color w:val="auto"/>
        </w:rPr>
      </w:pPr>
    </w:p>
    <w:p>
      <w:pPr>
        <w:ind w:left="1080" w:hanging="280"/>
        <w:spacing w:after="0"/>
        <w:tabs>
          <w:tab w:leader="none" w:pos="1080" w:val="left"/>
        </w:tabs>
        <w:numPr>
          <w:ilvl w:val="0"/>
          <w:numId w:val="241"/>
        </w:numPr>
        <w:rPr>
          <w:rFonts w:ascii="Arial" w:cs="Arial" w:eastAsia="Arial" w:hAnsi="Arial"/>
          <w:sz w:val="11"/>
          <w:szCs w:val="11"/>
          <w:color w:val="auto"/>
        </w:rPr>
      </w:pPr>
      <w:r>
        <w:rPr>
          <w:rFonts w:ascii="Arial" w:cs="Arial" w:eastAsia="Arial" w:hAnsi="Arial"/>
          <w:sz w:val="11"/>
          <w:szCs w:val="11"/>
          <w:color w:val="auto"/>
        </w:rPr>
        <w:t>Each party may change its particulars for delivery of notices by notice to each other party.</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19.4</w:t>
        <w:tab/>
        <w:t>Communications by post</w:t>
      </w:r>
    </w:p>
    <w:p>
      <w:pPr>
        <w:spacing w:after="0" w:line="4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Subject to </w:t>
      </w:r>
      <w:r>
        <w:rPr>
          <w:rFonts w:ascii="Arial" w:cs="Arial" w:eastAsia="Arial" w:hAnsi="Arial"/>
          <w:sz w:val="11"/>
          <w:szCs w:val="11"/>
          <w:b w:val="1"/>
          <w:bCs w:val="1"/>
          <w:color w:val="auto"/>
        </w:rPr>
        <w:t>clause 19.6</w:t>
      </w:r>
      <w:r>
        <w:rPr>
          <w:rFonts w:ascii="Arial" w:cs="Arial" w:eastAsia="Arial" w:hAnsi="Arial"/>
          <w:sz w:val="11"/>
          <w:szCs w:val="11"/>
          <w:color w:val="auto"/>
        </w:rPr>
        <w:t>, a communication is given if posted:</w:t>
      </w:r>
    </w:p>
    <w:p>
      <w:pPr>
        <w:spacing w:after="0" w:line="75" w:lineRule="exact"/>
        <w:rPr>
          <w:sz w:val="20"/>
          <w:szCs w:val="20"/>
          <w:color w:val="auto"/>
        </w:rPr>
      </w:pPr>
    </w:p>
    <w:p>
      <w:pPr>
        <w:ind w:left="1080" w:hanging="280"/>
        <w:spacing w:after="0"/>
        <w:tabs>
          <w:tab w:leader="none" w:pos="1080" w:val="left"/>
        </w:tabs>
        <w:numPr>
          <w:ilvl w:val="0"/>
          <w:numId w:val="242"/>
        </w:numPr>
        <w:rPr>
          <w:rFonts w:ascii="Arial" w:cs="Arial" w:eastAsia="Arial" w:hAnsi="Arial"/>
          <w:sz w:val="11"/>
          <w:szCs w:val="11"/>
          <w:color w:val="auto"/>
        </w:rPr>
      </w:pPr>
      <w:r>
        <w:rPr>
          <w:rFonts w:ascii="Arial" w:cs="Arial" w:eastAsia="Arial" w:hAnsi="Arial"/>
          <w:sz w:val="11"/>
          <w:szCs w:val="11"/>
          <w:color w:val="auto"/>
        </w:rPr>
        <w:t>within Australia to an Australian address, three Business Days after posting; or</w:t>
      </w:r>
    </w:p>
    <w:p>
      <w:pPr>
        <w:spacing w:after="0" w:line="53" w:lineRule="exact"/>
        <w:rPr>
          <w:rFonts w:ascii="Arial" w:cs="Arial" w:eastAsia="Arial" w:hAnsi="Arial"/>
          <w:sz w:val="11"/>
          <w:szCs w:val="11"/>
          <w:color w:val="auto"/>
        </w:rPr>
      </w:pPr>
    </w:p>
    <w:p>
      <w:pPr>
        <w:ind w:left="1080" w:hanging="280"/>
        <w:spacing w:after="0"/>
        <w:tabs>
          <w:tab w:leader="none" w:pos="1080" w:val="left"/>
        </w:tabs>
        <w:numPr>
          <w:ilvl w:val="0"/>
          <w:numId w:val="242"/>
        </w:numPr>
        <w:rPr>
          <w:rFonts w:ascii="Arial" w:cs="Arial" w:eastAsia="Arial" w:hAnsi="Arial"/>
          <w:sz w:val="11"/>
          <w:szCs w:val="11"/>
          <w:color w:val="auto"/>
        </w:rPr>
      </w:pPr>
      <w:r>
        <w:rPr>
          <w:rFonts w:ascii="Arial" w:cs="Arial" w:eastAsia="Arial" w:hAnsi="Arial"/>
          <w:sz w:val="11"/>
          <w:szCs w:val="11"/>
          <w:color w:val="auto"/>
        </w:rPr>
        <w:t>in any other case, ten Business Days after posting.</w:t>
      </w:r>
    </w:p>
    <w:p>
      <w:pPr>
        <w:spacing w:after="0" w:line="101"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19.5</w:t>
        <w:tab/>
        <w:t>Communications by fax</w:t>
      </w:r>
    </w:p>
    <w:p>
      <w:pPr>
        <w:spacing w:after="0" w:line="41" w:lineRule="exact"/>
        <w:rPr>
          <w:sz w:val="20"/>
          <w:szCs w:val="20"/>
          <w:color w:val="auto"/>
        </w:rPr>
      </w:pPr>
    </w:p>
    <w:p>
      <w:pPr>
        <w:ind w:left="840" w:right="1580"/>
        <w:spacing w:after="0" w:line="268" w:lineRule="auto"/>
        <w:rPr>
          <w:sz w:val="20"/>
          <w:szCs w:val="20"/>
          <w:color w:val="auto"/>
        </w:rPr>
      </w:pPr>
      <w:r>
        <w:rPr>
          <w:rFonts w:ascii="Arial" w:cs="Arial" w:eastAsia="Arial" w:hAnsi="Arial"/>
          <w:sz w:val="11"/>
          <w:szCs w:val="11"/>
          <w:color w:val="auto"/>
        </w:rPr>
        <w:t xml:space="preserve">Subject to </w:t>
      </w:r>
      <w:r>
        <w:rPr>
          <w:rFonts w:ascii="Arial" w:cs="Arial" w:eastAsia="Arial" w:hAnsi="Arial"/>
          <w:sz w:val="11"/>
          <w:szCs w:val="11"/>
          <w:b w:val="1"/>
          <w:bCs w:val="1"/>
          <w:color w:val="auto"/>
        </w:rPr>
        <w:t>clause 19.6</w:t>
      </w:r>
      <w:r>
        <w:rPr>
          <w:rFonts w:ascii="Arial" w:cs="Arial" w:eastAsia="Arial" w:hAnsi="Arial"/>
          <w:sz w:val="11"/>
          <w:szCs w:val="11"/>
          <w:color w:val="auto"/>
        </w:rPr>
        <w:t>, a communication is given if sent by fax when the sender’s fax machine produces a report that the fax was sent in full to the addressee. That report is conclusive evidence that the addressee received the fax in full at the time indicated on that report.</w:t>
      </w:r>
    </w:p>
    <w:p>
      <w:pPr>
        <w:spacing w:after="0" w:line="4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19.6</w:t>
        <w:tab/>
        <w:t>After hours communications</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If a communication is given:</w:t>
      </w:r>
    </w:p>
    <w:p>
      <w:pPr>
        <w:spacing w:after="0" w:line="76" w:lineRule="exact"/>
        <w:rPr>
          <w:sz w:val="20"/>
          <w:szCs w:val="20"/>
          <w:color w:val="auto"/>
        </w:rPr>
      </w:pPr>
    </w:p>
    <w:p>
      <w:pPr>
        <w:ind w:left="1080" w:hanging="280"/>
        <w:spacing w:after="0"/>
        <w:tabs>
          <w:tab w:leader="none" w:pos="1080" w:val="left"/>
        </w:tabs>
        <w:numPr>
          <w:ilvl w:val="0"/>
          <w:numId w:val="243"/>
        </w:numPr>
        <w:rPr>
          <w:rFonts w:ascii="Arial" w:cs="Arial" w:eastAsia="Arial" w:hAnsi="Arial"/>
          <w:sz w:val="11"/>
          <w:szCs w:val="11"/>
          <w:color w:val="auto"/>
        </w:rPr>
      </w:pPr>
      <w:r>
        <w:rPr>
          <w:rFonts w:ascii="Arial" w:cs="Arial" w:eastAsia="Arial" w:hAnsi="Arial"/>
          <w:sz w:val="11"/>
          <w:szCs w:val="11"/>
          <w:color w:val="auto"/>
        </w:rPr>
        <w:t>after 5.00 pm in the place of receipt; or</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76</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44" w:name="page145"/>
    <w:bookmarkEnd w:id="144"/>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80" w:hanging="280"/>
        <w:spacing w:after="0"/>
        <w:tabs>
          <w:tab w:leader="none" w:pos="1080" w:val="left"/>
        </w:tabs>
        <w:numPr>
          <w:ilvl w:val="0"/>
          <w:numId w:val="244"/>
        </w:numPr>
        <w:rPr>
          <w:rFonts w:ascii="Arial" w:cs="Arial" w:eastAsia="Arial" w:hAnsi="Arial"/>
          <w:sz w:val="11"/>
          <w:szCs w:val="11"/>
          <w:color w:val="auto"/>
        </w:rPr>
      </w:pPr>
      <w:r>
        <w:rPr>
          <w:rFonts w:ascii="Arial" w:cs="Arial" w:eastAsia="Arial" w:hAnsi="Arial"/>
          <w:sz w:val="11"/>
          <w:szCs w:val="11"/>
          <w:color w:val="auto"/>
        </w:rPr>
        <w:t>on a day which is a Saturday, Sunday or bank or public holiday in the place of receipt,</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1"/>
          <w:szCs w:val="11"/>
          <w:color w:val="auto"/>
        </w:rPr>
        <w:t>it is taken as having been given at 9.00 am on the next day which is not a Saturday, Sunday or bank or public holiday in that place.</w:t>
      </w:r>
    </w:p>
    <w:p>
      <w:pPr>
        <w:spacing w:after="0" w:line="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b w:val="1"/>
          <w:bCs w:val="1"/>
          <w:color w:val="auto"/>
        </w:rPr>
        <w:t>19.7</w:t>
        <w:tab/>
        <w:t>Process service</w:t>
      </w:r>
    </w:p>
    <w:p>
      <w:pPr>
        <w:spacing w:after="0" w:line="47" w:lineRule="exact"/>
        <w:rPr>
          <w:sz w:val="20"/>
          <w:szCs w:val="20"/>
          <w:color w:val="auto"/>
        </w:rPr>
      </w:pPr>
    </w:p>
    <w:p>
      <w:pPr>
        <w:ind w:left="840" w:right="340"/>
        <w:spacing w:after="0" w:line="275" w:lineRule="auto"/>
        <w:rPr>
          <w:sz w:val="20"/>
          <w:szCs w:val="20"/>
          <w:color w:val="auto"/>
        </w:rPr>
      </w:pPr>
      <w:r>
        <w:rPr>
          <w:rFonts w:ascii="Arial" w:cs="Arial" w:eastAsia="Arial" w:hAnsi="Arial"/>
          <w:sz w:val="11"/>
          <w:szCs w:val="11"/>
          <w:color w:val="auto"/>
        </w:rPr>
        <w:t xml:space="preserve">Any process or other document relating to litigation, administrative or arbitral proceedings relating to a Transaction Document may be served on a party to this document by any method contemplated by this </w:t>
      </w:r>
      <w:r>
        <w:rPr>
          <w:rFonts w:ascii="Arial" w:cs="Arial" w:eastAsia="Arial" w:hAnsi="Arial"/>
          <w:sz w:val="11"/>
          <w:szCs w:val="11"/>
          <w:b w:val="1"/>
          <w:bCs w:val="1"/>
          <w:color w:val="auto"/>
        </w:rPr>
        <w:t>clause 19.7</w:t>
      </w:r>
      <w:r>
        <w:rPr>
          <w:rFonts w:ascii="Arial" w:cs="Arial" w:eastAsia="Arial" w:hAnsi="Arial"/>
          <w:sz w:val="11"/>
          <w:szCs w:val="11"/>
          <w:color w:val="auto"/>
        </w:rPr>
        <w:t xml:space="preserve"> or in accordance with any applicable law.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60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00" w:type="dxa"/>
            <w:vAlign w:val="bottom"/>
          </w:tcPr>
          <w:p>
            <w:pPr>
              <w:ind w:left="3900"/>
              <w:spacing w:after="0"/>
              <w:rPr>
                <w:sz w:val="20"/>
                <w:szCs w:val="20"/>
                <w:color w:val="auto"/>
              </w:rPr>
            </w:pPr>
            <w:r>
              <w:rPr>
                <w:rFonts w:ascii="Arial" w:cs="Arial" w:eastAsia="Arial" w:hAnsi="Arial"/>
                <w:sz w:val="8"/>
                <w:szCs w:val="8"/>
                <w:color w:val="auto"/>
                <w:w w:val="96"/>
              </w:rPr>
              <w:t>page 77</w:t>
            </w:r>
          </w:p>
        </w:tc>
      </w:tr>
      <w:tr>
        <w:trPr>
          <w:trHeight w:val="94"/>
        </w:trPr>
        <w:tc>
          <w:tcPr>
            <w:tcW w:w="528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0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600" w:type="dxa"/>
            <w:vAlign w:val="bottom"/>
            <w:tcBorders>
              <w:bottom w:val="single" w:sz="8" w:color="EEEEEE"/>
            </w:tcBorders>
          </w:tcPr>
          <w:p>
            <w:pPr>
              <w:spacing w:after="0"/>
              <w:rPr>
                <w:sz w:val="18"/>
                <w:szCs w:val="18"/>
                <w:color w:val="auto"/>
              </w:rPr>
            </w:pPr>
          </w:p>
        </w:tc>
        <w:tc>
          <w:tcPr>
            <w:tcW w:w="420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45" w:name="page146"/>
    <w:bookmarkEnd w:id="145"/>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Schedule 1 Original Guarantors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0" w:type="dxa"/>
            <w:vAlign w:val="bottom"/>
            <w:tcBorders>
              <w:right w:val="single" w:sz="8" w:color="12395C"/>
            </w:tcBorders>
          </w:tcPr>
          <w:p>
            <w:pPr>
              <w:spacing w:after="0"/>
              <w:rPr>
                <w:sz w:val="21"/>
                <w:szCs w:val="21"/>
                <w:color w:val="auto"/>
              </w:rPr>
            </w:pPr>
          </w:p>
        </w:tc>
        <w:tc>
          <w:tcPr>
            <w:tcW w:w="3260" w:type="dxa"/>
            <w:vAlign w:val="bottom"/>
            <w:tcBorders>
              <w:bottom w:val="single" w:sz="8" w:color="12395C"/>
            </w:tcBorders>
            <w:gridSpan w:val="4"/>
            <w:shd w:val="clear" w:color="auto" w:fill="12395C"/>
          </w:tcPr>
          <w:p>
            <w:pPr>
              <w:spacing w:after="0"/>
              <w:rPr>
                <w:sz w:val="20"/>
                <w:szCs w:val="20"/>
                <w:color w:val="auto"/>
              </w:rPr>
            </w:pPr>
            <w:r>
              <w:rPr>
                <w:rFonts w:ascii="Arial" w:cs="Arial" w:eastAsia="Arial" w:hAnsi="Arial"/>
                <w:sz w:val="9"/>
                <w:szCs w:val="9"/>
                <w:b w:val="1"/>
                <w:bCs w:val="1"/>
                <w:color w:val="FFFFFF"/>
              </w:rPr>
              <w:t>Name</w:t>
            </w:r>
          </w:p>
        </w:tc>
        <w:tc>
          <w:tcPr>
            <w:tcW w:w="120" w:type="dxa"/>
            <w:vAlign w:val="bottom"/>
            <w:tcBorders>
              <w:bottom w:val="single" w:sz="8" w:color="12395C"/>
              <w:right w:val="single" w:sz="8" w:color="A6A6A6"/>
            </w:tcBorders>
            <w:shd w:val="clear" w:color="auto" w:fill="12395C"/>
          </w:tcPr>
          <w:p>
            <w:pPr>
              <w:spacing w:after="0"/>
              <w:rPr>
                <w:sz w:val="21"/>
                <w:szCs w:val="21"/>
                <w:color w:val="auto"/>
              </w:rPr>
            </w:pPr>
          </w:p>
        </w:tc>
        <w:tc>
          <w:tcPr>
            <w:tcW w:w="640" w:type="dxa"/>
            <w:vAlign w:val="bottom"/>
            <w:tcBorders>
              <w:bottom w:val="single" w:sz="8" w:color="12395C"/>
              <w:right w:val="single" w:sz="8" w:color="A6A6A6"/>
            </w:tcBorders>
            <w:shd w:val="clear" w:color="auto" w:fill="12395C"/>
          </w:tcPr>
          <w:p>
            <w:pPr>
              <w:ind w:left="20"/>
              <w:spacing w:after="0"/>
              <w:rPr>
                <w:sz w:val="20"/>
                <w:szCs w:val="20"/>
                <w:color w:val="auto"/>
              </w:rPr>
            </w:pPr>
            <w:r>
              <w:rPr>
                <w:rFonts w:ascii="Arial" w:cs="Arial" w:eastAsia="Arial" w:hAnsi="Arial"/>
                <w:sz w:val="9"/>
                <w:szCs w:val="9"/>
                <w:b w:val="1"/>
                <w:bCs w:val="1"/>
                <w:color w:val="FFFFFF"/>
              </w:rPr>
              <w:t>ACN</w:t>
            </w:r>
          </w:p>
        </w:tc>
        <w:tc>
          <w:tcPr>
            <w:tcW w:w="2040" w:type="dxa"/>
            <w:vAlign w:val="bottom"/>
            <w:tcBorders>
              <w:bottom w:val="single" w:sz="8" w:color="12395C"/>
              <w:right w:val="single" w:sz="8" w:color="A6A6A6"/>
            </w:tcBorders>
            <w:shd w:val="clear" w:color="auto" w:fill="12395C"/>
          </w:tcPr>
          <w:p>
            <w:pPr>
              <w:ind w:left="40"/>
              <w:spacing w:after="0"/>
              <w:rPr>
                <w:sz w:val="20"/>
                <w:szCs w:val="20"/>
                <w:color w:val="auto"/>
              </w:rPr>
            </w:pPr>
            <w:r>
              <w:rPr>
                <w:rFonts w:ascii="Arial" w:cs="Arial" w:eastAsia="Arial" w:hAnsi="Arial"/>
                <w:sz w:val="9"/>
                <w:szCs w:val="9"/>
                <w:b w:val="1"/>
                <w:bCs w:val="1"/>
                <w:color w:val="FFFFFF"/>
              </w:rPr>
              <w:t>Particulars for delivery of notices</w:t>
            </w: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0" w:type="dxa"/>
            <w:vAlign w:val="bottom"/>
            <w:tcBorders>
              <w:right w:val="single" w:sz="8" w:color="A6A6A6"/>
            </w:tcBorders>
          </w:tcPr>
          <w:p>
            <w:pPr>
              <w:spacing w:after="0"/>
              <w:rPr>
                <w:sz w:val="17"/>
                <w:szCs w:val="17"/>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Reading Entertainment Australia Pty Ltd</w:t>
            </w:r>
          </w:p>
        </w:tc>
        <w:tc>
          <w:tcPr>
            <w:tcW w:w="120" w:type="dxa"/>
            <w:vAlign w:val="bottom"/>
            <w:tcBorders>
              <w:right w:val="single" w:sz="8" w:color="A6A6A6"/>
            </w:tcBorders>
          </w:tcPr>
          <w:p>
            <w:pPr>
              <w:spacing w:after="0"/>
              <w:rPr>
                <w:sz w:val="17"/>
                <w:szCs w:val="17"/>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070 893 908</w:t>
            </w:r>
          </w:p>
        </w:tc>
        <w:tc>
          <w:tcPr>
            <w:tcW w:w="20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Address: 98</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400" w:type="dxa"/>
            <w:vAlign w:val="bottom"/>
            <w:tcBorders>
              <w:right w:val="single" w:sz="8" w:color="A6A6A6"/>
            </w:tcBorders>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310" w:type="dxa"/>
            <w:vAlign w:val="bottom"/>
          </w:tcPr>
          <w:p>
            <w:pPr>
              <w:spacing w:after="0"/>
              <w:rPr>
                <w:sz w:val="3"/>
                <w:szCs w:val="3"/>
                <w:color w:val="auto"/>
              </w:rPr>
            </w:pPr>
          </w:p>
        </w:tc>
        <w:tc>
          <w:tcPr>
            <w:tcW w:w="150" w:type="dxa"/>
            <w:vAlign w:val="bottom"/>
          </w:tcPr>
          <w:p>
            <w:pPr>
              <w:spacing w:after="0"/>
              <w:rPr>
                <w:sz w:val="3"/>
                <w:szCs w:val="3"/>
                <w:color w:val="auto"/>
              </w:rPr>
            </w:pPr>
          </w:p>
        </w:tc>
        <w:tc>
          <w:tcPr>
            <w:tcW w:w="120" w:type="dxa"/>
            <w:vAlign w:val="bottom"/>
            <w:tcBorders>
              <w:right w:val="single" w:sz="8" w:color="A6A6A6"/>
            </w:tcBorders>
          </w:tcPr>
          <w:p>
            <w:pPr>
              <w:spacing w:after="0"/>
              <w:rPr>
                <w:sz w:val="3"/>
                <w:szCs w:val="3"/>
                <w:color w:val="auto"/>
              </w:rPr>
            </w:pPr>
          </w:p>
        </w:tc>
        <w:tc>
          <w:tcPr>
            <w:tcW w:w="640" w:type="dxa"/>
            <w:vAlign w:val="bottom"/>
            <w:tcBorders>
              <w:right w:val="single" w:sz="8" w:color="A6A6A6"/>
            </w:tcBorders>
            <w:vMerge w:val="continue"/>
          </w:tcPr>
          <w:p>
            <w:pPr>
              <w:spacing w:after="0"/>
              <w:rPr>
                <w:sz w:val="3"/>
                <w:szCs w:val="3"/>
                <w:color w:val="auto"/>
              </w:rPr>
            </w:pPr>
          </w:p>
        </w:tc>
        <w:tc>
          <w:tcPr>
            <w:tcW w:w="2040" w:type="dxa"/>
            <w:vAlign w:val="bottom"/>
            <w:tcBorders>
              <w:right w:val="single" w:sz="8" w:color="A6A6A6"/>
            </w:tcBorders>
            <w:vMerge w:val="continue"/>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10" w:type="dxa"/>
            <w:vAlign w:val="bottom"/>
          </w:tcPr>
          <w:p>
            <w:pPr>
              <w:spacing w:after="0"/>
              <w:rPr>
                <w:sz w:val="9"/>
                <w:szCs w:val="9"/>
                <w:color w:val="auto"/>
              </w:rPr>
            </w:pPr>
          </w:p>
        </w:tc>
        <w:tc>
          <w:tcPr>
            <w:tcW w:w="150" w:type="dxa"/>
            <w:vAlign w:val="bottom"/>
          </w:tcPr>
          <w:p>
            <w:pPr>
              <w:spacing w:after="0"/>
              <w:rPr>
                <w:sz w:val="9"/>
                <w:szCs w:val="9"/>
                <w:color w:val="auto"/>
              </w:rPr>
            </w:pPr>
          </w:p>
        </w:tc>
        <w:tc>
          <w:tcPr>
            <w:tcW w:w="120" w:type="dxa"/>
            <w:vAlign w:val="bottom"/>
            <w:tcBorders>
              <w:right w:val="single" w:sz="8" w:color="A6A6A6"/>
            </w:tcBorders>
          </w:tcPr>
          <w:p>
            <w:pPr>
              <w:spacing w:after="0"/>
              <w:rPr>
                <w:sz w:val="9"/>
                <w:szCs w:val="9"/>
                <w:color w:val="auto"/>
              </w:rPr>
            </w:pPr>
          </w:p>
        </w:tc>
        <w:tc>
          <w:tcPr>
            <w:tcW w:w="640" w:type="dxa"/>
            <w:vAlign w:val="bottom"/>
            <w:tcBorders>
              <w:right w:val="single" w:sz="8" w:color="A6A6A6"/>
            </w:tcBorders>
          </w:tcPr>
          <w:p>
            <w:pPr>
              <w:spacing w:after="0"/>
              <w:rPr>
                <w:sz w:val="9"/>
                <w:szCs w:val="9"/>
                <w:color w:val="auto"/>
              </w:rPr>
            </w:pPr>
          </w:p>
        </w:tc>
        <w:tc>
          <w:tcPr>
            <w:tcW w:w="204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York Street, South Melbourne VIC</w:t>
            </w: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10" w:type="dxa"/>
            <w:vAlign w:val="bottom"/>
          </w:tcPr>
          <w:p>
            <w:pPr>
              <w:spacing w:after="0"/>
              <w:rPr>
                <w:sz w:val="9"/>
                <w:szCs w:val="9"/>
                <w:color w:val="auto"/>
              </w:rPr>
            </w:pPr>
          </w:p>
        </w:tc>
        <w:tc>
          <w:tcPr>
            <w:tcW w:w="150" w:type="dxa"/>
            <w:vAlign w:val="bottom"/>
          </w:tcPr>
          <w:p>
            <w:pPr>
              <w:spacing w:after="0"/>
              <w:rPr>
                <w:sz w:val="9"/>
                <w:szCs w:val="9"/>
                <w:color w:val="auto"/>
              </w:rPr>
            </w:pPr>
          </w:p>
        </w:tc>
        <w:tc>
          <w:tcPr>
            <w:tcW w:w="120" w:type="dxa"/>
            <w:vAlign w:val="bottom"/>
            <w:tcBorders>
              <w:right w:val="single" w:sz="8" w:color="A6A6A6"/>
            </w:tcBorders>
          </w:tcPr>
          <w:p>
            <w:pPr>
              <w:spacing w:after="0"/>
              <w:rPr>
                <w:sz w:val="9"/>
                <w:szCs w:val="9"/>
                <w:color w:val="auto"/>
              </w:rPr>
            </w:pPr>
          </w:p>
        </w:tc>
        <w:tc>
          <w:tcPr>
            <w:tcW w:w="640" w:type="dxa"/>
            <w:vAlign w:val="bottom"/>
            <w:tcBorders>
              <w:right w:val="single" w:sz="8" w:color="A6A6A6"/>
            </w:tcBorders>
          </w:tcPr>
          <w:p>
            <w:pPr>
              <w:spacing w:after="0"/>
              <w:rPr>
                <w:sz w:val="9"/>
                <w:szCs w:val="9"/>
                <w:color w:val="auto"/>
              </w:rPr>
            </w:pPr>
          </w:p>
        </w:tc>
        <w:tc>
          <w:tcPr>
            <w:tcW w:w="204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3205 Australia</w:t>
            </w: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400" w:type="dxa"/>
            <w:vAlign w:val="bottom"/>
            <w:tcBorders>
              <w:right w:val="single" w:sz="8" w:color="A6A6A6"/>
            </w:tcBorders>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1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120" w:type="dxa"/>
            <w:vAlign w:val="bottom"/>
            <w:tcBorders>
              <w:right w:val="single" w:sz="8" w:color="A6A6A6"/>
            </w:tcBorders>
          </w:tcPr>
          <w:p>
            <w:pPr>
              <w:spacing w:after="0"/>
              <w:rPr>
                <w:sz w:val="22"/>
                <w:szCs w:val="22"/>
                <w:color w:val="auto"/>
              </w:rPr>
            </w:pPr>
          </w:p>
        </w:tc>
        <w:tc>
          <w:tcPr>
            <w:tcW w:w="640" w:type="dxa"/>
            <w:vAlign w:val="bottom"/>
            <w:tcBorders>
              <w:right w:val="single" w:sz="8" w:color="A6A6A6"/>
            </w:tcBorders>
          </w:tcPr>
          <w:p>
            <w:pPr>
              <w:spacing w:after="0"/>
              <w:rPr>
                <w:sz w:val="22"/>
                <w:szCs w:val="22"/>
                <w:color w:val="auto"/>
              </w:rPr>
            </w:pPr>
          </w:p>
        </w:tc>
        <w:tc>
          <w:tcPr>
            <w:tcW w:w="204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Fax: 03 9685 0999</w:t>
            </w: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0" w:type="dxa"/>
            <w:vAlign w:val="bottom"/>
            <w:tcBorders>
              <w:right w:val="single" w:sz="8" w:color="A6A6A6"/>
            </w:tcBorders>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1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20" w:type="dxa"/>
            <w:vAlign w:val="bottom"/>
            <w:tcBorders>
              <w:right w:val="single" w:sz="8" w:color="A6A6A6"/>
            </w:tcBorders>
          </w:tcPr>
          <w:p>
            <w:pPr>
              <w:spacing w:after="0"/>
              <w:rPr>
                <w:sz w:val="24"/>
                <w:szCs w:val="24"/>
                <w:color w:val="auto"/>
              </w:rPr>
            </w:pPr>
          </w:p>
        </w:tc>
        <w:tc>
          <w:tcPr>
            <w:tcW w:w="640" w:type="dxa"/>
            <w:vAlign w:val="bottom"/>
            <w:tcBorders>
              <w:right w:val="single" w:sz="8" w:color="A6A6A6"/>
            </w:tcBorders>
          </w:tcPr>
          <w:p>
            <w:pPr>
              <w:spacing w:after="0"/>
              <w:rPr>
                <w:sz w:val="24"/>
                <w:szCs w:val="24"/>
                <w:color w:val="auto"/>
              </w:rPr>
            </w:pPr>
          </w:p>
        </w:tc>
        <w:tc>
          <w:tcPr>
            <w:tcW w:w="204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Attention: Managing Director AND</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0" w:type="dxa"/>
            <w:vAlign w:val="bottom"/>
            <w:tcBorders>
              <w:right w:val="single" w:sz="8" w:color="A6A6A6"/>
            </w:tcBorders>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1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20" w:type="dxa"/>
            <w:vAlign w:val="bottom"/>
            <w:tcBorders>
              <w:right w:val="single" w:sz="8" w:color="A6A6A6"/>
            </w:tcBorders>
          </w:tcPr>
          <w:p>
            <w:pPr>
              <w:spacing w:after="0"/>
              <w:rPr>
                <w:sz w:val="18"/>
                <w:szCs w:val="18"/>
                <w:color w:val="auto"/>
              </w:rPr>
            </w:pPr>
          </w:p>
        </w:tc>
        <w:tc>
          <w:tcPr>
            <w:tcW w:w="640" w:type="dxa"/>
            <w:vAlign w:val="bottom"/>
            <w:tcBorders>
              <w:right w:val="single" w:sz="8" w:color="A6A6A6"/>
            </w:tcBorders>
          </w:tcPr>
          <w:p>
            <w:pPr>
              <w:spacing w:after="0"/>
              <w:rPr>
                <w:sz w:val="18"/>
                <w:szCs w:val="18"/>
                <w:color w:val="auto"/>
              </w:rPr>
            </w:pPr>
          </w:p>
        </w:tc>
        <w:tc>
          <w:tcPr>
            <w:tcW w:w="204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TO:</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0" w:type="dxa"/>
            <w:vAlign w:val="bottom"/>
            <w:tcBorders>
              <w:right w:val="single" w:sz="8" w:color="A6A6A6"/>
            </w:tcBorders>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1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120" w:type="dxa"/>
            <w:vAlign w:val="bottom"/>
            <w:tcBorders>
              <w:right w:val="single" w:sz="8" w:color="A6A6A6"/>
            </w:tcBorders>
          </w:tcPr>
          <w:p>
            <w:pPr>
              <w:spacing w:after="0"/>
              <w:rPr>
                <w:sz w:val="14"/>
                <w:szCs w:val="14"/>
                <w:color w:val="auto"/>
              </w:rPr>
            </w:pPr>
          </w:p>
        </w:tc>
        <w:tc>
          <w:tcPr>
            <w:tcW w:w="640" w:type="dxa"/>
            <w:vAlign w:val="bottom"/>
            <w:tcBorders>
              <w:right w:val="single" w:sz="8" w:color="A6A6A6"/>
            </w:tcBorders>
          </w:tcPr>
          <w:p>
            <w:pPr>
              <w:spacing w:after="0"/>
              <w:rPr>
                <w:sz w:val="14"/>
                <w:szCs w:val="14"/>
                <w:color w:val="auto"/>
              </w:rPr>
            </w:pPr>
          </w:p>
        </w:tc>
        <w:tc>
          <w:tcPr>
            <w:tcW w:w="204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Reading International Inc.</w:t>
            </w: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400" w:type="dxa"/>
            <w:vAlign w:val="bottom"/>
            <w:tcBorders>
              <w:right w:val="single" w:sz="8" w:color="A6A6A6"/>
            </w:tcBorders>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1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20" w:type="dxa"/>
            <w:vAlign w:val="bottom"/>
            <w:tcBorders>
              <w:right w:val="single" w:sz="8" w:color="A6A6A6"/>
            </w:tcBorders>
          </w:tcPr>
          <w:p>
            <w:pPr>
              <w:spacing w:after="0"/>
              <w:rPr>
                <w:sz w:val="21"/>
                <w:szCs w:val="21"/>
                <w:color w:val="auto"/>
              </w:rPr>
            </w:pPr>
          </w:p>
        </w:tc>
        <w:tc>
          <w:tcPr>
            <w:tcW w:w="640" w:type="dxa"/>
            <w:vAlign w:val="bottom"/>
            <w:tcBorders>
              <w:right w:val="single" w:sz="8" w:color="A6A6A6"/>
            </w:tcBorders>
          </w:tcPr>
          <w:p>
            <w:pPr>
              <w:spacing w:after="0"/>
              <w:rPr>
                <w:sz w:val="21"/>
                <w:szCs w:val="21"/>
                <w:color w:val="auto"/>
              </w:rPr>
            </w:pPr>
          </w:p>
        </w:tc>
        <w:tc>
          <w:tcPr>
            <w:tcW w:w="204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Address: 5995 Sepulveda Blvd, Suite 300 Culver</w:t>
            </w: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10" w:type="dxa"/>
            <w:vAlign w:val="bottom"/>
          </w:tcPr>
          <w:p>
            <w:pPr>
              <w:spacing w:after="0"/>
              <w:rPr>
                <w:sz w:val="9"/>
                <w:szCs w:val="9"/>
                <w:color w:val="auto"/>
              </w:rPr>
            </w:pPr>
          </w:p>
        </w:tc>
        <w:tc>
          <w:tcPr>
            <w:tcW w:w="150" w:type="dxa"/>
            <w:vAlign w:val="bottom"/>
          </w:tcPr>
          <w:p>
            <w:pPr>
              <w:spacing w:after="0"/>
              <w:rPr>
                <w:sz w:val="9"/>
                <w:szCs w:val="9"/>
                <w:color w:val="auto"/>
              </w:rPr>
            </w:pPr>
          </w:p>
        </w:tc>
        <w:tc>
          <w:tcPr>
            <w:tcW w:w="120" w:type="dxa"/>
            <w:vAlign w:val="bottom"/>
            <w:tcBorders>
              <w:right w:val="single" w:sz="8" w:color="A6A6A6"/>
            </w:tcBorders>
          </w:tcPr>
          <w:p>
            <w:pPr>
              <w:spacing w:after="0"/>
              <w:rPr>
                <w:sz w:val="9"/>
                <w:szCs w:val="9"/>
                <w:color w:val="auto"/>
              </w:rPr>
            </w:pPr>
          </w:p>
        </w:tc>
        <w:tc>
          <w:tcPr>
            <w:tcW w:w="640" w:type="dxa"/>
            <w:vAlign w:val="bottom"/>
            <w:tcBorders>
              <w:right w:val="single" w:sz="8" w:color="A6A6A6"/>
            </w:tcBorders>
          </w:tcPr>
          <w:p>
            <w:pPr>
              <w:spacing w:after="0"/>
              <w:rPr>
                <w:sz w:val="9"/>
                <w:szCs w:val="9"/>
                <w:color w:val="auto"/>
              </w:rPr>
            </w:pPr>
          </w:p>
        </w:tc>
        <w:tc>
          <w:tcPr>
            <w:tcW w:w="204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City California 90230</w:t>
            </w: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00" w:type="dxa"/>
            <w:vAlign w:val="bottom"/>
            <w:tcBorders>
              <w:right w:val="single" w:sz="8" w:color="A6A6A6"/>
            </w:tcBorders>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1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120" w:type="dxa"/>
            <w:vAlign w:val="bottom"/>
            <w:tcBorders>
              <w:right w:val="single" w:sz="8" w:color="A6A6A6"/>
            </w:tcBorders>
          </w:tcPr>
          <w:p>
            <w:pPr>
              <w:spacing w:after="0"/>
              <w:rPr>
                <w:sz w:val="14"/>
                <w:szCs w:val="14"/>
                <w:color w:val="auto"/>
              </w:rPr>
            </w:pPr>
          </w:p>
        </w:tc>
        <w:tc>
          <w:tcPr>
            <w:tcW w:w="640" w:type="dxa"/>
            <w:vAlign w:val="bottom"/>
            <w:tcBorders>
              <w:right w:val="single" w:sz="8" w:color="A6A6A6"/>
            </w:tcBorders>
          </w:tcPr>
          <w:p>
            <w:pPr>
              <w:spacing w:after="0"/>
              <w:rPr>
                <w:sz w:val="14"/>
                <w:szCs w:val="14"/>
                <w:color w:val="auto"/>
              </w:rPr>
            </w:pPr>
          </w:p>
        </w:tc>
        <w:tc>
          <w:tcPr>
            <w:tcW w:w="204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United States of America Fax:</w:t>
            </w: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00" w:type="dxa"/>
            <w:vAlign w:val="bottom"/>
            <w:tcBorders>
              <w:right w:val="single" w:sz="8" w:color="A6A6A6"/>
            </w:tcBorders>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1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20" w:type="dxa"/>
            <w:vAlign w:val="bottom"/>
            <w:tcBorders>
              <w:right w:val="single" w:sz="8" w:color="A6A6A6"/>
            </w:tcBorders>
          </w:tcPr>
          <w:p>
            <w:pPr>
              <w:spacing w:after="0"/>
              <w:rPr>
                <w:sz w:val="18"/>
                <w:szCs w:val="18"/>
                <w:color w:val="auto"/>
              </w:rPr>
            </w:pPr>
          </w:p>
        </w:tc>
        <w:tc>
          <w:tcPr>
            <w:tcW w:w="640" w:type="dxa"/>
            <w:vAlign w:val="bottom"/>
            <w:tcBorders>
              <w:right w:val="single" w:sz="8" w:color="A6A6A6"/>
            </w:tcBorders>
          </w:tcPr>
          <w:p>
            <w:pPr>
              <w:spacing w:after="0"/>
              <w:rPr>
                <w:sz w:val="18"/>
                <w:szCs w:val="18"/>
                <w:color w:val="auto"/>
              </w:rPr>
            </w:pPr>
          </w:p>
        </w:tc>
        <w:tc>
          <w:tcPr>
            <w:tcW w:w="204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+1 213 235 2229</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0" w:type="dxa"/>
            <w:vAlign w:val="bottom"/>
            <w:tcBorders>
              <w:right w:val="single" w:sz="8" w:color="A6A6A6"/>
            </w:tcBorders>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1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120" w:type="dxa"/>
            <w:vAlign w:val="bottom"/>
            <w:tcBorders>
              <w:right w:val="single" w:sz="8" w:color="A6A6A6"/>
            </w:tcBorders>
          </w:tcPr>
          <w:p>
            <w:pPr>
              <w:spacing w:after="0"/>
              <w:rPr>
                <w:sz w:val="14"/>
                <w:szCs w:val="14"/>
                <w:color w:val="auto"/>
              </w:rPr>
            </w:pPr>
          </w:p>
        </w:tc>
        <w:tc>
          <w:tcPr>
            <w:tcW w:w="640" w:type="dxa"/>
            <w:vAlign w:val="bottom"/>
            <w:tcBorders>
              <w:right w:val="single" w:sz="8" w:color="A6A6A6"/>
            </w:tcBorders>
          </w:tcPr>
          <w:p>
            <w:pPr>
              <w:spacing w:after="0"/>
              <w:rPr>
                <w:sz w:val="14"/>
                <w:szCs w:val="14"/>
                <w:color w:val="auto"/>
              </w:rPr>
            </w:pPr>
          </w:p>
        </w:tc>
        <w:tc>
          <w:tcPr>
            <w:tcW w:w="204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Attention: Chief Financial Officer</w:t>
            </w: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400" w:type="dxa"/>
            <w:vAlign w:val="bottom"/>
            <w:tcBorders>
              <w:right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520" w:type="dxa"/>
            <w:vAlign w:val="bottom"/>
            <w:tcBorders>
              <w:bottom w:val="single" w:sz="8" w:color="A6A6A6"/>
            </w:tcBorders>
          </w:tcPr>
          <w:p>
            <w:pPr>
              <w:spacing w:after="0"/>
              <w:rPr>
                <w:sz w:val="5"/>
                <w:szCs w:val="5"/>
                <w:color w:val="auto"/>
              </w:rPr>
            </w:pPr>
          </w:p>
        </w:tc>
        <w:tc>
          <w:tcPr>
            <w:tcW w:w="1310" w:type="dxa"/>
            <w:vAlign w:val="bottom"/>
            <w:tcBorders>
              <w:bottom w:val="single" w:sz="8" w:color="A6A6A6"/>
            </w:tcBorders>
          </w:tcPr>
          <w:p>
            <w:pPr>
              <w:spacing w:after="0"/>
              <w:rPr>
                <w:sz w:val="5"/>
                <w:szCs w:val="5"/>
                <w:color w:val="auto"/>
              </w:rPr>
            </w:pPr>
          </w:p>
        </w:tc>
        <w:tc>
          <w:tcPr>
            <w:tcW w:w="150" w:type="dxa"/>
            <w:vAlign w:val="bottom"/>
            <w:tcBorders>
              <w:bottom w:val="single" w:sz="8" w:color="A6A6A6"/>
            </w:tcBorders>
          </w:tcPr>
          <w:p>
            <w:pPr>
              <w:spacing w:after="0"/>
              <w:rPr>
                <w:sz w:val="5"/>
                <w:szCs w:val="5"/>
                <w:color w:val="auto"/>
              </w:rPr>
            </w:pPr>
          </w:p>
        </w:tc>
        <w:tc>
          <w:tcPr>
            <w:tcW w:w="120" w:type="dxa"/>
            <w:vAlign w:val="bottom"/>
            <w:tcBorders>
              <w:bottom w:val="single" w:sz="8" w:color="A6A6A6"/>
              <w:right w:val="single" w:sz="8" w:color="A6A6A6"/>
            </w:tcBorders>
          </w:tcPr>
          <w:p>
            <w:pPr>
              <w:spacing w:after="0"/>
              <w:rPr>
                <w:sz w:val="5"/>
                <w:szCs w:val="5"/>
                <w:color w:val="auto"/>
              </w:rPr>
            </w:pPr>
          </w:p>
        </w:tc>
        <w:tc>
          <w:tcPr>
            <w:tcW w:w="640" w:type="dxa"/>
            <w:vAlign w:val="bottom"/>
            <w:tcBorders>
              <w:bottom w:val="single" w:sz="8" w:color="A6A6A6"/>
              <w:right w:val="single" w:sz="8" w:color="A6A6A6"/>
            </w:tcBorders>
          </w:tcPr>
          <w:p>
            <w:pPr>
              <w:spacing w:after="0"/>
              <w:rPr>
                <w:sz w:val="5"/>
                <w:szCs w:val="5"/>
                <w:color w:val="auto"/>
              </w:rPr>
            </w:pPr>
          </w:p>
        </w:tc>
        <w:tc>
          <w:tcPr>
            <w:tcW w:w="2040" w:type="dxa"/>
            <w:vAlign w:val="bottom"/>
            <w:tcBorders>
              <w:bottom w:val="single" w:sz="8" w:color="A6A6A6"/>
              <w:right w:val="single" w:sz="8" w:color="A6A6A6"/>
            </w:tcBorders>
          </w:tcPr>
          <w:p>
            <w:pPr>
              <w:spacing w:after="0"/>
              <w:rPr>
                <w:sz w:val="5"/>
                <w:szCs w:val="5"/>
                <w:color w:val="auto"/>
              </w:rPr>
            </w:pPr>
          </w:p>
        </w:tc>
        <w:tc>
          <w:tcPr>
            <w:tcW w:w="3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Australia Country Cinemas Pty Ltd</w:t>
            </w:r>
          </w:p>
        </w:tc>
        <w:tc>
          <w:tcPr>
            <w:tcW w:w="120" w:type="dxa"/>
            <w:vAlign w:val="bottom"/>
            <w:tcBorders>
              <w:right w:val="single" w:sz="8" w:color="A6A6A6"/>
            </w:tcBorders>
          </w:tcPr>
          <w:p>
            <w:pPr>
              <w:spacing w:after="0"/>
              <w:rPr>
                <w:sz w:val="16"/>
                <w:szCs w:val="16"/>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076 276 349</w:t>
            </w:r>
          </w:p>
        </w:tc>
        <w:tc>
          <w:tcPr>
            <w:tcW w:w="20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400" w:type="dxa"/>
            <w:vAlign w:val="bottom"/>
            <w:tcBorders>
              <w:right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520" w:type="dxa"/>
            <w:vAlign w:val="bottom"/>
            <w:tcBorders>
              <w:bottom w:val="single" w:sz="8" w:color="A6A6A6"/>
            </w:tcBorders>
          </w:tcPr>
          <w:p>
            <w:pPr>
              <w:spacing w:after="0"/>
              <w:rPr>
                <w:sz w:val="3"/>
                <w:szCs w:val="3"/>
                <w:color w:val="auto"/>
              </w:rPr>
            </w:pPr>
          </w:p>
        </w:tc>
        <w:tc>
          <w:tcPr>
            <w:tcW w:w="1310" w:type="dxa"/>
            <w:vAlign w:val="bottom"/>
            <w:tcBorders>
              <w:bottom w:val="single" w:sz="8" w:color="A6A6A6"/>
            </w:tcBorders>
          </w:tcPr>
          <w:p>
            <w:pPr>
              <w:spacing w:after="0"/>
              <w:rPr>
                <w:sz w:val="3"/>
                <w:szCs w:val="3"/>
                <w:color w:val="auto"/>
              </w:rPr>
            </w:pPr>
          </w:p>
        </w:tc>
        <w:tc>
          <w:tcPr>
            <w:tcW w:w="150" w:type="dxa"/>
            <w:vAlign w:val="bottom"/>
            <w:tcBorders>
              <w:bottom w:val="single" w:sz="8" w:color="A6A6A6"/>
            </w:tcBorders>
          </w:tcPr>
          <w:p>
            <w:pPr>
              <w:spacing w:after="0"/>
              <w:rPr>
                <w:sz w:val="3"/>
                <w:szCs w:val="3"/>
                <w:color w:val="auto"/>
              </w:rPr>
            </w:pPr>
          </w:p>
        </w:tc>
        <w:tc>
          <w:tcPr>
            <w:tcW w:w="120" w:type="dxa"/>
            <w:vAlign w:val="bottom"/>
            <w:tcBorders>
              <w:bottom w:val="single" w:sz="8" w:color="A6A6A6"/>
              <w:right w:val="single" w:sz="8" w:color="A6A6A6"/>
            </w:tcBorders>
          </w:tcPr>
          <w:p>
            <w:pPr>
              <w:spacing w:after="0"/>
              <w:rPr>
                <w:sz w:val="3"/>
                <w:szCs w:val="3"/>
                <w:color w:val="auto"/>
              </w:rPr>
            </w:pPr>
          </w:p>
        </w:tc>
        <w:tc>
          <w:tcPr>
            <w:tcW w:w="640" w:type="dxa"/>
            <w:vAlign w:val="bottom"/>
            <w:tcBorders>
              <w:bottom w:val="single" w:sz="8" w:color="A6A6A6"/>
              <w:right w:val="single" w:sz="8" w:color="A6A6A6"/>
            </w:tcBorders>
            <w:vMerge w:val="continue"/>
          </w:tcPr>
          <w:p>
            <w:pPr>
              <w:spacing w:after="0"/>
              <w:rPr>
                <w:sz w:val="3"/>
                <w:szCs w:val="3"/>
                <w:color w:val="auto"/>
              </w:rPr>
            </w:pPr>
          </w:p>
        </w:tc>
        <w:tc>
          <w:tcPr>
            <w:tcW w:w="2040" w:type="dxa"/>
            <w:vAlign w:val="bottom"/>
            <w:tcBorders>
              <w:bottom w:val="single" w:sz="8" w:color="A6A6A6"/>
              <w:right w:val="single" w:sz="8" w:color="A6A6A6"/>
            </w:tcBorders>
            <w:vMerge w:val="continue"/>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2D96D2"/>
                <w:w w:val="97"/>
              </w:rPr>
              <w:t>Reading Cinemas Asset Management Pty Ltd</w:t>
            </w:r>
          </w:p>
        </w:tc>
        <w:tc>
          <w:tcPr>
            <w:tcW w:w="1310" w:type="dxa"/>
            <w:vAlign w:val="bottom"/>
            <w:tcBorders>
              <w:bottom w:val="single" w:sz="8" w:color="auto"/>
            </w:tcBorders>
          </w:tcPr>
          <w:p>
            <w:pPr>
              <w:spacing w:after="0"/>
              <w:rPr>
                <w:sz w:val="20"/>
                <w:szCs w:val="20"/>
                <w:color w:val="auto"/>
              </w:rPr>
            </w:pPr>
            <w:r>
              <w:rPr>
                <w:rFonts w:ascii="Arial" w:cs="Arial" w:eastAsia="Arial" w:hAnsi="Arial"/>
                <w:sz w:val="9"/>
                <w:szCs w:val="9"/>
                <w:color w:val="B5082D"/>
                <w:strike w:val="1"/>
                <w:w w:val="99"/>
              </w:rPr>
              <w:t>Australian Equipment Supply Pty</w:t>
            </w:r>
          </w:p>
        </w:tc>
        <w:tc>
          <w:tcPr>
            <w:tcW w:w="150" w:type="dxa"/>
            <w:vAlign w:val="bottom"/>
            <w:tcBorders>
              <w:bottom w:val="single" w:sz="8" w:color="auto"/>
            </w:tcBorders>
          </w:tcPr>
          <w:p>
            <w:pPr>
              <w:ind w:left="10"/>
              <w:spacing w:after="0"/>
              <w:rPr>
                <w:sz w:val="20"/>
                <w:szCs w:val="20"/>
                <w:color w:val="auto"/>
              </w:rPr>
            </w:pPr>
            <w:r>
              <w:rPr>
                <w:rFonts w:ascii="Arial" w:cs="Arial" w:eastAsia="Arial" w:hAnsi="Arial"/>
                <w:sz w:val="9"/>
                <w:szCs w:val="9"/>
                <w:color w:val="B5082D"/>
                <w:strike w:val="1"/>
                <w:w w:val="95"/>
              </w:rPr>
              <w:t>Ltd</w:t>
            </w:r>
          </w:p>
        </w:tc>
        <w:tc>
          <w:tcPr>
            <w:tcW w:w="120" w:type="dxa"/>
            <w:vAlign w:val="bottom"/>
            <w:tcBorders>
              <w:right w:val="single" w:sz="8" w:color="A6A6A6"/>
            </w:tcBorders>
          </w:tcPr>
          <w:p>
            <w:pPr>
              <w:spacing w:after="0"/>
              <w:rPr>
                <w:sz w:val="16"/>
                <w:szCs w:val="16"/>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122 571 420</w:t>
            </w:r>
          </w:p>
        </w:tc>
        <w:tc>
          <w:tcPr>
            <w:tcW w:w="20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0" w:type="dxa"/>
            <w:vAlign w:val="bottom"/>
            <w:tcBorders>
              <w:right w:val="single" w:sz="8" w:color="A6A6A6"/>
            </w:tcBorders>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10" w:type="dxa"/>
            <w:vAlign w:val="bottom"/>
          </w:tcPr>
          <w:p>
            <w:pPr>
              <w:spacing w:after="0"/>
              <w:rPr>
                <w:sz w:val="2"/>
                <w:szCs w:val="2"/>
                <w:color w:val="auto"/>
              </w:rPr>
            </w:pPr>
          </w:p>
        </w:tc>
        <w:tc>
          <w:tcPr>
            <w:tcW w:w="150" w:type="dxa"/>
            <w:vAlign w:val="bottom"/>
          </w:tcPr>
          <w:p>
            <w:pPr>
              <w:spacing w:after="0"/>
              <w:rPr>
                <w:sz w:val="2"/>
                <w:szCs w:val="2"/>
                <w:color w:val="auto"/>
              </w:rPr>
            </w:pPr>
          </w:p>
        </w:tc>
        <w:tc>
          <w:tcPr>
            <w:tcW w:w="120" w:type="dxa"/>
            <w:vAlign w:val="bottom"/>
            <w:tcBorders>
              <w:right w:val="single" w:sz="8" w:color="A6A6A6"/>
            </w:tcBorders>
          </w:tcPr>
          <w:p>
            <w:pPr>
              <w:spacing w:after="0"/>
              <w:rPr>
                <w:sz w:val="2"/>
                <w:szCs w:val="2"/>
                <w:color w:val="auto"/>
              </w:rPr>
            </w:pPr>
          </w:p>
        </w:tc>
        <w:tc>
          <w:tcPr>
            <w:tcW w:w="640" w:type="dxa"/>
            <w:vAlign w:val="bottom"/>
            <w:tcBorders>
              <w:right w:val="single" w:sz="8" w:color="A6A6A6"/>
            </w:tcBorders>
            <w:vMerge w:val="continue"/>
          </w:tcPr>
          <w:p>
            <w:pPr>
              <w:spacing w:after="0"/>
              <w:rPr>
                <w:sz w:val="2"/>
                <w:szCs w:val="2"/>
                <w:color w:val="auto"/>
              </w:rPr>
            </w:pPr>
          </w:p>
        </w:tc>
        <w:tc>
          <w:tcPr>
            <w:tcW w:w="2040" w:type="dxa"/>
            <w:vAlign w:val="bottom"/>
            <w:tcBorders>
              <w:right w:val="single" w:sz="8" w:color="A6A6A6"/>
            </w:tcBorders>
            <w:vMerge w:val="continue"/>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400" w:type="dxa"/>
            <w:vAlign w:val="bottom"/>
            <w:tcBorders>
              <w:right w:val="single" w:sz="8" w:color="A6A6A6"/>
            </w:tcBorders>
          </w:tcPr>
          <w:p>
            <w:pPr>
              <w:spacing w:after="0"/>
              <w:rPr>
                <w:sz w:val="23"/>
                <w:szCs w:val="23"/>
                <w:color w:val="auto"/>
              </w:rPr>
            </w:pPr>
          </w:p>
        </w:tc>
        <w:tc>
          <w:tcPr>
            <w:tcW w:w="280" w:type="dxa"/>
            <w:vAlign w:val="bottom"/>
            <w:tcBorders>
              <w:bottom w:val="single" w:sz="8" w:color="A6A6A6"/>
            </w:tcBorders>
          </w:tcPr>
          <w:p>
            <w:pPr>
              <w:spacing w:after="0"/>
              <w:rPr>
                <w:sz w:val="23"/>
                <w:szCs w:val="23"/>
                <w:color w:val="auto"/>
              </w:rPr>
            </w:pPr>
          </w:p>
        </w:tc>
        <w:tc>
          <w:tcPr>
            <w:tcW w:w="1520" w:type="dxa"/>
            <w:vAlign w:val="bottom"/>
            <w:tcBorders>
              <w:bottom w:val="single" w:sz="8" w:color="A6A6A6"/>
            </w:tcBorders>
          </w:tcPr>
          <w:p>
            <w:pPr>
              <w:spacing w:after="0"/>
              <w:rPr>
                <w:sz w:val="23"/>
                <w:szCs w:val="23"/>
                <w:color w:val="auto"/>
              </w:rPr>
            </w:pPr>
          </w:p>
        </w:tc>
        <w:tc>
          <w:tcPr>
            <w:tcW w:w="1310" w:type="dxa"/>
            <w:vAlign w:val="bottom"/>
            <w:tcBorders>
              <w:bottom w:val="single" w:sz="8" w:color="A6A6A6"/>
            </w:tcBorders>
          </w:tcPr>
          <w:p>
            <w:pPr>
              <w:spacing w:after="0"/>
              <w:rPr>
                <w:sz w:val="23"/>
                <w:szCs w:val="23"/>
                <w:color w:val="auto"/>
              </w:rPr>
            </w:pPr>
          </w:p>
        </w:tc>
        <w:tc>
          <w:tcPr>
            <w:tcW w:w="150" w:type="dxa"/>
            <w:vAlign w:val="bottom"/>
            <w:tcBorders>
              <w:bottom w:val="single" w:sz="8" w:color="A6A6A6"/>
            </w:tcBorders>
          </w:tcPr>
          <w:p>
            <w:pPr>
              <w:spacing w:after="0"/>
              <w:rPr>
                <w:sz w:val="23"/>
                <w:szCs w:val="23"/>
                <w:color w:val="auto"/>
              </w:rPr>
            </w:pPr>
          </w:p>
        </w:tc>
        <w:tc>
          <w:tcPr>
            <w:tcW w:w="120" w:type="dxa"/>
            <w:vAlign w:val="bottom"/>
            <w:tcBorders>
              <w:bottom w:val="single" w:sz="8" w:color="A6A6A6"/>
              <w:right w:val="single" w:sz="8" w:color="A6A6A6"/>
            </w:tcBorders>
          </w:tcPr>
          <w:p>
            <w:pPr>
              <w:spacing w:after="0"/>
              <w:rPr>
                <w:sz w:val="23"/>
                <w:szCs w:val="23"/>
                <w:color w:val="auto"/>
              </w:rPr>
            </w:pPr>
          </w:p>
        </w:tc>
        <w:tc>
          <w:tcPr>
            <w:tcW w:w="640" w:type="dxa"/>
            <w:vAlign w:val="bottom"/>
            <w:tcBorders>
              <w:bottom w:val="single" w:sz="8" w:color="A6A6A6"/>
              <w:right w:val="single" w:sz="8" w:color="A6A6A6"/>
            </w:tcBorders>
          </w:tcPr>
          <w:p>
            <w:pPr>
              <w:spacing w:after="0"/>
              <w:rPr>
                <w:sz w:val="23"/>
                <w:szCs w:val="23"/>
                <w:color w:val="auto"/>
              </w:rPr>
            </w:pPr>
          </w:p>
        </w:tc>
        <w:tc>
          <w:tcPr>
            <w:tcW w:w="2040" w:type="dxa"/>
            <w:vAlign w:val="bottom"/>
            <w:tcBorders>
              <w:bottom w:val="single" w:sz="8" w:color="A6A6A6"/>
              <w:right w:val="single" w:sz="8" w:color="A6A6A6"/>
            </w:tcBorders>
          </w:tcPr>
          <w:p>
            <w:pPr>
              <w:spacing w:after="0"/>
              <w:rPr>
                <w:sz w:val="23"/>
                <w:szCs w:val="23"/>
                <w:color w:val="auto"/>
              </w:rPr>
            </w:pPr>
          </w:p>
        </w:tc>
        <w:tc>
          <w:tcPr>
            <w:tcW w:w="3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Burwood Developments Pty Ltd</w:t>
            </w:r>
          </w:p>
        </w:tc>
        <w:tc>
          <w:tcPr>
            <w:tcW w:w="120" w:type="dxa"/>
            <w:vAlign w:val="bottom"/>
            <w:tcBorders>
              <w:right w:val="single" w:sz="8" w:color="A6A6A6"/>
            </w:tcBorders>
          </w:tcPr>
          <w:p>
            <w:pPr>
              <w:spacing w:after="0"/>
              <w:rPr>
                <w:sz w:val="16"/>
                <w:szCs w:val="16"/>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105 384 905</w:t>
            </w:r>
          </w:p>
        </w:tc>
        <w:tc>
          <w:tcPr>
            <w:tcW w:w="20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1310" w:type="dxa"/>
            <w:vAlign w:val="bottom"/>
            <w:tcBorders>
              <w:bottom w:val="single" w:sz="8" w:color="A6A6A6"/>
            </w:tcBorders>
          </w:tcPr>
          <w:p>
            <w:pPr>
              <w:spacing w:after="0"/>
              <w:rPr>
                <w:sz w:val="4"/>
                <w:szCs w:val="4"/>
                <w:color w:val="auto"/>
              </w:rPr>
            </w:pPr>
          </w:p>
        </w:tc>
        <w:tc>
          <w:tcPr>
            <w:tcW w:w="150" w:type="dxa"/>
            <w:vAlign w:val="bottom"/>
            <w:tcBorders>
              <w:bottom w:val="single" w:sz="8" w:color="A6A6A6"/>
            </w:tcBorders>
          </w:tcPr>
          <w:p>
            <w:pPr>
              <w:spacing w:after="0"/>
              <w:rPr>
                <w:sz w:val="4"/>
                <w:szCs w:val="4"/>
                <w:color w:val="auto"/>
              </w:rPr>
            </w:pPr>
          </w:p>
        </w:tc>
        <w:tc>
          <w:tcPr>
            <w:tcW w:w="1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2040" w:type="dxa"/>
            <w:vAlign w:val="bottom"/>
            <w:tcBorders>
              <w:bottom w:val="single" w:sz="8" w:color="A6A6A6"/>
              <w:right w:val="single" w:sz="8" w:color="A6A6A6"/>
            </w:tcBorders>
            <w:vMerge w:val="continue"/>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Epping Cinemas Pty Ltd</w:t>
            </w:r>
          </w:p>
        </w:tc>
        <w:tc>
          <w:tcPr>
            <w:tcW w:w="120" w:type="dxa"/>
            <w:vAlign w:val="bottom"/>
            <w:tcBorders>
              <w:right w:val="single" w:sz="8" w:color="A6A6A6"/>
            </w:tcBorders>
          </w:tcPr>
          <w:p>
            <w:pPr>
              <w:spacing w:after="0"/>
              <w:rPr>
                <w:sz w:val="17"/>
                <w:szCs w:val="17"/>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073 997 172</w:t>
            </w:r>
          </w:p>
        </w:tc>
        <w:tc>
          <w:tcPr>
            <w:tcW w:w="20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1310" w:type="dxa"/>
            <w:vAlign w:val="bottom"/>
            <w:tcBorders>
              <w:bottom w:val="single" w:sz="8" w:color="A6A6A6"/>
            </w:tcBorders>
          </w:tcPr>
          <w:p>
            <w:pPr>
              <w:spacing w:after="0"/>
              <w:rPr>
                <w:sz w:val="4"/>
                <w:szCs w:val="4"/>
                <w:color w:val="auto"/>
              </w:rPr>
            </w:pPr>
          </w:p>
        </w:tc>
        <w:tc>
          <w:tcPr>
            <w:tcW w:w="150" w:type="dxa"/>
            <w:vAlign w:val="bottom"/>
            <w:tcBorders>
              <w:bottom w:val="single" w:sz="8" w:color="A6A6A6"/>
            </w:tcBorders>
          </w:tcPr>
          <w:p>
            <w:pPr>
              <w:spacing w:after="0"/>
              <w:rPr>
                <w:sz w:val="4"/>
                <w:szCs w:val="4"/>
                <w:color w:val="auto"/>
              </w:rPr>
            </w:pPr>
          </w:p>
        </w:tc>
        <w:tc>
          <w:tcPr>
            <w:tcW w:w="1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2040" w:type="dxa"/>
            <w:vAlign w:val="bottom"/>
            <w:tcBorders>
              <w:bottom w:val="single" w:sz="8" w:color="A6A6A6"/>
              <w:right w:val="single" w:sz="8" w:color="A6A6A6"/>
            </w:tcBorders>
            <w:vMerge w:val="continue"/>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Hotel Newmarket Pty Ltd</w:t>
            </w:r>
          </w:p>
        </w:tc>
        <w:tc>
          <w:tcPr>
            <w:tcW w:w="120" w:type="dxa"/>
            <w:vAlign w:val="bottom"/>
            <w:tcBorders>
              <w:right w:val="single" w:sz="8" w:color="A6A6A6"/>
            </w:tcBorders>
          </w:tcPr>
          <w:p>
            <w:pPr>
              <w:spacing w:after="0"/>
              <w:rPr>
                <w:sz w:val="17"/>
                <w:szCs w:val="17"/>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094 367 969</w:t>
            </w:r>
          </w:p>
        </w:tc>
        <w:tc>
          <w:tcPr>
            <w:tcW w:w="20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0" w:type="dxa"/>
            <w:vAlign w:val="bottom"/>
            <w:tcBorders>
              <w:right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520" w:type="dxa"/>
            <w:vAlign w:val="bottom"/>
            <w:tcBorders>
              <w:bottom w:val="single" w:sz="8" w:color="A6A6A6"/>
            </w:tcBorders>
          </w:tcPr>
          <w:p>
            <w:pPr>
              <w:spacing w:after="0"/>
              <w:rPr>
                <w:sz w:val="3"/>
                <w:szCs w:val="3"/>
                <w:color w:val="auto"/>
              </w:rPr>
            </w:pPr>
          </w:p>
        </w:tc>
        <w:tc>
          <w:tcPr>
            <w:tcW w:w="1310" w:type="dxa"/>
            <w:vAlign w:val="bottom"/>
            <w:tcBorders>
              <w:bottom w:val="single" w:sz="8" w:color="A6A6A6"/>
            </w:tcBorders>
          </w:tcPr>
          <w:p>
            <w:pPr>
              <w:spacing w:after="0"/>
              <w:rPr>
                <w:sz w:val="3"/>
                <w:szCs w:val="3"/>
                <w:color w:val="auto"/>
              </w:rPr>
            </w:pPr>
          </w:p>
        </w:tc>
        <w:tc>
          <w:tcPr>
            <w:tcW w:w="150" w:type="dxa"/>
            <w:vAlign w:val="bottom"/>
            <w:tcBorders>
              <w:bottom w:val="single" w:sz="8" w:color="A6A6A6"/>
            </w:tcBorders>
          </w:tcPr>
          <w:p>
            <w:pPr>
              <w:spacing w:after="0"/>
              <w:rPr>
                <w:sz w:val="3"/>
                <w:szCs w:val="3"/>
                <w:color w:val="auto"/>
              </w:rPr>
            </w:pPr>
          </w:p>
        </w:tc>
        <w:tc>
          <w:tcPr>
            <w:tcW w:w="120" w:type="dxa"/>
            <w:vAlign w:val="bottom"/>
            <w:tcBorders>
              <w:bottom w:val="single" w:sz="8" w:color="A6A6A6"/>
              <w:right w:val="single" w:sz="8" w:color="A6A6A6"/>
            </w:tcBorders>
          </w:tcPr>
          <w:p>
            <w:pPr>
              <w:spacing w:after="0"/>
              <w:rPr>
                <w:sz w:val="3"/>
                <w:szCs w:val="3"/>
                <w:color w:val="auto"/>
              </w:rPr>
            </w:pPr>
          </w:p>
        </w:tc>
        <w:tc>
          <w:tcPr>
            <w:tcW w:w="640" w:type="dxa"/>
            <w:vAlign w:val="bottom"/>
            <w:tcBorders>
              <w:bottom w:val="single" w:sz="8" w:color="A6A6A6"/>
              <w:right w:val="single" w:sz="8" w:color="A6A6A6"/>
            </w:tcBorders>
            <w:vMerge w:val="continue"/>
          </w:tcPr>
          <w:p>
            <w:pPr>
              <w:spacing w:after="0"/>
              <w:rPr>
                <w:sz w:val="3"/>
                <w:szCs w:val="3"/>
                <w:color w:val="auto"/>
              </w:rPr>
            </w:pPr>
          </w:p>
        </w:tc>
        <w:tc>
          <w:tcPr>
            <w:tcW w:w="2040" w:type="dxa"/>
            <w:vAlign w:val="bottom"/>
            <w:tcBorders>
              <w:bottom w:val="single" w:sz="8" w:color="A6A6A6"/>
              <w:right w:val="single" w:sz="8" w:color="A6A6A6"/>
            </w:tcBorders>
            <w:vMerge w:val="continue"/>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Newmarket Properties Pty Ltd</w:t>
            </w:r>
          </w:p>
        </w:tc>
        <w:tc>
          <w:tcPr>
            <w:tcW w:w="120" w:type="dxa"/>
            <w:vAlign w:val="bottom"/>
            <w:tcBorders>
              <w:right w:val="single" w:sz="8" w:color="A6A6A6"/>
            </w:tcBorders>
          </w:tcPr>
          <w:p>
            <w:pPr>
              <w:spacing w:after="0"/>
              <w:rPr>
                <w:sz w:val="16"/>
                <w:szCs w:val="16"/>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105 386 409</w:t>
            </w:r>
          </w:p>
        </w:tc>
        <w:tc>
          <w:tcPr>
            <w:tcW w:w="20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1310" w:type="dxa"/>
            <w:vAlign w:val="bottom"/>
            <w:tcBorders>
              <w:bottom w:val="single" w:sz="8" w:color="A6A6A6"/>
            </w:tcBorders>
          </w:tcPr>
          <w:p>
            <w:pPr>
              <w:spacing w:after="0"/>
              <w:rPr>
                <w:sz w:val="4"/>
                <w:szCs w:val="4"/>
                <w:color w:val="auto"/>
              </w:rPr>
            </w:pPr>
          </w:p>
        </w:tc>
        <w:tc>
          <w:tcPr>
            <w:tcW w:w="150" w:type="dxa"/>
            <w:vAlign w:val="bottom"/>
            <w:tcBorders>
              <w:bottom w:val="single" w:sz="8" w:color="A6A6A6"/>
            </w:tcBorders>
          </w:tcPr>
          <w:p>
            <w:pPr>
              <w:spacing w:after="0"/>
              <w:rPr>
                <w:sz w:val="4"/>
                <w:szCs w:val="4"/>
                <w:color w:val="auto"/>
              </w:rPr>
            </w:pPr>
          </w:p>
        </w:tc>
        <w:tc>
          <w:tcPr>
            <w:tcW w:w="1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2040" w:type="dxa"/>
            <w:vAlign w:val="bottom"/>
            <w:tcBorders>
              <w:bottom w:val="single" w:sz="8" w:color="A6A6A6"/>
              <w:right w:val="single" w:sz="8" w:color="A6A6A6"/>
            </w:tcBorders>
            <w:vMerge w:val="continue"/>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Newmarket Properties No. 2 Pty Ltd</w:t>
            </w:r>
          </w:p>
        </w:tc>
        <w:tc>
          <w:tcPr>
            <w:tcW w:w="120" w:type="dxa"/>
            <w:vAlign w:val="bottom"/>
            <w:tcBorders>
              <w:right w:val="single" w:sz="8" w:color="A6A6A6"/>
            </w:tcBorders>
          </w:tcPr>
          <w:p>
            <w:pPr>
              <w:spacing w:after="0"/>
              <w:rPr>
                <w:sz w:val="17"/>
                <w:szCs w:val="17"/>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109 038 806</w:t>
            </w:r>
          </w:p>
        </w:tc>
        <w:tc>
          <w:tcPr>
            <w:tcW w:w="20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1310" w:type="dxa"/>
            <w:vAlign w:val="bottom"/>
            <w:tcBorders>
              <w:bottom w:val="single" w:sz="8" w:color="A6A6A6"/>
            </w:tcBorders>
          </w:tcPr>
          <w:p>
            <w:pPr>
              <w:spacing w:after="0"/>
              <w:rPr>
                <w:sz w:val="4"/>
                <w:szCs w:val="4"/>
                <w:color w:val="auto"/>
              </w:rPr>
            </w:pPr>
          </w:p>
        </w:tc>
        <w:tc>
          <w:tcPr>
            <w:tcW w:w="150" w:type="dxa"/>
            <w:vAlign w:val="bottom"/>
            <w:tcBorders>
              <w:bottom w:val="single" w:sz="8" w:color="A6A6A6"/>
            </w:tcBorders>
          </w:tcPr>
          <w:p>
            <w:pPr>
              <w:spacing w:after="0"/>
              <w:rPr>
                <w:sz w:val="4"/>
                <w:szCs w:val="4"/>
                <w:color w:val="auto"/>
              </w:rPr>
            </w:pPr>
          </w:p>
        </w:tc>
        <w:tc>
          <w:tcPr>
            <w:tcW w:w="1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2040" w:type="dxa"/>
            <w:vAlign w:val="bottom"/>
            <w:tcBorders>
              <w:bottom w:val="single" w:sz="8" w:color="A6A6A6"/>
              <w:right w:val="single" w:sz="8" w:color="A6A6A6"/>
            </w:tcBorders>
            <w:vMerge w:val="continue"/>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Newmarket Properties #3 Pty Ltd</w:t>
            </w:r>
          </w:p>
        </w:tc>
        <w:tc>
          <w:tcPr>
            <w:tcW w:w="120" w:type="dxa"/>
            <w:vAlign w:val="bottom"/>
            <w:tcBorders>
              <w:right w:val="single" w:sz="8" w:color="A6A6A6"/>
            </w:tcBorders>
          </w:tcPr>
          <w:p>
            <w:pPr>
              <w:spacing w:after="0"/>
              <w:rPr>
                <w:sz w:val="17"/>
                <w:szCs w:val="17"/>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126 697 505</w:t>
            </w:r>
          </w:p>
        </w:tc>
        <w:tc>
          <w:tcPr>
            <w:tcW w:w="20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1310" w:type="dxa"/>
            <w:vAlign w:val="bottom"/>
            <w:tcBorders>
              <w:bottom w:val="single" w:sz="8" w:color="A6A6A6"/>
            </w:tcBorders>
          </w:tcPr>
          <w:p>
            <w:pPr>
              <w:spacing w:after="0"/>
              <w:rPr>
                <w:sz w:val="4"/>
                <w:szCs w:val="4"/>
                <w:color w:val="auto"/>
              </w:rPr>
            </w:pPr>
          </w:p>
        </w:tc>
        <w:tc>
          <w:tcPr>
            <w:tcW w:w="150" w:type="dxa"/>
            <w:vAlign w:val="bottom"/>
            <w:tcBorders>
              <w:bottom w:val="single" w:sz="8" w:color="A6A6A6"/>
            </w:tcBorders>
          </w:tcPr>
          <w:p>
            <w:pPr>
              <w:spacing w:after="0"/>
              <w:rPr>
                <w:sz w:val="4"/>
                <w:szCs w:val="4"/>
                <w:color w:val="auto"/>
              </w:rPr>
            </w:pPr>
          </w:p>
        </w:tc>
        <w:tc>
          <w:tcPr>
            <w:tcW w:w="1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2040" w:type="dxa"/>
            <w:vAlign w:val="bottom"/>
            <w:tcBorders>
              <w:bottom w:val="single" w:sz="8" w:color="A6A6A6"/>
              <w:right w:val="single" w:sz="8" w:color="A6A6A6"/>
            </w:tcBorders>
            <w:vMerge w:val="continue"/>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Reading Auburn Pty Ltd</w:t>
            </w:r>
          </w:p>
        </w:tc>
        <w:tc>
          <w:tcPr>
            <w:tcW w:w="120" w:type="dxa"/>
            <w:vAlign w:val="bottom"/>
            <w:tcBorders>
              <w:right w:val="single" w:sz="8" w:color="A6A6A6"/>
            </w:tcBorders>
          </w:tcPr>
          <w:p>
            <w:pPr>
              <w:spacing w:after="0"/>
              <w:rPr>
                <w:sz w:val="17"/>
                <w:szCs w:val="17"/>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126 697 470</w:t>
            </w:r>
          </w:p>
        </w:tc>
        <w:tc>
          <w:tcPr>
            <w:tcW w:w="20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0" w:type="dxa"/>
            <w:vAlign w:val="bottom"/>
            <w:tcBorders>
              <w:right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520" w:type="dxa"/>
            <w:vAlign w:val="bottom"/>
            <w:tcBorders>
              <w:bottom w:val="single" w:sz="8" w:color="A6A6A6"/>
            </w:tcBorders>
          </w:tcPr>
          <w:p>
            <w:pPr>
              <w:spacing w:after="0"/>
              <w:rPr>
                <w:sz w:val="3"/>
                <w:szCs w:val="3"/>
                <w:color w:val="auto"/>
              </w:rPr>
            </w:pPr>
          </w:p>
        </w:tc>
        <w:tc>
          <w:tcPr>
            <w:tcW w:w="1310" w:type="dxa"/>
            <w:vAlign w:val="bottom"/>
            <w:tcBorders>
              <w:bottom w:val="single" w:sz="8" w:color="A6A6A6"/>
            </w:tcBorders>
          </w:tcPr>
          <w:p>
            <w:pPr>
              <w:spacing w:after="0"/>
              <w:rPr>
                <w:sz w:val="3"/>
                <w:szCs w:val="3"/>
                <w:color w:val="auto"/>
              </w:rPr>
            </w:pPr>
          </w:p>
        </w:tc>
        <w:tc>
          <w:tcPr>
            <w:tcW w:w="150" w:type="dxa"/>
            <w:vAlign w:val="bottom"/>
            <w:tcBorders>
              <w:bottom w:val="single" w:sz="8" w:color="A6A6A6"/>
            </w:tcBorders>
          </w:tcPr>
          <w:p>
            <w:pPr>
              <w:spacing w:after="0"/>
              <w:rPr>
                <w:sz w:val="3"/>
                <w:szCs w:val="3"/>
                <w:color w:val="auto"/>
              </w:rPr>
            </w:pPr>
          </w:p>
        </w:tc>
        <w:tc>
          <w:tcPr>
            <w:tcW w:w="120" w:type="dxa"/>
            <w:vAlign w:val="bottom"/>
            <w:tcBorders>
              <w:bottom w:val="single" w:sz="8" w:color="A6A6A6"/>
              <w:right w:val="single" w:sz="8" w:color="A6A6A6"/>
            </w:tcBorders>
          </w:tcPr>
          <w:p>
            <w:pPr>
              <w:spacing w:after="0"/>
              <w:rPr>
                <w:sz w:val="3"/>
                <w:szCs w:val="3"/>
                <w:color w:val="auto"/>
              </w:rPr>
            </w:pPr>
          </w:p>
        </w:tc>
        <w:tc>
          <w:tcPr>
            <w:tcW w:w="640" w:type="dxa"/>
            <w:vAlign w:val="bottom"/>
            <w:tcBorders>
              <w:bottom w:val="single" w:sz="8" w:color="A6A6A6"/>
              <w:right w:val="single" w:sz="8" w:color="A6A6A6"/>
            </w:tcBorders>
            <w:vMerge w:val="continue"/>
          </w:tcPr>
          <w:p>
            <w:pPr>
              <w:spacing w:after="0"/>
              <w:rPr>
                <w:sz w:val="3"/>
                <w:szCs w:val="3"/>
                <w:color w:val="auto"/>
              </w:rPr>
            </w:pPr>
          </w:p>
        </w:tc>
        <w:tc>
          <w:tcPr>
            <w:tcW w:w="2040" w:type="dxa"/>
            <w:vAlign w:val="bottom"/>
            <w:tcBorders>
              <w:bottom w:val="single" w:sz="8" w:color="A6A6A6"/>
              <w:right w:val="single" w:sz="8" w:color="A6A6A6"/>
            </w:tcBorders>
            <w:vMerge w:val="continue"/>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8"/>
        </w:trPr>
        <w:tc>
          <w:tcPr>
            <w:tcW w:w="680" w:type="dxa"/>
            <w:vAlign w:val="bottom"/>
            <w:tcBorders>
              <w:bottom w:val="single" w:sz="8" w:color="8BD8FF"/>
            </w:tcBorders>
            <w:gridSpan w:val="2"/>
          </w:tcPr>
          <w:p>
            <w:pPr>
              <w:spacing w:after="0"/>
              <w:rPr>
                <w:sz w:val="20"/>
                <w:szCs w:val="20"/>
                <w:color w:val="auto"/>
              </w:rPr>
            </w:pPr>
            <w:r>
              <w:rPr>
                <w:rFonts w:ascii="Arial" w:cs="Arial" w:eastAsia="Arial" w:hAnsi="Arial"/>
                <w:sz w:val="8"/>
                <w:szCs w:val="8"/>
                <w:color w:val="8BD8FF"/>
                <w:w w:val="98"/>
              </w:rPr>
              <w:t>3468-7174-2245v7</w:t>
            </w:r>
          </w:p>
        </w:tc>
        <w:tc>
          <w:tcPr>
            <w:tcW w:w="152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14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20" w:type="dxa"/>
            <w:vAlign w:val="bottom"/>
          </w:tcPr>
          <w:p>
            <w:pPr>
              <w:ind w:left="2720"/>
              <w:spacing w:after="0"/>
              <w:rPr>
                <w:sz w:val="20"/>
                <w:szCs w:val="20"/>
                <w:color w:val="auto"/>
              </w:rPr>
            </w:pPr>
            <w:r>
              <w:rPr>
                <w:rFonts w:ascii="Arial" w:cs="Arial" w:eastAsia="Arial" w:hAnsi="Arial"/>
                <w:sz w:val="8"/>
                <w:szCs w:val="8"/>
                <w:color w:val="auto"/>
                <w:w w:val="96"/>
              </w:rPr>
              <w:t>page 78</w:t>
            </w:r>
          </w:p>
        </w:tc>
        <w:tc>
          <w:tcPr>
            <w:tcW w:w="0" w:type="dxa"/>
            <w:vAlign w:val="bottom"/>
          </w:tcPr>
          <w:p>
            <w:pPr>
              <w:spacing w:after="0"/>
              <w:rPr>
                <w:sz w:val="1"/>
                <w:szCs w:val="1"/>
                <w:color w:val="auto"/>
              </w:rPr>
            </w:pPr>
          </w:p>
        </w:tc>
      </w:tr>
      <w:tr>
        <w:trPr>
          <w:trHeight w:val="94"/>
        </w:trPr>
        <w:tc>
          <w:tcPr>
            <w:tcW w:w="3660" w:type="dxa"/>
            <w:vAlign w:val="bottom"/>
            <w:gridSpan w:val="5"/>
          </w:tcPr>
          <w:p>
            <w:pPr>
              <w:spacing w:after="0"/>
              <w:rPr>
                <w:sz w:val="20"/>
                <w:szCs w:val="20"/>
                <w:color w:val="auto"/>
              </w:rPr>
            </w:pPr>
            <w:r>
              <w:rPr>
                <w:rFonts w:ascii="Arial" w:cs="Arial" w:eastAsia="Arial" w:hAnsi="Arial"/>
                <w:sz w:val="8"/>
                <w:szCs w:val="8"/>
                <w:color w:val="auto"/>
              </w:rPr>
              <w:t>Facility Agreement</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0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1520" w:type="dxa"/>
            <w:vAlign w:val="bottom"/>
            <w:tcBorders>
              <w:bottom w:val="single" w:sz="8" w:color="EEEEEE"/>
            </w:tcBorders>
          </w:tcPr>
          <w:p>
            <w:pPr>
              <w:spacing w:after="0"/>
              <w:rPr>
                <w:sz w:val="18"/>
                <w:szCs w:val="18"/>
                <w:color w:val="auto"/>
              </w:rPr>
            </w:pPr>
          </w:p>
        </w:tc>
        <w:tc>
          <w:tcPr>
            <w:tcW w:w="1310" w:type="dxa"/>
            <w:vAlign w:val="bottom"/>
            <w:tcBorders>
              <w:bottom w:val="single" w:sz="8" w:color="EEEEEE"/>
            </w:tcBorders>
          </w:tcPr>
          <w:p>
            <w:pPr>
              <w:spacing w:after="0"/>
              <w:rPr>
                <w:sz w:val="18"/>
                <w:szCs w:val="18"/>
                <w:color w:val="auto"/>
              </w:rPr>
            </w:pPr>
          </w:p>
        </w:tc>
        <w:tc>
          <w:tcPr>
            <w:tcW w:w="15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640" w:type="dxa"/>
            <w:vAlign w:val="bottom"/>
            <w:tcBorders>
              <w:bottom w:val="single" w:sz="8" w:color="EEEEEE"/>
            </w:tcBorders>
          </w:tcPr>
          <w:p>
            <w:pPr>
              <w:spacing w:after="0"/>
              <w:rPr>
                <w:sz w:val="18"/>
                <w:szCs w:val="18"/>
                <w:color w:val="auto"/>
              </w:rPr>
            </w:pPr>
          </w:p>
        </w:tc>
        <w:tc>
          <w:tcPr>
            <w:tcW w:w="2040" w:type="dxa"/>
            <w:vAlign w:val="bottom"/>
            <w:tcBorders>
              <w:bottom w:val="single" w:sz="8" w:color="EEEEEE"/>
            </w:tcBorders>
          </w:tcPr>
          <w:p>
            <w:pPr>
              <w:spacing w:after="0"/>
              <w:rPr>
                <w:sz w:val="18"/>
                <w:szCs w:val="18"/>
                <w:color w:val="auto"/>
              </w:rPr>
            </w:pPr>
          </w:p>
        </w:tc>
        <w:tc>
          <w:tcPr>
            <w:tcW w:w="302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46" w:name="page147"/>
    <w:bookmarkEnd w:id="146"/>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0" w:type="dxa"/>
            <w:vAlign w:val="bottom"/>
            <w:tcBorders>
              <w:right w:val="single" w:sz="8" w:color="12395C"/>
            </w:tcBorders>
          </w:tcPr>
          <w:p>
            <w:pPr>
              <w:spacing w:after="0"/>
              <w:rPr>
                <w:sz w:val="21"/>
                <w:szCs w:val="21"/>
                <w:color w:val="auto"/>
              </w:rPr>
            </w:pPr>
          </w:p>
        </w:tc>
        <w:tc>
          <w:tcPr>
            <w:tcW w:w="2880" w:type="dxa"/>
            <w:vAlign w:val="bottom"/>
            <w:tcBorders>
              <w:bottom w:val="single" w:sz="8" w:color="12395C"/>
              <w:right w:val="single" w:sz="8" w:color="A6A6A6"/>
            </w:tcBorders>
            <w:gridSpan w:val="7"/>
            <w:shd w:val="clear" w:color="auto" w:fill="12395C"/>
          </w:tcPr>
          <w:p>
            <w:pPr>
              <w:spacing w:after="0"/>
              <w:rPr>
                <w:sz w:val="20"/>
                <w:szCs w:val="20"/>
                <w:color w:val="auto"/>
              </w:rPr>
            </w:pPr>
            <w:r>
              <w:rPr>
                <w:rFonts w:ascii="Arial" w:cs="Arial" w:eastAsia="Arial" w:hAnsi="Arial"/>
                <w:sz w:val="9"/>
                <w:szCs w:val="9"/>
                <w:b w:val="1"/>
                <w:bCs w:val="1"/>
                <w:color w:val="FFFFFF"/>
              </w:rPr>
              <w:t>Name</w:t>
            </w:r>
          </w:p>
        </w:tc>
        <w:tc>
          <w:tcPr>
            <w:tcW w:w="640" w:type="dxa"/>
            <w:vAlign w:val="bottom"/>
            <w:tcBorders>
              <w:bottom w:val="single" w:sz="8" w:color="12395C"/>
              <w:right w:val="single" w:sz="8" w:color="A6A6A6"/>
            </w:tcBorders>
            <w:shd w:val="clear" w:color="auto" w:fill="12395C"/>
          </w:tcPr>
          <w:p>
            <w:pPr>
              <w:ind w:left="40"/>
              <w:spacing w:after="0"/>
              <w:rPr>
                <w:sz w:val="20"/>
                <w:szCs w:val="20"/>
                <w:color w:val="auto"/>
              </w:rPr>
            </w:pPr>
            <w:r>
              <w:rPr>
                <w:rFonts w:ascii="Arial" w:cs="Arial" w:eastAsia="Arial" w:hAnsi="Arial"/>
                <w:sz w:val="9"/>
                <w:szCs w:val="9"/>
                <w:b w:val="1"/>
                <w:bCs w:val="1"/>
                <w:color w:val="FFFFFF"/>
              </w:rPr>
              <w:t>ACN</w:t>
            </w:r>
          </w:p>
        </w:tc>
        <w:tc>
          <w:tcPr>
            <w:tcW w:w="1780" w:type="dxa"/>
            <w:vAlign w:val="bottom"/>
            <w:tcBorders>
              <w:bottom w:val="single" w:sz="8" w:color="12395C"/>
              <w:right w:val="single" w:sz="8" w:color="A6A6A6"/>
            </w:tcBorders>
            <w:shd w:val="clear" w:color="auto" w:fill="12395C"/>
          </w:tcPr>
          <w:p>
            <w:pPr>
              <w:ind w:left="40"/>
              <w:spacing w:after="0"/>
              <w:rPr>
                <w:sz w:val="20"/>
                <w:szCs w:val="20"/>
                <w:color w:val="auto"/>
              </w:rPr>
            </w:pPr>
            <w:r>
              <w:rPr>
                <w:rFonts w:ascii="Arial" w:cs="Arial" w:eastAsia="Arial" w:hAnsi="Arial"/>
                <w:sz w:val="9"/>
                <w:szCs w:val="9"/>
                <w:b w:val="1"/>
                <w:bCs w:val="1"/>
                <w:color w:val="FFFFFF"/>
              </w:rPr>
              <w:t>Particulars for delivery of notices</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0" w:type="dxa"/>
            <w:vAlign w:val="bottom"/>
            <w:tcBorders>
              <w:right w:val="single" w:sz="8" w:color="A6A6A6"/>
            </w:tcBorders>
          </w:tcPr>
          <w:p>
            <w:pPr>
              <w:spacing w:after="0"/>
              <w:rPr>
                <w:sz w:val="16"/>
                <w:szCs w:val="16"/>
                <w:color w:val="auto"/>
              </w:rPr>
            </w:pPr>
          </w:p>
        </w:tc>
        <w:tc>
          <w:tcPr>
            <w:tcW w:w="1040" w:type="dxa"/>
            <w:vAlign w:val="bottom"/>
            <w:tcBorders>
              <w:bottom w:val="single" w:sz="8" w:color="2D96D2"/>
            </w:tcBorders>
            <w:gridSpan w:val="3"/>
          </w:tcPr>
          <w:p>
            <w:pPr>
              <w:spacing w:after="0"/>
              <w:rPr>
                <w:sz w:val="20"/>
                <w:szCs w:val="20"/>
                <w:color w:val="auto"/>
              </w:rPr>
            </w:pPr>
            <w:r>
              <w:rPr>
                <w:rFonts w:ascii="Arial" w:cs="Arial" w:eastAsia="Arial" w:hAnsi="Arial"/>
                <w:sz w:val="9"/>
                <w:szCs w:val="9"/>
                <w:color w:val="2D96D2"/>
                <w:w w:val="97"/>
              </w:rPr>
              <w:t>Reading Armadale Pty Ltd</w:t>
            </w:r>
          </w:p>
        </w:tc>
        <w:tc>
          <w:tcPr>
            <w:tcW w:w="350" w:type="dxa"/>
            <w:vAlign w:val="bottom"/>
            <w:gridSpan w:val="2"/>
          </w:tcPr>
          <w:p>
            <w:pPr>
              <w:spacing w:after="0"/>
              <w:rPr>
                <w:sz w:val="20"/>
                <w:szCs w:val="20"/>
                <w:color w:val="auto"/>
              </w:rPr>
            </w:pPr>
            <w:r>
              <w:rPr>
                <w:rFonts w:ascii="Arial" w:cs="Arial" w:eastAsia="Arial" w:hAnsi="Arial"/>
                <w:sz w:val="9"/>
                <w:szCs w:val="9"/>
                <w:color w:val="B5082D"/>
                <w:strike w:val="1"/>
              </w:rPr>
              <w:t>Reading</w:t>
            </w:r>
          </w:p>
        </w:tc>
        <w:tc>
          <w:tcPr>
            <w:tcW w:w="1490" w:type="dxa"/>
            <w:vAlign w:val="bottom"/>
            <w:tcBorders>
              <w:right w:val="single" w:sz="8" w:color="A6A6A6"/>
            </w:tcBorders>
            <w:gridSpan w:val="2"/>
          </w:tcPr>
          <w:p>
            <w:pPr>
              <w:ind w:left="10"/>
              <w:spacing w:after="0"/>
              <w:rPr>
                <w:sz w:val="20"/>
                <w:szCs w:val="20"/>
                <w:color w:val="auto"/>
              </w:rPr>
            </w:pPr>
            <w:r>
              <w:rPr>
                <w:rFonts w:ascii="Arial" w:cs="Arial" w:eastAsia="Arial" w:hAnsi="Arial"/>
                <w:sz w:val="9"/>
                <w:szCs w:val="9"/>
                <w:color w:val="B5082D"/>
                <w:strike w:val="1"/>
              </w:rPr>
              <w:t>Australia Leasing (E&amp;R)</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107 939 211</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0" w:type="dxa"/>
            <w:vAlign w:val="bottom"/>
            <w:tcBorders>
              <w:right w:val="single" w:sz="8" w:color="A6A6A6"/>
            </w:tcBorders>
          </w:tcPr>
          <w:p>
            <w:pPr>
              <w:spacing w:after="0"/>
              <w:rPr>
                <w:sz w:val="3"/>
                <w:szCs w:val="3"/>
                <w:color w:val="auto"/>
              </w:rPr>
            </w:pPr>
          </w:p>
        </w:tc>
        <w:tc>
          <w:tcPr>
            <w:tcW w:w="280" w:type="dxa"/>
            <w:vAlign w:val="bottom"/>
            <w:vMerge w:val="restart"/>
          </w:tcPr>
          <w:p>
            <w:pPr>
              <w:spacing w:after="0"/>
              <w:rPr>
                <w:sz w:val="20"/>
                <w:szCs w:val="20"/>
                <w:color w:val="auto"/>
              </w:rPr>
            </w:pPr>
            <w:r>
              <w:rPr>
                <w:rFonts w:ascii="Arial" w:cs="Arial" w:eastAsia="Arial" w:hAnsi="Arial"/>
                <w:sz w:val="9"/>
                <w:szCs w:val="9"/>
                <w:color w:val="B5082D"/>
                <w:strike w:val="1"/>
                <w:w w:val="92"/>
              </w:rPr>
              <w:t>Pty Ltd</w:t>
            </w: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0" w:type="dxa"/>
            <w:vAlign w:val="bottom"/>
          </w:tcPr>
          <w:p>
            <w:pPr>
              <w:spacing w:after="0"/>
              <w:rPr>
                <w:sz w:val="3"/>
                <w:szCs w:val="3"/>
                <w:color w:val="auto"/>
              </w:rPr>
            </w:pPr>
          </w:p>
        </w:tc>
        <w:tc>
          <w:tcPr>
            <w:tcW w:w="100" w:type="dxa"/>
            <w:vAlign w:val="bottom"/>
          </w:tcPr>
          <w:p>
            <w:pPr>
              <w:spacing w:after="0"/>
              <w:rPr>
                <w:sz w:val="3"/>
                <w:szCs w:val="3"/>
                <w:color w:val="auto"/>
              </w:rPr>
            </w:pPr>
          </w:p>
        </w:tc>
        <w:tc>
          <w:tcPr>
            <w:tcW w:w="670" w:type="dxa"/>
            <w:vAlign w:val="bottom"/>
          </w:tcPr>
          <w:p>
            <w:pPr>
              <w:spacing w:after="0"/>
              <w:rPr>
                <w:sz w:val="3"/>
                <w:szCs w:val="3"/>
                <w:color w:val="auto"/>
              </w:rPr>
            </w:pPr>
          </w:p>
        </w:tc>
        <w:tc>
          <w:tcPr>
            <w:tcW w:w="820" w:type="dxa"/>
            <w:vAlign w:val="bottom"/>
            <w:tcBorders>
              <w:right w:val="single" w:sz="8" w:color="A6A6A6"/>
            </w:tcBorders>
          </w:tcPr>
          <w:p>
            <w:pPr>
              <w:spacing w:after="0"/>
              <w:rPr>
                <w:sz w:val="3"/>
                <w:szCs w:val="3"/>
                <w:color w:val="auto"/>
              </w:rPr>
            </w:pPr>
          </w:p>
        </w:tc>
        <w:tc>
          <w:tcPr>
            <w:tcW w:w="640" w:type="dxa"/>
            <w:vAlign w:val="bottom"/>
            <w:tcBorders>
              <w:right w:val="single" w:sz="8" w:color="A6A6A6"/>
            </w:tcBorders>
            <w:vMerge w:val="continue"/>
          </w:tcPr>
          <w:p>
            <w:pPr>
              <w:spacing w:after="0"/>
              <w:rPr>
                <w:sz w:val="3"/>
                <w:szCs w:val="3"/>
                <w:color w:val="auto"/>
              </w:rPr>
            </w:pPr>
          </w:p>
        </w:tc>
        <w:tc>
          <w:tcPr>
            <w:tcW w:w="1780" w:type="dxa"/>
            <w:vAlign w:val="bottom"/>
            <w:tcBorders>
              <w:right w:val="single" w:sz="8" w:color="A6A6A6"/>
            </w:tcBorders>
            <w:vMerge w:val="continue"/>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400" w:type="dxa"/>
            <w:vAlign w:val="bottom"/>
            <w:tcBorders>
              <w:right w:val="single" w:sz="8" w:color="A6A6A6"/>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0" w:type="dxa"/>
            <w:vAlign w:val="bottom"/>
          </w:tcPr>
          <w:p>
            <w:pPr>
              <w:spacing w:after="0"/>
              <w:rPr>
                <w:sz w:val="5"/>
                <w:szCs w:val="5"/>
                <w:color w:val="auto"/>
              </w:rPr>
            </w:pPr>
          </w:p>
        </w:tc>
        <w:tc>
          <w:tcPr>
            <w:tcW w:w="770" w:type="dxa"/>
            <w:vAlign w:val="bottom"/>
            <w:gridSpan w:val="2"/>
          </w:tcPr>
          <w:p>
            <w:pPr>
              <w:spacing w:after="0"/>
              <w:rPr>
                <w:sz w:val="5"/>
                <w:szCs w:val="5"/>
                <w:color w:val="auto"/>
              </w:rPr>
            </w:pPr>
          </w:p>
        </w:tc>
        <w:tc>
          <w:tcPr>
            <w:tcW w:w="820" w:type="dxa"/>
            <w:vAlign w:val="bottom"/>
            <w:tcBorders>
              <w:right w:val="single" w:sz="8" w:color="A6A6A6"/>
            </w:tcBorders>
          </w:tcPr>
          <w:p>
            <w:pPr>
              <w:spacing w:after="0"/>
              <w:rPr>
                <w:sz w:val="5"/>
                <w:szCs w:val="5"/>
                <w:color w:val="auto"/>
              </w:rPr>
            </w:pPr>
          </w:p>
        </w:tc>
        <w:tc>
          <w:tcPr>
            <w:tcW w:w="640" w:type="dxa"/>
            <w:vAlign w:val="bottom"/>
            <w:tcBorders>
              <w:right w:val="single" w:sz="8" w:color="A6A6A6"/>
            </w:tcBorders>
          </w:tcPr>
          <w:p>
            <w:pPr>
              <w:spacing w:after="0"/>
              <w:rPr>
                <w:sz w:val="5"/>
                <w:szCs w:val="5"/>
                <w:color w:val="auto"/>
              </w:rPr>
            </w:pPr>
          </w:p>
        </w:tc>
        <w:tc>
          <w:tcPr>
            <w:tcW w:w="1780" w:type="dxa"/>
            <w:vAlign w:val="bottom"/>
            <w:tcBorders>
              <w:right w:val="single" w:sz="8" w:color="A6A6A6"/>
            </w:tcBorders>
          </w:tcPr>
          <w:p>
            <w:pPr>
              <w:spacing w:after="0"/>
              <w:rPr>
                <w:sz w:val="5"/>
                <w:szCs w:val="5"/>
                <w:color w:val="auto"/>
              </w:rPr>
            </w:pPr>
          </w:p>
        </w:tc>
        <w:tc>
          <w:tcPr>
            <w:tcW w:w="3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400" w:type="dxa"/>
            <w:vAlign w:val="bottom"/>
            <w:tcBorders>
              <w:right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5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670" w:type="dxa"/>
            <w:vAlign w:val="bottom"/>
            <w:tcBorders>
              <w:bottom w:val="single" w:sz="8" w:color="A6A6A6"/>
            </w:tcBorders>
          </w:tcPr>
          <w:p>
            <w:pPr>
              <w:spacing w:after="0"/>
              <w:rPr>
                <w:sz w:val="5"/>
                <w:szCs w:val="5"/>
                <w:color w:val="auto"/>
              </w:rPr>
            </w:pPr>
          </w:p>
        </w:tc>
        <w:tc>
          <w:tcPr>
            <w:tcW w:w="820" w:type="dxa"/>
            <w:vAlign w:val="bottom"/>
            <w:tcBorders>
              <w:bottom w:val="single" w:sz="8" w:color="A6A6A6"/>
              <w:right w:val="single" w:sz="8" w:color="A6A6A6"/>
            </w:tcBorders>
          </w:tcPr>
          <w:p>
            <w:pPr>
              <w:spacing w:after="0"/>
              <w:rPr>
                <w:sz w:val="5"/>
                <w:szCs w:val="5"/>
                <w:color w:val="auto"/>
              </w:rPr>
            </w:pPr>
          </w:p>
        </w:tc>
        <w:tc>
          <w:tcPr>
            <w:tcW w:w="640" w:type="dxa"/>
            <w:vAlign w:val="bottom"/>
            <w:tcBorders>
              <w:bottom w:val="single" w:sz="8" w:color="A6A6A6"/>
              <w:right w:val="single" w:sz="8" w:color="A6A6A6"/>
            </w:tcBorders>
          </w:tcPr>
          <w:p>
            <w:pPr>
              <w:spacing w:after="0"/>
              <w:rPr>
                <w:sz w:val="5"/>
                <w:szCs w:val="5"/>
                <w:color w:val="auto"/>
              </w:rPr>
            </w:pPr>
          </w:p>
        </w:tc>
        <w:tc>
          <w:tcPr>
            <w:tcW w:w="1780" w:type="dxa"/>
            <w:vAlign w:val="bottom"/>
            <w:tcBorders>
              <w:bottom w:val="single" w:sz="8" w:color="A6A6A6"/>
              <w:right w:val="single" w:sz="8" w:color="A6A6A6"/>
            </w:tcBorders>
          </w:tcPr>
          <w:p>
            <w:pPr>
              <w:spacing w:after="0"/>
              <w:rPr>
                <w:sz w:val="5"/>
                <w:szCs w:val="5"/>
                <w:color w:val="auto"/>
              </w:rPr>
            </w:pPr>
          </w:p>
        </w:tc>
        <w:tc>
          <w:tcPr>
            <w:tcW w:w="3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Belmont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126 697 498</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66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25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670" w:type="dxa"/>
            <w:vAlign w:val="bottom"/>
            <w:tcBorders>
              <w:bottom w:val="single" w:sz="8" w:color="A6A6A6"/>
            </w:tcBorders>
          </w:tcPr>
          <w:p>
            <w:pPr>
              <w:spacing w:after="0"/>
              <w:rPr>
                <w:sz w:val="4"/>
                <w:szCs w:val="4"/>
                <w:color w:val="auto"/>
              </w:rPr>
            </w:pPr>
          </w:p>
        </w:tc>
        <w:tc>
          <w:tcPr>
            <w:tcW w:w="8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Charlestown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123 938 483</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0" w:type="dxa"/>
            <w:vAlign w:val="bottom"/>
            <w:tcBorders>
              <w:right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5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670" w:type="dxa"/>
            <w:vAlign w:val="bottom"/>
            <w:tcBorders>
              <w:bottom w:val="single" w:sz="8" w:color="A6A6A6"/>
            </w:tcBorders>
          </w:tcPr>
          <w:p>
            <w:pPr>
              <w:spacing w:after="0"/>
              <w:rPr>
                <w:sz w:val="3"/>
                <w:szCs w:val="3"/>
                <w:color w:val="auto"/>
              </w:rPr>
            </w:pPr>
          </w:p>
        </w:tc>
        <w:tc>
          <w:tcPr>
            <w:tcW w:w="820" w:type="dxa"/>
            <w:vAlign w:val="bottom"/>
            <w:tcBorders>
              <w:bottom w:val="single" w:sz="8" w:color="A6A6A6"/>
              <w:right w:val="single" w:sz="8" w:color="A6A6A6"/>
            </w:tcBorders>
          </w:tcPr>
          <w:p>
            <w:pPr>
              <w:spacing w:after="0"/>
              <w:rPr>
                <w:sz w:val="3"/>
                <w:szCs w:val="3"/>
                <w:color w:val="auto"/>
              </w:rPr>
            </w:pPr>
          </w:p>
        </w:tc>
        <w:tc>
          <w:tcPr>
            <w:tcW w:w="640" w:type="dxa"/>
            <w:vAlign w:val="bottom"/>
            <w:tcBorders>
              <w:bottom w:val="single" w:sz="8" w:color="A6A6A6"/>
              <w:right w:val="single" w:sz="8" w:color="A6A6A6"/>
            </w:tcBorders>
            <w:vMerge w:val="continue"/>
          </w:tcPr>
          <w:p>
            <w:pPr>
              <w:spacing w:after="0"/>
              <w:rPr>
                <w:sz w:val="3"/>
                <w:szCs w:val="3"/>
                <w:color w:val="auto"/>
              </w:rPr>
            </w:pPr>
          </w:p>
        </w:tc>
        <w:tc>
          <w:tcPr>
            <w:tcW w:w="1780" w:type="dxa"/>
            <w:vAlign w:val="bottom"/>
            <w:tcBorders>
              <w:bottom w:val="single" w:sz="8" w:color="A6A6A6"/>
              <w:right w:val="single" w:sz="8" w:color="A6A6A6"/>
            </w:tcBorders>
            <w:vMerge w:val="continue"/>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Cinemas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073 808 643</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66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25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670" w:type="dxa"/>
            <w:vAlign w:val="bottom"/>
            <w:tcBorders>
              <w:bottom w:val="single" w:sz="8" w:color="A6A6A6"/>
            </w:tcBorders>
          </w:tcPr>
          <w:p>
            <w:pPr>
              <w:spacing w:after="0"/>
              <w:rPr>
                <w:sz w:val="4"/>
                <w:szCs w:val="4"/>
                <w:color w:val="auto"/>
              </w:rPr>
            </w:pPr>
          </w:p>
        </w:tc>
        <w:tc>
          <w:tcPr>
            <w:tcW w:w="8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Cinemas Management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122 406 311</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66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25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670" w:type="dxa"/>
            <w:vAlign w:val="bottom"/>
            <w:tcBorders>
              <w:bottom w:val="single" w:sz="8" w:color="A6A6A6"/>
            </w:tcBorders>
          </w:tcPr>
          <w:p>
            <w:pPr>
              <w:spacing w:after="0"/>
              <w:rPr>
                <w:sz w:val="4"/>
                <w:szCs w:val="4"/>
                <w:color w:val="auto"/>
              </w:rPr>
            </w:pPr>
          </w:p>
        </w:tc>
        <w:tc>
          <w:tcPr>
            <w:tcW w:w="8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State Cinema Hobart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108 861 061</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66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25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670" w:type="dxa"/>
            <w:vAlign w:val="bottom"/>
            <w:tcBorders>
              <w:bottom w:val="single" w:sz="8" w:color="A6A6A6"/>
            </w:tcBorders>
          </w:tcPr>
          <w:p>
            <w:pPr>
              <w:spacing w:after="0"/>
              <w:rPr>
                <w:sz w:val="4"/>
                <w:szCs w:val="4"/>
                <w:color w:val="auto"/>
              </w:rPr>
            </w:pPr>
          </w:p>
        </w:tc>
        <w:tc>
          <w:tcPr>
            <w:tcW w:w="8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Dandenong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129 018 739</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0" w:type="dxa"/>
            <w:vAlign w:val="bottom"/>
            <w:tcBorders>
              <w:right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5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670" w:type="dxa"/>
            <w:vAlign w:val="bottom"/>
            <w:tcBorders>
              <w:bottom w:val="single" w:sz="8" w:color="A6A6A6"/>
            </w:tcBorders>
          </w:tcPr>
          <w:p>
            <w:pPr>
              <w:spacing w:after="0"/>
              <w:rPr>
                <w:sz w:val="3"/>
                <w:szCs w:val="3"/>
                <w:color w:val="auto"/>
              </w:rPr>
            </w:pPr>
          </w:p>
        </w:tc>
        <w:tc>
          <w:tcPr>
            <w:tcW w:w="820" w:type="dxa"/>
            <w:vAlign w:val="bottom"/>
            <w:tcBorders>
              <w:bottom w:val="single" w:sz="8" w:color="A6A6A6"/>
              <w:right w:val="single" w:sz="8" w:color="A6A6A6"/>
            </w:tcBorders>
          </w:tcPr>
          <w:p>
            <w:pPr>
              <w:spacing w:after="0"/>
              <w:rPr>
                <w:sz w:val="3"/>
                <w:szCs w:val="3"/>
                <w:color w:val="auto"/>
              </w:rPr>
            </w:pPr>
          </w:p>
        </w:tc>
        <w:tc>
          <w:tcPr>
            <w:tcW w:w="640" w:type="dxa"/>
            <w:vAlign w:val="bottom"/>
            <w:tcBorders>
              <w:bottom w:val="single" w:sz="8" w:color="A6A6A6"/>
              <w:right w:val="single" w:sz="8" w:color="A6A6A6"/>
            </w:tcBorders>
            <w:vMerge w:val="continue"/>
          </w:tcPr>
          <w:p>
            <w:pPr>
              <w:spacing w:after="0"/>
              <w:rPr>
                <w:sz w:val="3"/>
                <w:szCs w:val="3"/>
                <w:color w:val="auto"/>
              </w:rPr>
            </w:pPr>
          </w:p>
        </w:tc>
        <w:tc>
          <w:tcPr>
            <w:tcW w:w="1780" w:type="dxa"/>
            <w:vAlign w:val="bottom"/>
            <w:tcBorders>
              <w:bottom w:val="single" w:sz="8" w:color="A6A6A6"/>
              <w:right w:val="single" w:sz="8" w:color="A6A6A6"/>
            </w:tcBorders>
            <w:vMerge w:val="continue"/>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Elizabeth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114 582 099</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66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25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670" w:type="dxa"/>
            <w:vAlign w:val="bottom"/>
            <w:tcBorders>
              <w:bottom w:val="single" w:sz="8" w:color="A6A6A6"/>
            </w:tcBorders>
          </w:tcPr>
          <w:p>
            <w:pPr>
              <w:spacing w:after="0"/>
              <w:rPr>
                <w:sz w:val="4"/>
                <w:szCs w:val="4"/>
                <w:color w:val="auto"/>
              </w:rPr>
            </w:pPr>
          </w:p>
        </w:tc>
        <w:tc>
          <w:tcPr>
            <w:tcW w:w="8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Exhibition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103 529 782</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66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25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670" w:type="dxa"/>
            <w:vAlign w:val="bottom"/>
            <w:tcBorders>
              <w:bottom w:val="single" w:sz="8" w:color="A6A6A6"/>
            </w:tcBorders>
          </w:tcPr>
          <w:p>
            <w:pPr>
              <w:spacing w:after="0"/>
              <w:rPr>
                <w:sz w:val="4"/>
                <w:szCs w:val="4"/>
                <w:color w:val="auto"/>
              </w:rPr>
            </w:pPr>
          </w:p>
        </w:tc>
        <w:tc>
          <w:tcPr>
            <w:tcW w:w="8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Licences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089 544 605</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66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25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670" w:type="dxa"/>
            <w:vAlign w:val="bottom"/>
            <w:tcBorders>
              <w:bottom w:val="single" w:sz="8" w:color="A6A6A6"/>
            </w:tcBorders>
          </w:tcPr>
          <w:p>
            <w:pPr>
              <w:spacing w:after="0"/>
              <w:rPr>
                <w:sz w:val="4"/>
                <w:szCs w:val="4"/>
                <w:color w:val="auto"/>
              </w:rPr>
            </w:pPr>
          </w:p>
        </w:tc>
        <w:tc>
          <w:tcPr>
            <w:tcW w:w="8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Maitland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126 697 461</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0" w:type="dxa"/>
            <w:vAlign w:val="bottom"/>
            <w:tcBorders>
              <w:right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5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670" w:type="dxa"/>
            <w:vAlign w:val="bottom"/>
            <w:tcBorders>
              <w:bottom w:val="single" w:sz="8" w:color="A6A6A6"/>
            </w:tcBorders>
          </w:tcPr>
          <w:p>
            <w:pPr>
              <w:spacing w:after="0"/>
              <w:rPr>
                <w:sz w:val="3"/>
                <w:szCs w:val="3"/>
                <w:color w:val="auto"/>
              </w:rPr>
            </w:pPr>
          </w:p>
        </w:tc>
        <w:tc>
          <w:tcPr>
            <w:tcW w:w="820" w:type="dxa"/>
            <w:vAlign w:val="bottom"/>
            <w:tcBorders>
              <w:bottom w:val="single" w:sz="8" w:color="A6A6A6"/>
              <w:right w:val="single" w:sz="8" w:color="A6A6A6"/>
            </w:tcBorders>
          </w:tcPr>
          <w:p>
            <w:pPr>
              <w:spacing w:after="0"/>
              <w:rPr>
                <w:sz w:val="3"/>
                <w:szCs w:val="3"/>
                <w:color w:val="auto"/>
              </w:rPr>
            </w:pPr>
          </w:p>
        </w:tc>
        <w:tc>
          <w:tcPr>
            <w:tcW w:w="640" w:type="dxa"/>
            <w:vAlign w:val="bottom"/>
            <w:tcBorders>
              <w:bottom w:val="single" w:sz="8" w:color="A6A6A6"/>
              <w:right w:val="single" w:sz="8" w:color="A6A6A6"/>
            </w:tcBorders>
            <w:vMerge w:val="continue"/>
          </w:tcPr>
          <w:p>
            <w:pPr>
              <w:spacing w:after="0"/>
              <w:rPr>
                <w:sz w:val="3"/>
                <w:szCs w:val="3"/>
                <w:color w:val="auto"/>
              </w:rPr>
            </w:pPr>
          </w:p>
        </w:tc>
        <w:tc>
          <w:tcPr>
            <w:tcW w:w="1780" w:type="dxa"/>
            <w:vAlign w:val="bottom"/>
            <w:tcBorders>
              <w:bottom w:val="single" w:sz="8" w:color="A6A6A6"/>
              <w:right w:val="single" w:sz="8" w:color="A6A6A6"/>
            </w:tcBorders>
            <w:vMerge w:val="continue"/>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Melton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109 074 517</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66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25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670" w:type="dxa"/>
            <w:vAlign w:val="bottom"/>
            <w:tcBorders>
              <w:bottom w:val="single" w:sz="8" w:color="A6A6A6"/>
            </w:tcBorders>
          </w:tcPr>
          <w:p>
            <w:pPr>
              <w:spacing w:after="0"/>
              <w:rPr>
                <w:sz w:val="4"/>
                <w:szCs w:val="4"/>
                <w:color w:val="auto"/>
              </w:rPr>
            </w:pPr>
          </w:p>
        </w:tc>
        <w:tc>
          <w:tcPr>
            <w:tcW w:w="8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6"/>
                <w:szCs w:val="16"/>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Bundaberg 2012 Pty Ltd (formerly Reading Moonee</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122 406 320</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400" w:type="dxa"/>
            <w:vAlign w:val="bottom"/>
            <w:tcBorders>
              <w:right w:val="single" w:sz="8" w:color="A6A6A6"/>
            </w:tcBorders>
          </w:tcPr>
          <w:p>
            <w:pPr>
              <w:spacing w:after="0"/>
              <w:rPr>
                <w:sz w:val="3"/>
                <w:szCs w:val="3"/>
                <w:color w:val="auto"/>
              </w:rPr>
            </w:pPr>
          </w:p>
        </w:tc>
        <w:tc>
          <w:tcPr>
            <w:tcW w:w="2880" w:type="dxa"/>
            <w:vAlign w:val="bottom"/>
            <w:tcBorders>
              <w:right w:val="single" w:sz="8" w:color="A6A6A6"/>
            </w:tcBorders>
            <w:gridSpan w:val="7"/>
            <w:vMerge w:val="restart"/>
          </w:tcPr>
          <w:p>
            <w:pPr>
              <w:spacing w:after="0"/>
              <w:rPr>
                <w:sz w:val="20"/>
                <w:szCs w:val="20"/>
                <w:color w:val="auto"/>
              </w:rPr>
            </w:pPr>
            <w:r>
              <w:rPr>
                <w:rFonts w:ascii="Arial" w:cs="Arial" w:eastAsia="Arial" w:hAnsi="Arial"/>
                <w:sz w:val="9"/>
                <w:szCs w:val="9"/>
                <w:color w:val="auto"/>
              </w:rPr>
              <w:t>Ponds Pty Ltd)</w:t>
            </w:r>
          </w:p>
        </w:tc>
        <w:tc>
          <w:tcPr>
            <w:tcW w:w="640" w:type="dxa"/>
            <w:vAlign w:val="bottom"/>
            <w:tcBorders>
              <w:right w:val="single" w:sz="8" w:color="A6A6A6"/>
            </w:tcBorders>
            <w:vMerge w:val="continue"/>
          </w:tcPr>
          <w:p>
            <w:pPr>
              <w:spacing w:after="0"/>
              <w:rPr>
                <w:sz w:val="3"/>
                <w:szCs w:val="3"/>
                <w:color w:val="auto"/>
              </w:rPr>
            </w:pPr>
          </w:p>
        </w:tc>
        <w:tc>
          <w:tcPr>
            <w:tcW w:w="1780" w:type="dxa"/>
            <w:vAlign w:val="bottom"/>
            <w:tcBorders>
              <w:right w:val="single" w:sz="8" w:color="A6A6A6"/>
            </w:tcBorders>
            <w:vMerge w:val="continue"/>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400" w:type="dxa"/>
            <w:vAlign w:val="bottom"/>
            <w:tcBorders>
              <w:right w:val="single" w:sz="8" w:color="A6A6A6"/>
            </w:tcBorders>
          </w:tcPr>
          <w:p>
            <w:pPr>
              <w:spacing w:after="0"/>
              <w:rPr>
                <w:sz w:val="5"/>
                <w:szCs w:val="5"/>
                <w:color w:val="auto"/>
              </w:rPr>
            </w:pPr>
          </w:p>
        </w:tc>
        <w:tc>
          <w:tcPr>
            <w:tcW w:w="2880" w:type="dxa"/>
            <w:vAlign w:val="bottom"/>
            <w:tcBorders>
              <w:right w:val="single" w:sz="8" w:color="A6A6A6"/>
            </w:tcBorders>
            <w:gridSpan w:val="7"/>
            <w:vMerge w:val="continue"/>
          </w:tcPr>
          <w:p>
            <w:pPr>
              <w:spacing w:after="0"/>
              <w:rPr>
                <w:sz w:val="5"/>
                <w:szCs w:val="5"/>
                <w:color w:val="auto"/>
              </w:rPr>
            </w:pPr>
          </w:p>
        </w:tc>
        <w:tc>
          <w:tcPr>
            <w:tcW w:w="640" w:type="dxa"/>
            <w:vAlign w:val="bottom"/>
            <w:tcBorders>
              <w:right w:val="single" w:sz="8" w:color="A6A6A6"/>
            </w:tcBorders>
          </w:tcPr>
          <w:p>
            <w:pPr>
              <w:spacing w:after="0"/>
              <w:rPr>
                <w:sz w:val="5"/>
                <w:szCs w:val="5"/>
                <w:color w:val="auto"/>
              </w:rPr>
            </w:pPr>
          </w:p>
        </w:tc>
        <w:tc>
          <w:tcPr>
            <w:tcW w:w="1780" w:type="dxa"/>
            <w:vAlign w:val="bottom"/>
            <w:tcBorders>
              <w:right w:val="single" w:sz="8" w:color="A6A6A6"/>
            </w:tcBorders>
          </w:tcPr>
          <w:p>
            <w:pPr>
              <w:spacing w:after="0"/>
              <w:rPr>
                <w:sz w:val="5"/>
                <w:szCs w:val="5"/>
                <w:color w:val="auto"/>
              </w:rPr>
            </w:pPr>
          </w:p>
        </w:tc>
        <w:tc>
          <w:tcPr>
            <w:tcW w:w="3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0" w:type="dxa"/>
            <w:vAlign w:val="bottom"/>
            <w:tcBorders>
              <w:right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66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25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670" w:type="dxa"/>
            <w:vAlign w:val="bottom"/>
            <w:tcBorders>
              <w:bottom w:val="single" w:sz="8" w:color="A6A6A6"/>
            </w:tcBorders>
          </w:tcPr>
          <w:p>
            <w:pPr>
              <w:spacing w:after="0"/>
              <w:rPr>
                <w:sz w:val="17"/>
                <w:szCs w:val="17"/>
                <w:color w:val="auto"/>
              </w:rPr>
            </w:pPr>
          </w:p>
        </w:tc>
        <w:tc>
          <w:tcPr>
            <w:tcW w:w="820" w:type="dxa"/>
            <w:vAlign w:val="bottom"/>
            <w:tcBorders>
              <w:bottom w:val="single" w:sz="8" w:color="A6A6A6"/>
              <w:right w:val="single" w:sz="8" w:color="A6A6A6"/>
            </w:tcBorders>
          </w:tcPr>
          <w:p>
            <w:pPr>
              <w:spacing w:after="0"/>
              <w:rPr>
                <w:sz w:val="17"/>
                <w:szCs w:val="17"/>
                <w:color w:val="auto"/>
              </w:rPr>
            </w:pPr>
          </w:p>
        </w:tc>
        <w:tc>
          <w:tcPr>
            <w:tcW w:w="640" w:type="dxa"/>
            <w:vAlign w:val="bottom"/>
            <w:tcBorders>
              <w:bottom w:val="single" w:sz="8" w:color="A6A6A6"/>
              <w:right w:val="single" w:sz="8" w:color="A6A6A6"/>
            </w:tcBorders>
          </w:tcPr>
          <w:p>
            <w:pPr>
              <w:spacing w:after="0"/>
              <w:rPr>
                <w:sz w:val="17"/>
                <w:szCs w:val="17"/>
                <w:color w:val="auto"/>
              </w:rPr>
            </w:pPr>
          </w:p>
        </w:tc>
        <w:tc>
          <w:tcPr>
            <w:tcW w:w="1780" w:type="dxa"/>
            <w:vAlign w:val="bottom"/>
            <w:tcBorders>
              <w:bottom w:val="single" w:sz="8" w:color="A6A6A6"/>
              <w:right w:val="single" w:sz="8" w:color="A6A6A6"/>
            </w:tcBorders>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Properties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071 195 429</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66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25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670" w:type="dxa"/>
            <w:vAlign w:val="bottom"/>
            <w:tcBorders>
              <w:bottom w:val="single" w:sz="8" w:color="A6A6A6"/>
            </w:tcBorders>
          </w:tcPr>
          <w:p>
            <w:pPr>
              <w:spacing w:after="0"/>
              <w:rPr>
                <w:sz w:val="4"/>
                <w:szCs w:val="4"/>
                <w:color w:val="auto"/>
              </w:rPr>
            </w:pPr>
          </w:p>
        </w:tc>
        <w:tc>
          <w:tcPr>
            <w:tcW w:w="8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6"/>
                <w:szCs w:val="16"/>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Properties Indooroopilly Pty Ltd as trustee</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121 284 884</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400" w:type="dxa"/>
            <w:vAlign w:val="bottom"/>
            <w:tcBorders>
              <w:right w:val="single" w:sz="8" w:color="A6A6A6"/>
            </w:tcBorders>
          </w:tcPr>
          <w:p>
            <w:pPr>
              <w:spacing w:after="0"/>
              <w:rPr>
                <w:sz w:val="3"/>
                <w:szCs w:val="3"/>
                <w:color w:val="auto"/>
              </w:rPr>
            </w:pPr>
          </w:p>
        </w:tc>
        <w:tc>
          <w:tcPr>
            <w:tcW w:w="2880" w:type="dxa"/>
            <w:vAlign w:val="bottom"/>
            <w:tcBorders>
              <w:right w:val="single" w:sz="8" w:color="A6A6A6"/>
            </w:tcBorders>
            <w:gridSpan w:val="7"/>
            <w:vMerge w:val="restart"/>
          </w:tcPr>
          <w:p>
            <w:pPr>
              <w:spacing w:after="0"/>
              <w:rPr>
                <w:sz w:val="20"/>
                <w:szCs w:val="20"/>
                <w:color w:val="auto"/>
              </w:rPr>
            </w:pPr>
            <w:r>
              <w:rPr>
                <w:rFonts w:ascii="Arial" w:cs="Arial" w:eastAsia="Arial" w:hAnsi="Arial"/>
                <w:sz w:val="9"/>
                <w:szCs w:val="9"/>
                <w:color w:val="auto"/>
              </w:rPr>
              <w:t>for The Landplan Property Partners Discretionary Trust</w:t>
            </w:r>
          </w:p>
        </w:tc>
        <w:tc>
          <w:tcPr>
            <w:tcW w:w="640" w:type="dxa"/>
            <w:vAlign w:val="bottom"/>
            <w:tcBorders>
              <w:right w:val="single" w:sz="8" w:color="A6A6A6"/>
            </w:tcBorders>
            <w:vMerge w:val="continue"/>
          </w:tcPr>
          <w:p>
            <w:pPr>
              <w:spacing w:after="0"/>
              <w:rPr>
                <w:sz w:val="3"/>
                <w:szCs w:val="3"/>
                <w:color w:val="auto"/>
              </w:rPr>
            </w:pPr>
          </w:p>
        </w:tc>
        <w:tc>
          <w:tcPr>
            <w:tcW w:w="1780" w:type="dxa"/>
            <w:vAlign w:val="bottom"/>
            <w:tcBorders>
              <w:right w:val="single" w:sz="8" w:color="A6A6A6"/>
            </w:tcBorders>
            <w:vMerge w:val="continue"/>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400" w:type="dxa"/>
            <w:vAlign w:val="bottom"/>
            <w:tcBorders>
              <w:right w:val="single" w:sz="8" w:color="A6A6A6"/>
            </w:tcBorders>
          </w:tcPr>
          <w:p>
            <w:pPr>
              <w:spacing w:after="0"/>
              <w:rPr>
                <w:sz w:val="5"/>
                <w:szCs w:val="5"/>
                <w:color w:val="auto"/>
              </w:rPr>
            </w:pPr>
          </w:p>
        </w:tc>
        <w:tc>
          <w:tcPr>
            <w:tcW w:w="2880" w:type="dxa"/>
            <w:vAlign w:val="bottom"/>
            <w:tcBorders>
              <w:right w:val="single" w:sz="8" w:color="A6A6A6"/>
            </w:tcBorders>
            <w:gridSpan w:val="7"/>
            <w:vMerge w:val="continue"/>
          </w:tcPr>
          <w:p>
            <w:pPr>
              <w:spacing w:after="0"/>
              <w:rPr>
                <w:sz w:val="5"/>
                <w:szCs w:val="5"/>
                <w:color w:val="auto"/>
              </w:rPr>
            </w:pPr>
          </w:p>
        </w:tc>
        <w:tc>
          <w:tcPr>
            <w:tcW w:w="640" w:type="dxa"/>
            <w:vAlign w:val="bottom"/>
            <w:tcBorders>
              <w:right w:val="single" w:sz="8" w:color="A6A6A6"/>
            </w:tcBorders>
          </w:tcPr>
          <w:p>
            <w:pPr>
              <w:spacing w:after="0"/>
              <w:rPr>
                <w:sz w:val="5"/>
                <w:szCs w:val="5"/>
                <w:color w:val="auto"/>
              </w:rPr>
            </w:pPr>
          </w:p>
        </w:tc>
        <w:tc>
          <w:tcPr>
            <w:tcW w:w="1780" w:type="dxa"/>
            <w:vAlign w:val="bottom"/>
            <w:tcBorders>
              <w:right w:val="single" w:sz="8" w:color="A6A6A6"/>
            </w:tcBorders>
          </w:tcPr>
          <w:p>
            <w:pPr>
              <w:spacing w:after="0"/>
              <w:rPr>
                <w:sz w:val="5"/>
                <w:szCs w:val="5"/>
                <w:color w:val="auto"/>
              </w:rPr>
            </w:pPr>
          </w:p>
        </w:tc>
        <w:tc>
          <w:tcPr>
            <w:tcW w:w="3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0" w:type="dxa"/>
            <w:vAlign w:val="bottom"/>
            <w:tcBorders>
              <w:right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66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25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670" w:type="dxa"/>
            <w:vAlign w:val="bottom"/>
            <w:tcBorders>
              <w:bottom w:val="single" w:sz="8" w:color="A6A6A6"/>
            </w:tcBorders>
          </w:tcPr>
          <w:p>
            <w:pPr>
              <w:spacing w:after="0"/>
              <w:rPr>
                <w:sz w:val="17"/>
                <w:szCs w:val="17"/>
                <w:color w:val="auto"/>
              </w:rPr>
            </w:pPr>
          </w:p>
        </w:tc>
        <w:tc>
          <w:tcPr>
            <w:tcW w:w="820" w:type="dxa"/>
            <w:vAlign w:val="bottom"/>
            <w:tcBorders>
              <w:bottom w:val="single" w:sz="8" w:color="A6A6A6"/>
              <w:right w:val="single" w:sz="8" w:color="A6A6A6"/>
            </w:tcBorders>
          </w:tcPr>
          <w:p>
            <w:pPr>
              <w:spacing w:after="0"/>
              <w:rPr>
                <w:sz w:val="17"/>
                <w:szCs w:val="17"/>
                <w:color w:val="auto"/>
              </w:rPr>
            </w:pPr>
          </w:p>
        </w:tc>
        <w:tc>
          <w:tcPr>
            <w:tcW w:w="640" w:type="dxa"/>
            <w:vAlign w:val="bottom"/>
            <w:tcBorders>
              <w:bottom w:val="single" w:sz="8" w:color="A6A6A6"/>
              <w:right w:val="single" w:sz="8" w:color="A6A6A6"/>
            </w:tcBorders>
          </w:tcPr>
          <w:p>
            <w:pPr>
              <w:spacing w:after="0"/>
              <w:rPr>
                <w:sz w:val="17"/>
                <w:szCs w:val="17"/>
                <w:color w:val="auto"/>
              </w:rPr>
            </w:pPr>
          </w:p>
        </w:tc>
        <w:tc>
          <w:tcPr>
            <w:tcW w:w="1780" w:type="dxa"/>
            <w:vAlign w:val="bottom"/>
            <w:tcBorders>
              <w:bottom w:val="single" w:sz="8" w:color="A6A6A6"/>
              <w:right w:val="single" w:sz="8" w:color="A6A6A6"/>
            </w:tcBorders>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0" w:type="dxa"/>
            <w:vAlign w:val="bottom"/>
            <w:tcBorders>
              <w:right w:val="single" w:sz="8" w:color="A6A6A6"/>
            </w:tcBorders>
          </w:tcPr>
          <w:p>
            <w:pPr>
              <w:spacing w:after="0"/>
              <w:rPr>
                <w:sz w:val="15"/>
                <w:szCs w:val="15"/>
                <w:color w:val="auto"/>
              </w:rPr>
            </w:pPr>
          </w:p>
        </w:tc>
        <w:tc>
          <w:tcPr>
            <w:tcW w:w="940" w:type="dxa"/>
            <w:vAlign w:val="bottom"/>
            <w:tcBorders>
              <w:bottom w:val="single" w:sz="8" w:color="2D96D2"/>
            </w:tcBorders>
            <w:gridSpan w:val="2"/>
          </w:tcPr>
          <w:p>
            <w:pPr>
              <w:spacing w:after="0"/>
              <w:rPr>
                <w:sz w:val="20"/>
                <w:szCs w:val="20"/>
                <w:color w:val="auto"/>
              </w:rPr>
            </w:pPr>
            <w:r>
              <w:rPr>
                <w:rFonts w:ascii="Arial" w:cs="Arial" w:eastAsia="Arial" w:hAnsi="Arial"/>
                <w:sz w:val="9"/>
                <w:szCs w:val="9"/>
                <w:color w:val="2D96D2"/>
                <w:w w:val="99"/>
              </w:rPr>
              <w:t>Reading Noosa Pty Ltd</w:t>
            </w:r>
          </w:p>
        </w:tc>
        <w:tc>
          <w:tcPr>
            <w:tcW w:w="350" w:type="dxa"/>
            <w:vAlign w:val="bottom"/>
            <w:gridSpan w:val="2"/>
          </w:tcPr>
          <w:p>
            <w:pPr>
              <w:spacing w:after="0"/>
              <w:rPr>
                <w:sz w:val="20"/>
                <w:szCs w:val="20"/>
                <w:color w:val="auto"/>
              </w:rPr>
            </w:pPr>
            <w:r>
              <w:rPr>
                <w:rFonts w:ascii="Arial" w:cs="Arial" w:eastAsia="Arial" w:hAnsi="Arial"/>
                <w:sz w:val="9"/>
                <w:szCs w:val="9"/>
                <w:color w:val="B5082D"/>
                <w:strike w:val="1"/>
              </w:rPr>
              <w:t>Reading</w:t>
            </w:r>
          </w:p>
        </w:tc>
        <w:tc>
          <w:tcPr>
            <w:tcW w:w="770" w:type="dxa"/>
            <w:vAlign w:val="bottom"/>
            <w:gridSpan w:val="2"/>
          </w:tcPr>
          <w:p>
            <w:pPr>
              <w:ind w:left="10"/>
              <w:spacing w:after="0"/>
              <w:rPr>
                <w:sz w:val="20"/>
                <w:szCs w:val="20"/>
                <w:color w:val="auto"/>
              </w:rPr>
            </w:pPr>
            <w:r>
              <w:rPr>
                <w:rFonts w:ascii="Arial" w:cs="Arial" w:eastAsia="Arial" w:hAnsi="Arial"/>
                <w:sz w:val="9"/>
                <w:szCs w:val="9"/>
                <w:color w:val="B5082D"/>
                <w:strike w:val="1"/>
                <w:w w:val="99"/>
              </w:rPr>
              <w:t>Properties Taringa</w:t>
            </w:r>
          </w:p>
        </w:tc>
        <w:tc>
          <w:tcPr>
            <w:tcW w:w="820" w:type="dxa"/>
            <w:vAlign w:val="bottom"/>
            <w:tcBorders>
              <w:right w:val="single" w:sz="8" w:color="A6A6A6"/>
            </w:tcBorders>
          </w:tcPr>
          <w:p>
            <w:pPr>
              <w:spacing w:after="0"/>
              <w:rPr>
                <w:sz w:val="20"/>
                <w:szCs w:val="20"/>
                <w:color w:val="auto"/>
              </w:rPr>
            </w:pPr>
            <w:r>
              <w:rPr>
                <w:rFonts w:ascii="Arial" w:cs="Arial" w:eastAsia="Arial" w:hAnsi="Arial"/>
                <w:sz w:val="9"/>
                <w:szCs w:val="9"/>
                <w:color w:val="auto"/>
              </w:rPr>
              <w:t>Pty Ltd as trustee</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128 819 483</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400" w:type="dxa"/>
            <w:vAlign w:val="bottom"/>
            <w:tcBorders>
              <w:right w:val="single" w:sz="8" w:color="A6A6A6"/>
            </w:tcBorders>
          </w:tcPr>
          <w:p>
            <w:pPr>
              <w:spacing w:after="0"/>
              <w:rPr>
                <w:sz w:val="3"/>
                <w:szCs w:val="3"/>
                <w:color w:val="auto"/>
              </w:rPr>
            </w:pPr>
          </w:p>
        </w:tc>
        <w:tc>
          <w:tcPr>
            <w:tcW w:w="2880" w:type="dxa"/>
            <w:vAlign w:val="bottom"/>
            <w:tcBorders>
              <w:right w:val="single" w:sz="8" w:color="A6A6A6"/>
            </w:tcBorders>
            <w:gridSpan w:val="7"/>
            <w:vMerge w:val="restart"/>
          </w:tcPr>
          <w:p>
            <w:pPr>
              <w:spacing w:after="0"/>
              <w:rPr>
                <w:sz w:val="20"/>
                <w:szCs w:val="20"/>
                <w:color w:val="auto"/>
              </w:rPr>
            </w:pPr>
            <w:r>
              <w:rPr>
                <w:rFonts w:ascii="Arial" w:cs="Arial" w:eastAsia="Arial" w:hAnsi="Arial"/>
                <w:sz w:val="9"/>
                <w:szCs w:val="9"/>
                <w:color w:val="auto"/>
              </w:rPr>
              <w:t>for the Reading Property Partners No. 1 Discretionary Trust</w:t>
            </w:r>
          </w:p>
        </w:tc>
        <w:tc>
          <w:tcPr>
            <w:tcW w:w="640" w:type="dxa"/>
            <w:vAlign w:val="bottom"/>
            <w:tcBorders>
              <w:right w:val="single" w:sz="8" w:color="A6A6A6"/>
            </w:tcBorders>
            <w:vMerge w:val="continue"/>
          </w:tcPr>
          <w:p>
            <w:pPr>
              <w:spacing w:after="0"/>
              <w:rPr>
                <w:sz w:val="3"/>
                <w:szCs w:val="3"/>
                <w:color w:val="auto"/>
              </w:rPr>
            </w:pPr>
          </w:p>
        </w:tc>
        <w:tc>
          <w:tcPr>
            <w:tcW w:w="1780" w:type="dxa"/>
            <w:vAlign w:val="bottom"/>
            <w:tcBorders>
              <w:right w:val="single" w:sz="8" w:color="A6A6A6"/>
            </w:tcBorders>
            <w:vMerge w:val="continue"/>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400" w:type="dxa"/>
            <w:vAlign w:val="bottom"/>
            <w:tcBorders>
              <w:right w:val="single" w:sz="8" w:color="A6A6A6"/>
            </w:tcBorders>
          </w:tcPr>
          <w:p>
            <w:pPr>
              <w:spacing w:after="0"/>
              <w:rPr>
                <w:sz w:val="5"/>
                <w:szCs w:val="5"/>
                <w:color w:val="auto"/>
              </w:rPr>
            </w:pPr>
          </w:p>
        </w:tc>
        <w:tc>
          <w:tcPr>
            <w:tcW w:w="2880" w:type="dxa"/>
            <w:vAlign w:val="bottom"/>
            <w:tcBorders>
              <w:right w:val="single" w:sz="8" w:color="A6A6A6"/>
            </w:tcBorders>
            <w:gridSpan w:val="7"/>
            <w:vMerge w:val="continue"/>
          </w:tcPr>
          <w:p>
            <w:pPr>
              <w:spacing w:after="0"/>
              <w:rPr>
                <w:sz w:val="5"/>
                <w:szCs w:val="5"/>
                <w:color w:val="auto"/>
              </w:rPr>
            </w:pPr>
          </w:p>
        </w:tc>
        <w:tc>
          <w:tcPr>
            <w:tcW w:w="640" w:type="dxa"/>
            <w:vAlign w:val="bottom"/>
            <w:tcBorders>
              <w:right w:val="single" w:sz="8" w:color="A6A6A6"/>
            </w:tcBorders>
          </w:tcPr>
          <w:p>
            <w:pPr>
              <w:spacing w:after="0"/>
              <w:rPr>
                <w:sz w:val="5"/>
                <w:szCs w:val="5"/>
                <w:color w:val="auto"/>
              </w:rPr>
            </w:pPr>
          </w:p>
        </w:tc>
        <w:tc>
          <w:tcPr>
            <w:tcW w:w="1780" w:type="dxa"/>
            <w:vAlign w:val="bottom"/>
            <w:tcBorders>
              <w:right w:val="single" w:sz="8" w:color="A6A6A6"/>
            </w:tcBorders>
          </w:tcPr>
          <w:p>
            <w:pPr>
              <w:spacing w:after="0"/>
              <w:rPr>
                <w:sz w:val="5"/>
                <w:szCs w:val="5"/>
                <w:color w:val="auto"/>
              </w:rPr>
            </w:pPr>
          </w:p>
        </w:tc>
        <w:tc>
          <w:tcPr>
            <w:tcW w:w="3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400" w:type="dxa"/>
            <w:vAlign w:val="bottom"/>
            <w:tcBorders>
              <w:right w:val="single" w:sz="8" w:color="A6A6A6"/>
            </w:tcBorders>
          </w:tcPr>
          <w:p>
            <w:pPr>
              <w:spacing w:after="0"/>
              <w:rPr>
                <w:sz w:val="24"/>
                <w:szCs w:val="24"/>
                <w:color w:val="auto"/>
              </w:rPr>
            </w:pPr>
          </w:p>
        </w:tc>
        <w:tc>
          <w:tcPr>
            <w:tcW w:w="280" w:type="dxa"/>
            <w:vAlign w:val="bottom"/>
            <w:tcBorders>
              <w:bottom w:val="single" w:sz="8" w:color="A6A6A6"/>
            </w:tcBorders>
          </w:tcPr>
          <w:p>
            <w:pPr>
              <w:spacing w:after="0"/>
              <w:rPr>
                <w:sz w:val="24"/>
                <w:szCs w:val="24"/>
                <w:color w:val="auto"/>
              </w:rPr>
            </w:pPr>
          </w:p>
        </w:tc>
        <w:tc>
          <w:tcPr>
            <w:tcW w:w="660" w:type="dxa"/>
            <w:vAlign w:val="bottom"/>
            <w:tcBorders>
              <w:bottom w:val="single" w:sz="8" w:color="A6A6A6"/>
            </w:tcBorders>
          </w:tcPr>
          <w:p>
            <w:pPr>
              <w:spacing w:after="0"/>
              <w:rPr>
                <w:sz w:val="24"/>
                <w:szCs w:val="24"/>
                <w:color w:val="auto"/>
              </w:rPr>
            </w:pPr>
          </w:p>
        </w:tc>
        <w:tc>
          <w:tcPr>
            <w:tcW w:w="100" w:type="dxa"/>
            <w:vAlign w:val="bottom"/>
            <w:tcBorders>
              <w:bottom w:val="single" w:sz="8" w:color="A6A6A6"/>
            </w:tcBorders>
          </w:tcPr>
          <w:p>
            <w:pPr>
              <w:spacing w:after="0"/>
              <w:rPr>
                <w:sz w:val="24"/>
                <w:szCs w:val="24"/>
                <w:color w:val="auto"/>
              </w:rPr>
            </w:pPr>
          </w:p>
        </w:tc>
        <w:tc>
          <w:tcPr>
            <w:tcW w:w="250" w:type="dxa"/>
            <w:vAlign w:val="bottom"/>
            <w:tcBorders>
              <w:bottom w:val="single" w:sz="8" w:color="A6A6A6"/>
            </w:tcBorders>
          </w:tcPr>
          <w:p>
            <w:pPr>
              <w:spacing w:after="0"/>
              <w:rPr>
                <w:sz w:val="24"/>
                <w:szCs w:val="24"/>
                <w:color w:val="auto"/>
              </w:rPr>
            </w:pPr>
          </w:p>
        </w:tc>
        <w:tc>
          <w:tcPr>
            <w:tcW w:w="100" w:type="dxa"/>
            <w:vAlign w:val="bottom"/>
            <w:tcBorders>
              <w:bottom w:val="single" w:sz="8" w:color="A6A6A6"/>
            </w:tcBorders>
          </w:tcPr>
          <w:p>
            <w:pPr>
              <w:spacing w:after="0"/>
              <w:rPr>
                <w:sz w:val="24"/>
                <w:szCs w:val="24"/>
                <w:color w:val="auto"/>
              </w:rPr>
            </w:pPr>
          </w:p>
        </w:tc>
        <w:tc>
          <w:tcPr>
            <w:tcW w:w="670" w:type="dxa"/>
            <w:vAlign w:val="bottom"/>
            <w:tcBorders>
              <w:bottom w:val="single" w:sz="8" w:color="A6A6A6"/>
            </w:tcBorders>
          </w:tcPr>
          <w:p>
            <w:pPr>
              <w:spacing w:after="0"/>
              <w:rPr>
                <w:sz w:val="24"/>
                <w:szCs w:val="24"/>
                <w:color w:val="auto"/>
              </w:rPr>
            </w:pPr>
          </w:p>
        </w:tc>
        <w:tc>
          <w:tcPr>
            <w:tcW w:w="820" w:type="dxa"/>
            <w:vAlign w:val="bottom"/>
            <w:tcBorders>
              <w:bottom w:val="single" w:sz="8" w:color="A6A6A6"/>
              <w:right w:val="single" w:sz="8" w:color="A6A6A6"/>
            </w:tcBorders>
          </w:tcPr>
          <w:p>
            <w:pPr>
              <w:spacing w:after="0"/>
              <w:rPr>
                <w:sz w:val="24"/>
                <w:szCs w:val="24"/>
                <w:color w:val="auto"/>
              </w:rPr>
            </w:pPr>
          </w:p>
        </w:tc>
        <w:tc>
          <w:tcPr>
            <w:tcW w:w="640" w:type="dxa"/>
            <w:vAlign w:val="bottom"/>
            <w:tcBorders>
              <w:bottom w:val="single" w:sz="8" w:color="A6A6A6"/>
              <w:right w:val="single" w:sz="8" w:color="A6A6A6"/>
            </w:tcBorders>
          </w:tcPr>
          <w:p>
            <w:pPr>
              <w:spacing w:after="0"/>
              <w:rPr>
                <w:sz w:val="24"/>
                <w:szCs w:val="24"/>
                <w:color w:val="auto"/>
              </w:rPr>
            </w:pPr>
          </w:p>
        </w:tc>
        <w:tc>
          <w:tcPr>
            <w:tcW w:w="1780" w:type="dxa"/>
            <w:vAlign w:val="bottom"/>
            <w:tcBorders>
              <w:bottom w:val="single" w:sz="8" w:color="A6A6A6"/>
              <w:right w:val="single" w:sz="8" w:color="A6A6A6"/>
            </w:tcBorders>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Property Holdings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126 289 772</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400" w:type="dxa"/>
            <w:vAlign w:val="bottom"/>
            <w:tcBorders>
              <w:right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5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670" w:type="dxa"/>
            <w:vAlign w:val="bottom"/>
            <w:tcBorders>
              <w:bottom w:val="single" w:sz="8" w:color="A6A6A6"/>
            </w:tcBorders>
          </w:tcPr>
          <w:p>
            <w:pPr>
              <w:spacing w:after="0"/>
              <w:rPr>
                <w:sz w:val="3"/>
                <w:szCs w:val="3"/>
                <w:color w:val="auto"/>
              </w:rPr>
            </w:pPr>
          </w:p>
        </w:tc>
        <w:tc>
          <w:tcPr>
            <w:tcW w:w="820" w:type="dxa"/>
            <w:vAlign w:val="bottom"/>
            <w:tcBorders>
              <w:bottom w:val="single" w:sz="8" w:color="A6A6A6"/>
              <w:right w:val="single" w:sz="8" w:color="A6A6A6"/>
            </w:tcBorders>
          </w:tcPr>
          <w:p>
            <w:pPr>
              <w:spacing w:after="0"/>
              <w:rPr>
                <w:sz w:val="3"/>
                <w:szCs w:val="3"/>
                <w:color w:val="auto"/>
              </w:rPr>
            </w:pPr>
          </w:p>
        </w:tc>
        <w:tc>
          <w:tcPr>
            <w:tcW w:w="640" w:type="dxa"/>
            <w:vAlign w:val="bottom"/>
            <w:tcBorders>
              <w:bottom w:val="single" w:sz="8" w:color="A6A6A6"/>
              <w:right w:val="single" w:sz="8" w:color="A6A6A6"/>
            </w:tcBorders>
            <w:vMerge w:val="continue"/>
          </w:tcPr>
          <w:p>
            <w:pPr>
              <w:spacing w:after="0"/>
              <w:rPr>
                <w:sz w:val="3"/>
                <w:szCs w:val="3"/>
                <w:color w:val="auto"/>
              </w:rPr>
            </w:pPr>
          </w:p>
        </w:tc>
        <w:tc>
          <w:tcPr>
            <w:tcW w:w="1780" w:type="dxa"/>
            <w:vAlign w:val="bottom"/>
            <w:tcBorders>
              <w:bottom w:val="single" w:sz="8" w:color="A6A6A6"/>
              <w:right w:val="single" w:sz="8" w:color="A6A6A6"/>
            </w:tcBorders>
            <w:vMerge w:val="continue"/>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Rouse Hill Pty Ltd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123 245 885</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66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25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670" w:type="dxa"/>
            <w:vAlign w:val="bottom"/>
            <w:tcBorders>
              <w:bottom w:val="single" w:sz="8" w:color="A6A6A6"/>
            </w:tcBorders>
          </w:tcPr>
          <w:p>
            <w:pPr>
              <w:spacing w:after="0"/>
              <w:rPr>
                <w:sz w:val="4"/>
                <w:szCs w:val="4"/>
                <w:color w:val="auto"/>
              </w:rPr>
            </w:pPr>
          </w:p>
        </w:tc>
        <w:tc>
          <w:tcPr>
            <w:tcW w:w="82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880" w:type="dxa"/>
            <w:vAlign w:val="bottom"/>
            <w:tcBorders>
              <w:right w:val="single" w:sz="8" w:color="A6A6A6"/>
            </w:tcBorders>
            <w:gridSpan w:val="7"/>
          </w:tcPr>
          <w:p>
            <w:pPr>
              <w:spacing w:after="0"/>
              <w:rPr>
                <w:sz w:val="20"/>
                <w:szCs w:val="20"/>
                <w:color w:val="auto"/>
              </w:rPr>
            </w:pPr>
            <w:r>
              <w:rPr>
                <w:rFonts w:ascii="Arial" w:cs="Arial" w:eastAsia="Arial" w:hAnsi="Arial"/>
                <w:sz w:val="9"/>
                <w:szCs w:val="9"/>
                <w:color w:val="auto"/>
              </w:rPr>
              <w:t>Reading Sunbury Pty Limited</w:t>
            </w:r>
          </w:p>
        </w:tc>
        <w:tc>
          <w:tcPr>
            <w:tcW w:w="64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109 074 571</w:t>
            </w:r>
          </w:p>
        </w:tc>
        <w:tc>
          <w:tcPr>
            <w:tcW w:w="1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Same as for Borrower</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0" w:type="dxa"/>
            <w:vAlign w:val="bottom"/>
            <w:tcBorders>
              <w:right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5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670" w:type="dxa"/>
            <w:vAlign w:val="bottom"/>
            <w:tcBorders>
              <w:bottom w:val="single" w:sz="8" w:color="A6A6A6"/>
            </w:tcBorders>
          </w:tcPr>
          <w:p>
            <w:pPr>
              <w:spacing w:after="0"/>
              <w:rPr>
                <w:sz w:val="3"/>
                <w:szCs w:val="3"/>
                <w:color w:val="auto"/>
              </w:rPr>
            </w:pPr>
          </w:p>
        </w:tc>
        <w:tc>
          <w:tcPr>
            <w:tcW w:w="820" w:type="dxa"/>
            <w:vAlign w:val="bottom"/>
            <w:tcBorders>
              <w:bottom w:val="single" w:sz="8" w:color="A6A6A6"/>
              <w:right w:val="single" w:sz="8" w:color="A6A6A6"/>
            </w:tcBorders>
          </w:tcPr>
          <w:p>
            <w:pPr>
              <w:spacing w:after="0"/>
              <w:rPr>
                <w:sz w:val="3"/>
                <w:szCs w:val="3"/>
                <w:color w:val="auto"/>
              </w:rPr>
            </w:pPr>
          </w:p>
        </w:tc>
        <w:tc>
          <w:tcPr>
            <w:tcW w:w="640" w:type="dxa"/>
            <w:vAlign w:val="bottom"/>
            <w:tcBorders>
              <w:bottom w:val="single" w:sz="8" w:color="A6A6A6"/>
              <w:right w:val="single" w:sz="8" w:color="A6A6A6"/>
            </w:tcBorders>
            <w:vMerge w:val="continue"/>
          </w:tcPr>
          <w:p>
            <w:pPr>
              <w:spacing w:after="0"/>
              <w:rPr>
                <w:sz w:val="3"/>
                <w:szCs w:val="3"/>
                <w:color w:val="auto"/>
              </w:rPr>
            </w:pPr>
          </w:p>
        </w:tc>
        <w:tc>
          <w:tcPr>
            <w:tcW w:w="1780" w:type="dxa"/>
            <w:vAlign w:val="bottom"/>
            <w:tcBorders>
              <w:bottom w:val="single" w:sz="8" w:color="A6A6A6"/>
              <w:right w:val="single" w:sz="8" w:color="A6A6A6"/>
            </w:tcBorders>
            <w:vMerge w:val="continue"/>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8"/>
        </w:trPr>
        <w:tc>
          <w:tcPr>
            <w:tcW w:w="680" w:type="dxa"/>
            <w:vAlign w:val="bottom"/>
            <w:tcBorders>
              <w:bottom w:val="single" w:sz="8" w:color="8BD8FF"/>
            </w:tcBorders>
            <w:gridSpan w:val="2"/>
          </w:tcPr>
          <w:p>
            <w:pPr>
              <w:spacing w:after="0"/>
              <w:rPr>
                <w:sz w:val="20"/>
                <w:szCs w:val="20"/>
                <w:color w:val="auto"/>
              </w:rPr>
            </w:pPr>
            <w:r>
              <w:rPr>
                <w:rFonts w:ascii="Arial" w:cs="Arial" w:eastAsia="Arial" w:hAnsi="Arial"/>
                <w:sz w:val="8"/>
                <w:szCs w:val="8"/>
                <w:color w:val="8BD8FF"/>
                <w:w w:val="98"/>
              </w:rPr>
              <w:t>3468-7174-2245v7</w:t>
            </w:r>
          </w:p>
        </w:tc>
        <w:tc>
          <w:tcPr>
            <w:tcW w:w="760" w:type="dxa"/>
            <w:vAlign w:val="bottom"/>
            <w:gridSpan w:val="2"/>
          </w:tcPr>
          <w:p>
            <w:pPr>
              <w:spacing w:after="0"/>
              <w:rPr>
                <w:sz w:val="20"/>
                <w:szCs w:val="20"/>
                <w:color w:val="auto"/>
              </w:rPr>
            </w:pPr>
            <w:r>
              <w:rPr>
                <w:rFonts w:ascii="Arial" w:cs="Arial" w:eastAsia="Arial" w:hAnsi="Arial"/>
                <w:sz w:val="8"/>
                <w:szCs w:val="8"/>
                <w:color w:val="FF0000"/>
                <w:strike w:val="1"/>
              </w:rPr>
              <w:t>3468-7174-2245v2</w:t>
            </w:r>
          </w:p>
        </w:tc>
        <w:tc>
          <w:tcPr>
            <w:tcW w:w="184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780" w:type="dxa"/>
            <w:vAlign w:val="bottom"/>
          </w:tcPr>
          <w:p>
            <w:pPr>
              <w:ind w:left="3480"/>
              <w:spacing w:after="0"/>
              <w:rPr>
                <w:sz w:val="20"/>
                <w:szCs w:val="20"/>
                <w:color w:val="auto"/>
              </w:rPr>
            </w:pPr>
            <w:r>
              <w:rPr>
                <w:rFonts w:ascii="Arial" w:cs="Arial" w:eastAsia="Arial" w:hAnsi="Arial"/>
                <w:sz w:val="8"/>
                <w:szCs w:val="8"/>
                <w:color w:val="auto"/>
                <w:w w:val="96"/>
              </w:rPr>
              <w:t>page 79</w:t>
            </w:r>
          </w:p>
        </w:tc>
        <w:tc>
          <w:tcPr>
            <w:tcW w:w="0" w:type="dxa"/>
            <w:vAlign w:val="bottom"/>
          </w:tcPr>
          <w:p>
            <w:pPr>
              <w:spacing w:after="0"/>
              <w:rPr>
                <w:sz w:val="1"/>
                <w:szCs w:val="1"/>
                <w:color w:val="auto"/>
              </w:rPr>
            </w:pPr>
          </w:p>
        </w:tc>
      </w:tr>
      <w:tr>
        <w:trPr>
          <w:trHeight w:val="94"/>
        </w:trPr>
        <w:tc>
          <w:tcPr>
            <w:tcW w:w="3280" w:type="dxa"/>
            <w:vAlign w:val="bottom"/>
            <w:gridSpan w:val="8"/>
          </w:tcPr>
          <w:p>
            <w:pPr>
              <w:spacing w:after="0"/>
              <w:rPr>
                <w:sz w:val="20"/>
                <w:szCs w:val="20"/>
                <w:color w:val="auto"/>
              </w:rPr>
            </w:pPr>
            <w:r>
              <w:rPr>
                <w:rFonts w:ascii="Arial" w:cs="Arial" w:eastAsia="Arial" w:hAnsi="Arial"/>
                <w:sz w:val="8"/>
                <w:szCs w:val="8"/>
                <w:color w:val="auto"/>
              </w:rPr>
              <w:t>Facility Agreement</w:t>
            </w:r>
          </w:p>
        </w:tc>
        <w:tc>
          <w:tcPr>
            <w:tcW w:w="6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0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6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5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67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640" w:type="dxa"/>
            <w:vAlign w:val="bottom"/>
            <w:tcBorders>
              <w:bottom w:val="single" w:sz="8" w:color="EEEEEE"/>
            </w:tcBorders>
          </w:tcPr>
          <w:p>
            <w:pPr>
              <w:spacing w:after="0"/>
              <w:rPr>
                <w:sz w:val="18"/>
                <w:szCs w:val="18"/>
                <w:color w:val="auto"/>
              </w:rPr>
            </w:pPr>
          </w:p>
        </w:tc>
        <w:tc>
          <w:tcPr>
            <w:tcW w:w="1780" w:type="dxa"/>
            <w:vAlign w:val="bottom"/>
            <w:tcBorders>
              <w:bottom w:val="single" w:sz="8" w:color="EEEEEE"/>
            </w:tcBorders>
          </w:tcPr>
          <w:p>
            <w:pPr>
              <w:spacing w:after="0"/>
              <w:rPr>
                <w:sz w:val="18"/>
                <w:szCs w:val="18"/>
                <w:color w:val="auto"/>
              </w:rPr>
            </w:pPr>
          </w:p>
        </w:tc>
        <w:tc>
          <w:tcPr>
            <w:tcW w:w="378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47" w:name="page148"/>
    <w:bookmarkEnd w:id="147"/>
    <w:p>
      <w:pPr>
        <w:spacing w:after="0"/>
        <w:rPr>
          <w:sz w:val="20"/>
          <w:szCs w:val="20"/>
          <w:color w:val="auto"/>
        </w:rPr>
      </w:pPr>
      <w:r>
        <w:rPr>
          <w:rFonts w:ascii="Arial" w:cs="Arial" w:eastAsia="Arial" w:hAnsi="Arial"/>
          <w:sz w:val="11"/>
          <w:szCs w:val="11"/>
          <w:color w:val="auto"/>
        </w:rPr>
        <w:t>Corrs Chambers Westgarth</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0" w:type="dxa"/>
            <w:vAlign w:val="bottom"/>
            <w:tcBorders>
              <w:right w:val="single" w:sz="8" w:color="12395C"/>
            </w:tcBorders>
          </w:tcPr>
          <w:p>
            <w:pPr>
              <w:spacing w:after="0"/>
              <w:rPr>
                <w:sz w:val="21"/>
                <w:szCs w:val="21"/>
                <w:color w:val="auto"/>
              </w:rPr>
            </w:pPr>
          </w:p>
        </w:tc>
        <w:tc>
          <w:tcPr>
            <w:tcW w:w="2420" w:type="dxa"/>
            <w:vAlign w:val="bottom"/>
            <w:tcBorders>
              <w:bottom w:val="single" w:sz="8" w:color="12395C"/>
            </w:tcBorders>
            <w:gridSpan w:val="5"/>
            <w:shd w:val="clear" w:color="auto" w:fill="12395C"/>
          </w:tcPr>
          <w:p>
            <w:pPr>
              <w:spacing w:after="0"/>
              <w:rPr>
                <w:sz w:val="20"/>
                <w:szCs w:val="20"/>
                <w:color w:val="auto"/>
              </w:rPr>
            </w:pPr>
            <w:r>
              <w:rPr>
                <w:rFonts w:ascii="Arial" w:cs="Arial" w:eastAsia="Arial" w:hAnsi="Arial"/>
                <w:sz w:val="9"/>
                <w:szCs w:val="9"/>
                <w:b w:val="1"/>
                <w:bCs w:val="1"/>
                <w:color w:val="FFFFFF"/>
              </w:rPr>
              <w:t>Name</w:t>
            </w:r>
          </w:p>
        </w:tc>
        <w:tc>
          <w:tcPr>
            <w:tcW w:w="500" w:type="dxa"/>
            <w:vAlign w:val="bottom"/>
            <w:tcBorders>
              <w:bottom w:val="single" w:sz="8" w:color="12395C"/>
              <w:right w:val="single" w:sz="8" w:color="A6A6A6"/>
            </w:tcBorders>
            <w:shd w:val="clear" w:color="auto" w:fill="12395C"/>
          </w:tcPr>
          <w:p>
            <w:pPr>
              <w:spacing w:after="0"/>
              <w:rPr>
                <w:sz w:val="21"/>
                <w:szCs w:val="21"/>
                <w:color w:val="auto"/>
              </w:rPr>
            </w:pPr>
          </w:p>
        </w:tc>
        <w:tc>
          <w:tcPr>
            <w:tcW w:w="640" w:type="dxa"/>
            <w:vAlign w:val="bottom"/>
            <w:tcBorders>
              <w:bottom w:val="single" w:sz="8" w:color="12395C"/>
              <w:right w:val="single" w:sz="8" w:color="A6A6A6"/>
            </w:tcBorders>
            <w:shd w:val="clear" w:color="auto" w:fill="12395C"/>
          </w:tcPr>
          <w:p>
            <w:pPr>
              <w:ind w:left="20"/>
              <w:spacing w:after="0"/>
              <w:rPr>
                <w:sz w:val="20"/>
                <w:szCs w:val="20"/>
                <w:color w:val="auto"/>
              </w:rPr>
            </w:pPr>
            <w:r>
              <w:rPr>
                <w:rFonts w:ascii="Arial" w:cs="Arial" w:eastAsia="Arial" w:hAnsi="Arial"/>
                <w:sz w:val="9"/>
                <w:szCs w:val="9"/>
                <w:b w:val="1"/>
                <w:bCs w:val="1"/>
                <w:color w:val="FFFFFF"/>
              </w:rPr>
              <w:t>ACN</w:t>
            </w:r>
          </w:p>
        </w:tc>
        <w:tc>
          <w:tcPr>
            <w:tcW w:w="1780" w:type="dxa"/>
            <w:vAlign w:val="bottom"/>
            <w:tcBorders>
              <w:bottom w:val="single" w:sz="8" w:color="12395C"/>
              <w:right w:val="single" w:sz="8" w:color="A6A6A6"/>
            </w:tcBorders>
            <w:shd w:val="clear" w:color="auto" w:fill="12395C"/>
          </w:tcPr>
          <w:p>
            <w:pPr>
              <w:ind w:left="20"/>
              <w:spacing w:after="0"/>
              <w:rPr>
                <w:sz w:val="20"/>
                <w:szCs w:val="20"/>
                <w:color w:val="auto"/>
              </w:rPr>
            </w:pPr>
            <w:r>
              <w:rPr>
                <w:rFonts w:ascii="Arial" w:cs="Arial" w:eastAsia="Arial" w:hAnsi="Arial"/>
                <w:sz w:val="9"/>
                <w:szCs w:val="9"/>
                <w:b w:val="1"/>
                <w:bCs w:val="1"/>
                <w:color w:val="FFFFFF"/>
              </w:rPr>
              <w:t>Particulars for delivery of notices</w:t>
            </w:r>
          </w:p>
        </w:tc>
        <w:tc>
          <w:tcPr>
            <w:tcW w:w="3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0" w:type="dxa"/>
            <w:vAlign w:val="bottom"/>
            <w:tcBorders>
              <w:right w:val="single" w:sz="8" w:color="A6A6A6"/>
            </w:tcBorders>
          </w:tcPr>
          <w:p>
            <w:pPr>
              <w:spacing w:after="0"/>
              <w:rPr>
                <w:sz w:val="17"/>
                <w:szCs w:val="17"/>
                <w:color w:val="auto"/>
              </w:rPr>
            </w:pPr>
          </w:p>
        </w:tc>
        <w:tc>
          <w:tcPr>
            <w:tcW w:w="2420" w:type="dxa"/>
            <w:vAlign w:val="bottom"/>
            <w:gridSpan w:val="5"/>
          </w:tcPr>
          <w:p>
            <w:pPr>
              <w:spacing w:after="0"/>
              <w:rPr>
                <w:sz w:val="20"/>
                <w:szCs w:val="20"/>
                <w:color w:val="auto"/>
              </w:rPr>
            </w:pPr>
            <w:r>
              <w:rPr>
                <w:rFonts w:ascii="Arial" w:cs="Arial" w:eastAsia="Arial" w:hAnsi="Arial"/>
                <w:sz w:val="9"/>
                <w:szCs w:val="9"/>
                <w:color w:val="auto"/>
              </w:rPr>
              <w:t>Rhodes Peninsula Cinema Pty Ltd</w:t>
            </w:r>
          </w:p>
        </w:tc>
        <w:tc>
          <w:tcPr>
            <w:tcW w:w="500" w:type="dxa"/>
            <w:vAlign w:val="bottom"/>
            <w:tcBorders>
              <w:right w:val="single" w:sz="8" w:color="A6A6A6"/>
            </w:tcBorders>
          </w:tcPr>
          <w:p>
            <w:pPr>
              <w:spacing w:after="0"/>
              <w:rPr>
                <w:sz w:val="17"/>
                <w:szCs w:val="17"/>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120 827 812</w:t>
            </w:r>
          </w:p>
        </w:tc>
        <w:tc>
          <w:tcPr>
            <w:tcW w:w="178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Same as for Borrower</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0" w:type="dxa"/>
            <w:vAlign w:val="bottom"/>
            <w:tcBorders>
              <w:right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500" w:type="dxa"/>
            <w:vAlign w:val="bottom"/>
            <w:tcBorders>
              <w:bottom w:val="single" w:sz="8" w:color="A6A6A6"/>
              <w:right w:val="single" w:sz="8" w:color="A6A6A6"/>
            </w:tcBorders>
          </w:tcPr>
          <w:p>
            <w:pPr>
              <w:spacing w:after="0"/>
              <w:rPr>
                <w:sz w:val="3"/>
                <w:szCs w:val="3"/>
                <w:color w:val="auto"/>
              </w:rPr>
            </w:pPr>
          </w:p>
        </w:tc>
        <w:tc>
          <w:tcPr>
            <w:tcW w:w="640" w:type="dxa"/>
            <w:vAlign w:val="bottom"/>
            <w:tcBorders>
              <w:bottom w:val="single" w:sz="8" w:color="A6A6A6"/>
              <w:right w:val="single" w:sz="8" w:color="A6A6A6"/>
            </w:tcBorders>
            <w:vMerge w:val="continue"/>
          </w:tcPr>
          <w:p>
            <w:pPr>
              <w:spacing w:after="0"/>
              <w:rPr>
                <w:sz w:val="3"/>
                <w:szCs w:val="3"/>
                <w:color w:val="auto"/>
              </w:rPr>
            </w:pPr>
          </w:p>
        </w:tc>
        <w:tc>
          <w:tcPr>
            <w:tcW w:w="1780" w:type="dxa"/>
            <w:vAlign w:val="bottom"/>
            <w:tcBorders>
              <w:bottom w:val="single" w:sz="8" w:color="A6A6A6"/>
              <w:right w:val="single" w:sz="8" w:color="A6A6A6"/>
            </w:tcBorders>
            <w:vMerge w:val="continue"/>
          </w:tcPr>
          <w:p>
            <w:pPr>
              <w:spacing w:after="0"/>
              <w:rPr>
                <w:sz w:val="3"/>
                <w:szCs w:val="3"/>
                <w:color w:val="auto"/>
              </w:rPr>
            </w:pPr>
          </w:p>
        </w:tc>
        <w:tc>
          <w:tcPr>
            <w:tcW w:w="3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420" w:type="dxa"/>
            <w:vAlign w:val="bottom"/>
            <w:gridSpan w:val="5"/>
          </w:tcPr>
          <w:p>
            <w:pPr>
              <w:spacing w:after="0"/>
              <w:rPr>
                <w:sz w:val="20"/>
                <w:szCs w:val="20"/>
                <w:color w:val="auto"/>
              </w:rPr>
            </w:pPr>
            <w:r>
              <w:rPr>
                <w:rFonts w:ascii="Arial" w:cs="Arial" w:eastAsia="Arial" w:hAnsi="Arial"/>
                <w:sz w:val="9"/>
                <w:szCs w:val="9"/>
                <w:color w:val="auto"/>
              </w:rPr>
              <w:t>Westlakes Cinema Pty Ltd</w:t>
            </w:r>
          </w:p>
        </w:tc>
        <w:tc>
          <w:tcPr>
            <w:tcW w:w="500" w:type="dxa"/>
            <w:vAlign w:val="bottom"/>
            <w:tcBorders>
              <w:right w:val="single" w:sz="8" w:color="A6A6A6"/>
            </w:tcBorders>
          </w:tcPr>
          <w:p>
            <w:pPr>
              <w:spacing w:after="0"/>
              <w:rPr>
                <w:sz w:val="16"/>
                <w:szCs w:val="16"/>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108 531 308</w:t>
            </w:r>
          </w:p>
        </w:tc>
        <w:tc>
          <w:tcPr>
            <w:tcW w:w="178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Same as for Borrower</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26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920" w:type="dxa"/>
            <w:vAlign w:val="bottom"/>
            <w:tcBorders>
              <w:bottom w:val="single" w:sz="8" w:color="A6A6A6"/>
            </w:tcBorders>
          </w:tcPr>
          <w:p>
            <w:pPr>
              <w:spacing w:after="0"/>
              <w:rPr>
                <w:sz w:val="4"/>
                <w:szCs w:val="4"/>
                <w:color w:val="auto"/>
              </w:rPr>
            </w:pPr>
          </w:p>
        </w:tc>
        <w:tc>
          <w:tcPr>
            <w:tcW w:w="50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400" w:type="dxa"/>
            <w:vAlign w:val="bottom"/>
            <w:tcBorders>
              <w:right w:val="single" w:sz="8" w:color="A6A6A6"/>
            </w:tcBorders>
          </w:tcPr>
          <w:p>
            <w:pPr>
              <w:spacing w:after="0"/>
              <w:rPr>
                <w:sz w:val="15"/>
                <w:szCs w:val="15"/>
                <w:color w:val="auto"/>
              </w:rPr>
            </w:pPr>
          </w:p>
        </w:tc>
        <w:tc>
          <w:tcPr>
            <w:tcW w:w="1060" w:type="dxa"/>
            <w:vAlign w:val="bottom"/>
            <w:tcBorders>
              <w:bottom w:val="single" w:sz="8" w:color="2D96D2"/>
            </w:tcBorders>
            <w:gridSpan w:val="2"/>
          </w:tcPr>
          <w:p>
            <w:pPr>
              <w:spacing w:after="0"/>
              <w:rPr>
                <w:sz w:val="20"/>
                <w:szCs w:val="20"/>
                <w:color w:val="auto"/>
              </w:rPr>
            </w:pPr>
            <w:r>
              <w:rPr>
                <w:rFonts w:ascii="Arial" w:cs="Arial" w:eastAsia="Arial" w:hAnsi="Arial"/>
                <w:sz w:val="9"/>
                <w:szCs w:val="9"/>
                <w:color w:val="2D96D2"/>
                <w:w w:val="98"/>
              </w:rPr>
              <w:t>Reading Busselton Pty Ltd</w:t>
            </w:r>
          </w:p>
        </w:tc>
        <w:tc>
          <w:tcPr>
            <w:tcW w:w="440" w:type="dxa"/>
            <w:vAlign w:val="bottom"/>
            <w:gridSpan w:val="2"/>
          </w:tcPr>
          <w:p>
            <w:pPr>
              <w:spacing w:after="0"/>
              <w:rPr>
                <w:sz w:val="20"/>
                <w:szCs w:val="20"/>
                <w:color w:val="auto"/>
              </w:rPr>
            </w:pPr>
            <w:r>
              <w:rPr>
                <w:rFonts w:ascii="Arial" w:cs="Arial" w:eastAsia="Arial" w:hAnsi="Arial"/>
                <w:sz w:val="9"/>
                <w:szCs w:val="9"/>
                <w:color w:val="B5082D"/>
                <w:strike w:val="1"/>
                <w:w w:val="95"/>
              </w:rPr>
              <w:t>A.C.N. 143</w:t>
            </w:r>
          </w:p>
        </w:tc>
        <w:tc>
          <w:tcPr>
            <w:tcW w:w="920" w:type="dxa"/>
            <w:vAlign w:val="bottom"/>
          </w:tcPr>
          <w:p>
            <w:pPr>
              <w:ind w:left="20"/>
              <w:spacing w:after="0"/>
              <w:rPr>
                <w:sz w:val="20"/>
                <w:szCs w:val="20"/>
                <w:color w:val="auto"/>
              </w:rPr>
            </w:pPr>
            <w:r>
              <w:rPr>
                <w:rFonts w:ascii="Arial" w:cs="Arial" w:eastAsia="Arial" w:hAnsi="Arial"/>
                <w:sz w:val="9"/>
                <w:szCs w:val="9"/>
                <w:color w:val="B5082D"/>
                <w:strike w:val="1"/>
              </w:rPr>
              <w:t>633 096 Pty Ltd</w:t>
            </w:r>
          </w:p>
        </w:tc>
        <w:tc>
          <w:tcPr>
            <w:tcW w:w="500" w:type="dxa"/>
            <w:vAlign w:val="bottom"/>
            <w:tcBorders>
              <w:right w:val="single" w:sz="8" w:color="A6A6A6"/>
            </w:tcBorders>
          </w:tcPr>
          <w:p>
            <w:pPr>
              <w:spacing w:after="0"/>
              <w:rPr>
                <w:sz w:val="15"/>
                <w:szCs w:val="15"/>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143 633 096</w:t>
            </w:r>
          </w:p>
        </w:tc>
        <w:tc>
          <w:tcPr>
            <w:tcW w:w="178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Same as for Borrower</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400" w:type="dxa"/>
            <w:vAlign w:val="bottom"/>
            <w:tcBorders>
              <w:right w:val="single" w:sz="8" w:color="A6A6A6"/>
            </w:tcBorders>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Borders>
              <w:right w:val="single" w:sz="8" w:color="A6A6A6"/>
            </w:tcBorders>
          </w:tcPr>
          <w:p>
            <w:pPr>
              <w:spacing w:after="0"/>
              <w:rPr>
                <w:sz w:val="3"/>
                <w:szCs w:val="3"/>
                <w:color w:val="auto"/>
              </w:rPr>
            </w:pPr>
          </w:p>
        </w:tc>
        <w:tc>
          <w:tcPr>
            <w:tcW w:w="640" w:type="dxa"/>
            <w:vAlign w:val="bottom"/>
            <w:tcBorders>
              <w:right w:val="single" w:sz="8" w:color="A6A6A6"/>
            </w:tcBorders>
            <w:vMerge w:val="continue"/>
          </w:tcPr>
          <w:p>
            <w:pPr>
              <w:spacing w:after="0"/>
              <w:rPr>
                <w:sz w:val="3"/>
                <w:szCs w:val="3"/>
                <w:color w:val="auto"/>
              </w:rPr>
            </w:pPr>
          </w:p>
        </w:tc>
        <w:tc>
          <w:tcPr>
            <w:tcW w:w="1780" w:type="dxa"/>
            <w:vAlign w:val="bottom"/>
            <w:tcBorders>
              <w:right w:val="single" w:sz="8" w:color="A6A6A6"/>
            </w:tcBorders>
            <w:vMerge w:val="continue"/>
          </w:tcPr>
          <w:p>
            <w:pPr>
              <w:spacing w:after="0"/>
              <w:rPr>
                <w:sz w:val="3"/>
                <w:szCs w:val="3"/>
                <w:color w:val="auto"/>
              </w:rPr>
            </w:pPr>
          </w:p>
        </w:tc>
        <w:tc>
          <w:tcPr>
            <w:tcW w:w="3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400" w:type="dxa"/>
            <w:vAlign w:val="bottom"/>
            <w:tcBorders>
              <w:right w:val="single" w:sz="8" w:color="A6A6A6"/>
            </w:tcBorders>
          </w:tcPr>
          <w:p>
            <w:pPr>
              <w:spacing w:after="0"/>
              <w:rPr>
                <w:sz w:val="11"/>
                <w:szCs w:val="11"/>
                <w:color w:val="auto"/>
              </w:rPr>
            </w:pPr>
          </w:p>
        </w:tc>
        <w:tc>
          <w:tcPr>
            <w:tcW w:w="28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right w:val="single" w:sz="8" w:color="A6A6A6"/>
            </w:tcBorders>
          </w:tcPr>
          <w:p>
            <w:pPr>
              <w:spacing w:after="0"/>
              <w:rPr>
                <w:sz w:val="11"/>
                <w:szCs w:val="11"/>
                <w:color w:val="auto"/>
              </w:rPr>
            </w:pPr>
          </w:p>
        </w:tc>
        <w:tc>
          <w:tcPr>
            <w:tcW w:w="640" w:type="dxa"/>
            <w:vAlign w:val="bottom"/>
            <w:tcBorders>
              <w:bottom w:val="single" w:sz="8" w:color="A6A6A6"/>
              <w:right w:val="single" w:sz="8" w:color="A6A6A6"/>
            </w:tcBorders>
          </w:tcPr>
          <w:p>
            <w:pPr>
              <w:spacing w:after="0"/>
              <w:rPr>
                <w:sz w:val="11"/>
                <w:szCs w:val="11"/>
                <w:color w:val="auto"/>
              </w:rPr>
            </w:pPr>
          </w:p>
        </w:tc>
        <w:tc>
          <w:tcPr>
            <w:tcW w:w="1780" w:type="dxa"/>
            <w:vAlign w:val="bottom"/>
            <w:tcBorders>
              <w:bottom w:val="single" w:sz="8" w:color="A6A6A6"/>
              <w:right w:val="single" w:sz="8" w:color="A6A6A6"/>
            </w:tcBorders>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420" w:type="dxa"/>
            <w:vAlign w:val="bottom"/>
            <w:gridSpan w:val="5"/>
          </w:tcPr>
          <w:p>
            <w:pPr>
              <w:spacing w:after="0"/>
              <w:rPr>
                <w:sz w:val="20"/>
                <w:szCs w:val="20"/>
                <w:color w:val="auto"/>
              </w:rPr>
            </w:pPr>
            <w:r>
              <w:rPr>
                <w:rFonts w:ascii="Arial" w:cs="Arial" w:eastAsia="Arial" w:hAnsi="Arial"/>
                <w:sz w:val="9"/>
                <w:szCs w:val="9"/>
                <w:color w:val="auto"/>
              </w:rPr>
              <w:t>Reading Cannon Park Pty Ltd</w:t>
            </w:r>
          </w:p>
        </w:tc>
        <w:tc>
          <w:tcPr>
            <w:tcW w:w="500" w:type="dxa"/>
            <w:vAlign w:val="bottom"/>
            <w:tcBorders>
              <w:right w:val="single" w:sz="8" w:color="A6A6A6"/>
            </w:tcBorders>
          </w:tcPr>
          <w:p>
            <w:pPr>
              <w:spacing w:after="0"/>
              <w:rPr>
                <w:sz w:val="16"/>
                <w:szCs w:val="16"/>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609 837 569</w:t>
            </w:r>
          </w:p>
        </w:tc>
        <w:tc>
          <w:tcPr>
            <w:tcW w:w="178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Same as for Borrower</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26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920" w:type="dxa"/>
            <w:vAlign w:val="bottom"/>
            <w:tcBorders>
              <w:bottom w:val="single" w:sz="8" w:color="A6A6A6"/>
            </w:tcBorders>
          </w:tcPr>
          <w:p>
            <w:pPr>
              <w:spacing w:after="0"/>
              <w:rPr>
                <w:sz w:val="4"/>
                <w:szCs w:val="4"/>
                <w:color w:val="auto"/>
              </w:rPr>
            </w:pPr>
          </w:p>
        </w:tc>
        <w:tc>
          <w:tcPr>
            <w:tcW w:w="50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420" w:type="dxa"/>
            <w:vAlign w:val="bottom"/>
            <w:gridSpan w:val="5"/>
          </w:tcPr>
          <w:p>
            <w:pPr>
              <w:spacing w:after="0"/>
              <w:rPr>
                <w:sz w:val="20"/>
                <w:szCs w:val="20"/>
                <w:color w:val="auto"/>
              </w:rPr>
            </w:pPr>
            <w:r>
              <w:rPr>
                <w:rFonts w:ascii="Arial" w:cs="Arial" w:eastAsia="Arial" w:hAnsi="Arial"/>
                <w:sz w:val="9"/>
                <w:szCs w:val="9"/>
                <w:color w:val="auto"/>
              </w:rPr>
              <w:t>Angelika Anywhere Pty Ltd</w:t>
            </w:r>
          </w:p>
        </w:tc>
        <w:tc>
          <w:tcPr>
            <w:tcW w:w="500" w:type="dxa"/>
            <w:vAlign w:val="bottom"/>
            <w:tcBorders>
              <w:right w:val="single" w:sz="8" w:color="A6A6A6"/>
            </w:tcBorders>
          </w:tcPr>
          <w:p>
            <w:pPr>
              <w:spacing w:after="0"/>
              <w:rPr>
                <w:sz w:val="17"/>
                <w:szCs w:val="17"/>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642 993 593</w:t>
            </w:r>
          </w:p>
        </w:tc>
        <w:tc>
          <w:tcPr>
            <w:tcW w:w="178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Same as for Borrower</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26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920" w:type="dxa"/>
            <w:vAlign w:val="bottom"/>
            <w:tcBorders>
              <w:bottom w:val="single" w:sz="8" w:color="A6A6A6"/>
            </w:tcBorders>
          </w:tcPr>
          <w:p>
            <w:pPr>
              <w:spacing w:after="0"/>
              <w:rPr>
                <w:sz w:val="4"/>
                <w:szCs w:val="4"/>
                <w:color w:val="auto"/>
              </w:rPr>
            </w:pPr>
          </w:p>
        </w:tc>
        <w:tc>
          <w:tcPr>
            <w:tcW w:w="50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420" w:type="dxa"/>
            <w:vAlign w:val="bottom"/>
            <w:gridSpan w:val="5"/>
          </w:tcPr>
          <w:p>
            <w:pPr>
              <w:spacing w:after="0"/>
              <w:rPr>
                <w:sz w:val="20"/>
                <w:szCs w:val="20"/>
                <w:color w:val="auto"/>
              </w:rPr>
            </w:pPr>
            <w:r>
              <w:rPr>
                <w:rFonts w:ascii="Arial" w:cs="Arial" w:eastAsia="Arial" w:hAnsi="Arial"/>
                <w:sz w:val="9"/>
                <w:szCs w:val="9"/>
                <w:color w:val="auto"/>
              </w:rPr>
              <w:t>Reading Jindalee Pty Ltd</w:t>
            </w:r>
          </w:p>
        </w:tc>
        <w:tc>
          <w:tcPr>
            <w:tcW w:w="500" w:type="dxa"/>
            <w:vAlign w:val="bottom"/>
            <w:tcBorders>
              <w:right w:val="single" w:sz="8" w:color="A6A6A6"/>
            </w:tcBorders>
          </w:tcPr>
          <w:p>
            <w:pPr>
              <w:spacing w:after="0"/>
              <w:rPr>
                <w:sz w:val="17"/>
                <w:szCs w:val="17"/>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629 483 914</w:t>
            </w:r>
          </w:p>
        </w:tc>
        <w:tc>
          <w:tcPr>
            <w:tcW w:w="178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Same as for Borrower</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26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920" w:type="dxa"/>
            <w:vAlign w:val="bottom"/>
            <w:tcBorders>
              <w:bottom w:val="single" w:sz="8" w:color="A6A6A6"/>
            </w:tcBorders>
          </w:tcPr>
          <w:p>
            <w:pPr>
              <w:spacing w:after="0"/>
              <w:rPr>
                <w:sz w:val="4"/>
                <w:szCs w:val="4"/>
                <w:color w:val="auto"/>
              </w:rPr>
            </w:pPr>
          </w:p>
        </w:tc>
        <w:tc>
          <w:tcPr>
            <w:tcW w:w="50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420" w:type="dxa"/>
            <w:vAlign w:val="bottom"/>
            <w:gridSpan w:val="5"/>
          </w:tcPr>
          <w:p>
            <w:pPr>
              <w:spacing w:after="0"/>
              <w:rPr>
                <w:sz w:val="20"/>
                <w:szCs w:val="20"/>
                <w:color w:val="auto"/>
              </w:rPr>
            </w:pPr>
            <w:r>
              <w:rPr>
                <w:rFonts w:ascii="Arial" w:cs="Arial" w:eastAsia="Arial" w:hAnsi="Arial"/>
                <w:sz w:val="9"/>
                <w:szCs w:val="9"/>
                <w:color w:val="auto"/>
              </w:rPr>
              <w:t>Reading Devonport Pty Ltd</w:t>
            </w:r>
          </w:p>
        </w:tc>
        <w:tc>
          <w:tcPr>
            <w:tcW w:w="500" w:type="dxa"/>
            <w:vAlign w:val="bottom"/>
            <w:tcBorders>
              <w:right w:val="single" w:sz="8" w:color="A6A6A6"/>
            </w:tcBorders>
          </w:tcPr>
          <w:p>
            <w:pPr>
              <w:spacing w:after="0"/>
              <w:rPr>
                <w:sz w:val="17"/>
                <w:szCs w:val="17"/>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629 484 126</w:t>
            </w:r>
          </w:p>
        </w:tc>
        <w:tc>
          <w:tcPr>
            <w:tcW w:w="178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Same as for Borrower</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0" w:type="dxa"/>
            <w:vAlign w:val="bottom"/>
            <w:tcBorders>
              <w:right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500" w:type="dxa"/>
            <w:vAlign w:val="bottom"/>
            <w:tcBorders>
              <w:bottom w:val="single" w:sz="8" w:color="A6A6A6"/>
              <w:right w:val="single" w:sz="8" w:color="A6A6A6"/>
            </w:tcBorders>
          </w:tcPr>
          <w:p>
            <w:pPr>
              <w:spacing w:after="0"/>
              <w:rPr>
                <w:sz w:val="3"/>
                <w:szCs w:val="3"/>
                <w:color w:val="auto"/>
              </w:rPr>
            </w:pPr>
          </w:p>
        </w:tc>
        <w:tc>
          <w:tcPr>
            <w:tcW w:w="640" w:type="dxa"/>
            <w:vAlign w:val="bottom"/>
            <w:tcBorders>
              <w:bottom w:val="single" w:sz="8" w:color="A6A6A6"/>
              <w:right w:val="single" w:sz="8" w:color="A6A6A6"/>
            </w:tcBorders>
            <w:vMerge w:val="continue"/>
          </w:tcPr>
          <w:p>
            <w:pPr>
              <w:spacing w:after="0"/>
              <w:rPr>
                <w:sz w:val="3"/>
                <w:szCs w:val="3"/>
                <w:color w:val="auto"/>
              </w:rPr>
            </w:pPr>
          </w:p>
        </w:tc>
        <w:tc>
          <w:tcPr>
            <w:tcW w:w="1780" w:type="dxa"/>
            <w:vAlign w:val="bottom"/>
            <w:tcBorders>
              <w:bottom w:val="single" w:sz="8" w:color="A6A6A6"/>
              <w:right w:val="single" w:sz="8" w:color="A6A6A6"/>
            </w:tcBorders>
            <w:vMerge w:val="continue"/>
          </w:tcPr>
          <w:p>
            <w:pPr>
              <w:spacing w:after="0"/>
              <w:rPr>
                <w:sz w:val="3"/>
                <w:szCs w:val="3"/>
                <w:color w:val="auto"/>
              </w:rPr>
            </w:pPr>
          </w:p>
        </w:tc>
        <w:tc>
          <w:tcPr>
            <w:tcW w:w="3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420" w:type="dxa"/>
            <w:vAlign w:val="bottom"/>
            <w:gridSpan w:val="5"/>
          </w:tcPr>
          <w:p>
            <w:pPr>
              <w:spacing w:after="0"/>
              <w:rPr>
                <w:sz w:val="20"/>
                <w:szCs w:val="20"/>
                <w:color w:val="auto"/>
              </w:rPr>
            </w:pPr>
            <w:r>
              <w:rPr>
                <w:rFonts w:ascii="Arial" w:cs="Arial" w:eastAsia="Arial" w:hAnsi="Arial"/>
                <w:sz w:val="9"/>
                <w:szCs w:val="9"/>
                <w:color w:val="auto"/>
              </w:rPr>
              <w:t>Reading Altona Pty Ltd</w:t>
            </w:r>
          </w:p>
        </w:tc>
        <w:tc>
          <w:tcPr>
            <w:tcW w:w="500" w:type="dxa"/>
            <w:vAlign w:val="bottom"/>
            <w:tcBorders>
              <w:right w:val="single" w:sz="8" w:color="A6A6A6"/>
            </w:tcBorders>
          </w:tcPr>
          <w:p>
            <w:pPr>
              <w:spacing w:after="0"/>
              <w:rPr>
                <w:sz w:val="16"/>
                <w:szCs w:val="16"/>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634 384 311</w:t>
            </w:r>
          </w:p>
        </w:tc>
        <w:tc>
          <w:tcPr>
            <w:tcW w:w="178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Same as for Borrower</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26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920" w:type="dxa"/>
            <w:vAlign w:val="bottom"/>
            <w:tcBorders>
              <w:bottom w:val="single" w:sz="8" w:color="A6A6A6"/>
            </w:tcBorders>
          </w:tcPr>
          <w:p>
            <w:pPr>
              <w:spacing w:after="0"/>
              <w:rPr>
                <w:sz w:val="4"/>
                <w:szCs w:val="4"/>
                <w:color w:val="auto"/>
              </w:rPr>
            </w:pPr>
          </w:p>
        </w:tc>
        <w:tc>
          <w:tcPr>
            <w:tcW w:w="50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420" w:type="dxa"/>
            <w:vAlign w:val="bottom"/>
            <w:gridSpan w:val="5"/>
          </w:tcPr>
          <w:p>
            <w:pPr>
              <w:spacing w:after="0"/>
              <w:rPr>
                <w:sz w:val="20"/>
                <w:szCs w:val="20"/>
                <w:color w:val="auto"/>
              </w:rPr>
            </w:pPr>
            <w:r>
              <w:rPr>
                <w:rFonts w:ascii="Arial" w:cs="Arial" w:eastAsia="Arial" w:hAnsi="Arial"/>
                <w:sz w:val="9"/>
                <w:szCs w:val="9"/>
                <w:color w:val="auto"/>
              </w:rPr>
              <w:t>Reading South City Square Pty Ltd</w:t>
            </w:r>
          </w:p>
        </w:tc>
        <w:tc>
          <w:tcPr>
            <w:tcW w:w="500" w:type="dxa"/>
            <w:vAlign w:val="bottom"/>
            <w:tcBorders>
              <w:right w:val="single" w:sz="8" w:color="A6A6A6"/>
            </w:tcBorders>
          </w:tcPr>
          <w:p>
            <w:pPr>
              <w:spacing w:after="0"/>
              <w:rPr>
                <w:sz w:val="17"/>
                <w:szCs w:val="17"/>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616 892 936</w:t>
            </w:r>
          </w:p>
        </w:tc>
        <w:tc>
          <w:tcPr>
            <w:tcW w:w="178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Same as for Borrower</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26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920" w:type="dxa"/>
            <w:vAlign w:val="bottom"/>
            <w:tcBorders>
              <w:bottom w:val="single" w:sz="8" w:color="A6A6A6"/>
            </w:tcBorders>
          </w:tcPr>
          <w:p>
            <w:pPr>
              <w:spacing w:after="0"/>
              <w:rPr>
                <w:sz w:val="4"/>
                <w:szCs w:val="4"/>
                <w:color w:val="auto"/>
              </w:rPr>
            </w:pPr>
          </w:p>
        </w:tc>
        <w:tc>
          <w:tcPr>
            <w:tcW w:w="50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420" w:type="dxa"/>
            <w:vAlign w:val="bottom"/>
            <w:gridSpan w:val="5"/>
          </w:tcPr>
          <w:p>
            <w:pPr>
              <w:spacing w:after="0"/>
              <w:rPr>
                <w:sz w:val="20"/>
                <w:szCs w:val="20"/>
                <w:color w:val="auto"/>
              </w:rPr>
            </w:pPr>
            <w:r>
              <w:rPr>
                <w:rFonts w:ascii="Arial" w:cs="Arial" w:eastAsia="Arial" w:hAnsi="Arial"/>
                <w:sz w:val="9"/>
                <w:szCs w:val="9"/>
                <w:color w:val="auto"/>
              </w:rPr>
              <w:t>Reading Traralgon Pty Ltd</w:t>
            </w:r>
          </w:p>
        </w:tc>
        <w:tc>
          <w:tcPr>
            <w:tcW w:w="500" w:type="dxa"/>
            <w:vAlign w:val="bottom"/>
            <w:tcBorders>
              <w:right w:val="single" w:sz="8" w:color="A6A6A6"/>
            </w:tcBorders>
          </w:tcPr>
          <w:p>
            <w:pPr>
              <w:spacing w:after="0"/>
              <w:rPr>
                <w:sz w:val="17"/>
                <w:szCs w:val="17"/>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618 457 202</w:t>
            </w:r>
          </w:p>
        </w:tc>
        <w:tc>
          <w:tcPr>
            <w:tcW w:w="178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Same as for Borrower</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0" w:type="dxa"/>
            <w:vAlign w:val="bottom"/>
            <w:tcBorders>
              <w:right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26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920" w:type="dxa"/>
            <w:vAlign w:val="bottom"/>
            <w:tcBorders>
              <w:bottom w:val="single" w:sz="8" w:color="A6A6A6"/>
            </w:tcBorders>
          </w:tcPr>
          <w:p>
            <w:pPr>
              <w:spacing w:after="0"/>
              <w:rPr>
                <w:sz w:val="4"/>
                <w:szCs w:val="4"/>
                <w:color w:val="auto"/>
              </w:rPr>
            </w:pPr>
          </w:p>
        </w:tc>
        <w:tc>
          <w:tcPr>
            <w:tcW w:w="500" w:type="dxa"/>
            <w:vAlign w:val="bottom"/>
            <w:tcBorders>
              <w:bottom w:val="single" w:sz="8" w:color="A6A6A6"/>
              <w:right w:val="single" w:sz="8" w:color="A6A6A6"/>
            </w:tcBorders>
          </w:tcPr>
          <w:p>
            <w:pPr>
              <w:spacing w:after="0"/>
              <w:rPr>
                <w:sz w:val="4"/>
                <w:szCs w:val="4"/>
                <w:color w:val="auto"/>
              </w:rPr>
            </w:pPr>
          </w:p>
        </w:tc>
        <w:tc>
          <w:tcPr>
            <w:tcW w:w="640" w:type="dxa"/>
            <w:vAlign w:val="bottom"/>
            <w:tcBorders>
              <w:bottom w:val="single" w:sz="8" w:color="A6A6A6"/>
              <w:right w:val="single" w:sz="8" w:color="A6A6A6"/>
            </w:tcBorders>
            <w:vMerge w:val="continue"/>
          </w:tcPr>
          <w:p>
            <w:pPr>
              <w:spacing w:after="0"/>
              <w:rPr>
                <w:sz w:val="4"/>
                <w:szCs w:val="4"/>
                <w:color w:val="auto"/>
              </w:rPr>
            </w:pPr>
          </w:p>
        </w:tc>
        <w:tc>
          <w:tcPr>
            <w:tcW w:w="1780" w:type="dxa"/>
            <w:vAlign w:val="bottom"/>
            <w:tcBorders>
              <w:bottom w:val="single" w:sz="8" w:color="A6A6A6"/>
              <w:right w:val="single" w:sz="8" w:color="A6A6A6"/>
            </w:tcBorders>
            <w:vMerge w:val="continue"/>
          </w:tcPr>
          <w:p>
            <w:pPr>
              <w:spacing w:after="0"/>
              <w:rPr>
                <w:sz w:val="4"/>
                <w:szCs w:val="4"/>
                <w:color w:val="auto"/>
              </w:rPr>
            </w:pPr>
          </w:p>
        </w:tc>
        <w:tc>
          <w:tcPr>
            <w:tcW w:w="3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0" w:type="dxa"/>
            <w:vAlign w:val="bottom"/>
            <w:tcBorders>
              <w:right w:val="single" w:sz="8" w:color="A6A6A6"/>
            </w:tcBorders>
          </w:tcPr>
          <w:p>
            <w:pPr>
              <w:spacing w:after="0"/>
              <w:rPr>
                <w:sz w:val="17"/>
                <w:szCs w:val="17"/>
                <w:color w:val="auto"/>
              </w:rPr>
            </w:pPr>
          </w:p>
        </w:tc>
        <w:tc>
          <w:tcPr>
            <w:tcW w:w="2420" w:type="dxa"/>
            <w:vAlign w:val="bottom"/>
            <w:gridSpan w:val="5"/>
          </w:tcPr>
          <w:p>
            <w:pPr>
              <w:spacing w:after="0"/>
              <w:rPr>
                <w:sz w:val="20"/>
                <w:szCs w:val="20"/>
                <w:color w:val="auto"/>
              </w:rPr>
            </w:pPr>
            <w:r>
              <w:rPr>
                <w:rFonts w:ascii="Arial" w:cs="Arial" w:eastAsia="Arial" w:hAnsi="Arial"/>
                <w:sz w:val="9"/>
                <w:szCs w:val="9"/>
                <w:color w:val="auto"/>
              </w:rPr>
              <w:t>Reading Burwood Pty Ltd</w:t>
            </w:r>
          </w:p>
        </w:tc>
        <w:tc>
          <w:tcPr>
            <w:tcW w:w="500" w:type="dxa"/>
            <w:vAlign w:val="bottom"/>
            <w:tcBorders>
              <w:right w:val="single" w:sz="8" w:color="A6A6A6"/>
            </w:tcBorders>
          </w:tcPr>
          <w:p>
            <w:pPr>
              <w:spacing w:after="0"/>
              <w:rPr>
                <w:sz w:val="17"/>
                <w:szCs w:val="17"/>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619 050 396</w:t>
            </w:r>
          </w:p>
        </w:tc>
        <w:tc>
          <w:tcPr>
            <w:tcW w:w="178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Same as for Borrower</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0" w:type="dxa"/>
            <w:vAlign w:val="bottom"/>
            <w:tcBorders>
              <w:right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500" w:type="dxa"/>
            <w:vAlign w:val="bottom"/>
            <w:tcBorders>
              <w:bottom w:val="single" w:sz="8" w:color="A6A6A6"/>
              <w:right w:val="single" w:sz="8" w:color="A6A6A6"/>
            </w:tcBorders>
          </w:tcPr>
          <w:p>
            <w:pPr>
              <w:spacing w:after="0"/>
              <w:rPr>
                <w:sz w:val="3"/>
                <w:szCs w:val="3"/>
                <w:color w:val="auto"/>
              </w:rPr>
            </w:pPr>
          </w:p>
        </w:tc>
        <w:tc>
          <w:tcPr>
            <w:tcW w:w="640" w:type="dxa"/>
            <w:vAlign w:val="bottom"/>
            <w:tcBorders>
              <w:bottom w:val="single" w:sz="8" w:color="A6A6A6"/>
              <w:right w:val="single" w:sz="8" w:color="A6A6A6"/>
            </w:tcBorders>
            <w:vMerge w:val="continue"/>
          </w:tcPr>
          <w:p>
            <w:pPr>
              <w:spacing w:after="0"/>
              <w:rPr>
                <w:sz w:val="3"/>
                <w:szCs w:val="3"/>
                <w:color w:val="auto"/>
              </w:rPr>
            </w:pPr>
          </w:p>
        </w:tc>
        <w:tc>
          <w:tcPr>
            <w:tcW w:w="1780" w:type="dxa"/>
            <w:vAlign w:val="bottom"/>
            <w:tcBorders>
              <w:bottom w:val="single" w:sz="8" w:color="A6A6A6"/>
              <w:right w:val="single" w:sz="8" w:color="A6A6A6"/>
            </w:tcBorders>
            <w:vMerge w:val="continue"/>
          </w:tcPr>
          <w:p>
            <w:pPr>
              <w:spacing w:after="0"/>
              <w:rPr>
                <w:sz w:val="3"/>
                <w:szCs w:val="3"/>
                <w:color w:val="auto"/>
              </w:rPr>
            </w:pPr>
          </w:p>
        </w:tc>
        <w:tc>
          <w:tcPr>
            <w:tcW w:w="3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9"/>
                <w:szCs w:val="9"/>
                <w:color w:val="2D96D2"/>
                <w:w w:val="97"/>
              </w:rPr>
              <w:t>Reading Cinemas Auburn Pty Ltd</w:t>
            </w: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B5082D"/>
                <w:strike w:val="1"/>
                <w:w w:val="98"/>
              </w:rPr>
              <w:t>Reading Alphington Pty Ltd</w:t>
            </w:r>
          </w:p>
        </w:tc>
        <w:tc>
          <w:tcPr>
            <w:tcW w:w="500" w:type="dxa"/>
            <w:vAlign w:val="bottom"/>
            <w:tcBorders>
              <w:right w:val="single" w:sz="8" w:color="A6A6A6"/>
            </w:tcBorders>
          </w:tcPr>
          <w:p>
            <w:pPr>
              <w:spacing w:after="0"/>
              <w:rPr>
                <w:sz w:val="16"/>
                <w:szCs w:val="16"/>
                <w:color w:val="auto"/>
              </w:rPr>
            </w:pPr>
          </w:p>
        </w:tc>
        <w:tc>
          <w:tcPr>
            <w:tcW w:w="64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633 008 401</w:t>
            </w:r>
          </w:p>
        </w:tc>
        <w:tc>
          <w:tcPr>
            <w:tcW w:w="178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Same as for Borrower</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0" w:type="dxa"/>
            <w:vAlign w:val="bottom"/>
            <w:tcBorders>
              <w:right w:val="single" w:sz="8" w:color="A6A6A6"/>
            </w:tcBorders>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Borders>
              <w:right w:val="single" w:sz="8" w:color="A6A6A6"/>
            </w:tcBorders>
          </w:tcPr>
          <w:p>
            <w:pPr>
              <w:spacing w:after="0"/>
              <w:rPr>
                <w:sz w:val="2"/>
                <w:szCs w:val="2"/>
                <w:color w:val="auto"/>
              </w:rPr>
            </w:pPr>
          </w:p>
        </w:tc>
        <w:tc>
          <w:tcPr>
            <w:tcW w:w="640" w:type="dxa"/>
            <w:vAlign w:val="bottom"/>
            <w:tcBorders>
              <w:right w:val="single" w:sz="8" w:color="A6A6A6"/>
            </w:tcBorders>
            <w:vMerge w:val="continue"/>
          </w:tcPr>
          <w:p>
            <w:pPr>
              <w:spacing w:after="0"/>
              <w:rPr>
                <w:sz w:val="2"/>
                <w:szCs w:val="2"/>
                <w:color w:val="auto"/>
              </w:rPr>
            </w:pPr>
          </w:p>
        </w:tc>
        <w:tc>
          <w:tcPr>
            <w:tcW w:w="1780" w:type="dxa"/>
            <w:vAlign w:val="bottom"/>
            <w:tcBorders>
              <w:right w:val="single" w:sz="8" w:color="A6A6A6"/>
            </w:tcBorders>
            <w:vMerge w:val="continue"/>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400" w:type="dxa"/>
            <w:vAlign w:val="bottom"/>
            <w:tcBorders>
              <w:right w:val="single" w:sz="8" w:color="A6A6A6"/>
            </w:tcBorders>
          </w:tcPr>
          <w:p>
            <w:pPr>
              <w:spacing w:after="0"/>
              <w:rPr>
                <w:sz w:val="11"/>
                <w:szCs w:val="11"/>
                <w:color w:val="auto"/>
              </w:rPr>
            </w:pPr>
          </w:p>
        </w:tc>
        <w:tc>
          <w:tcPr>
            <w:tcW w:w="28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right w:val="single" w:sz="8" w:color="A6A6A6"/>
            </w:tcBorders>
          </w:tcPr>
          <w:p>
            <w:pPr>
              <w:spacing w:after="0"/>
              <w:rPr>
                <w:sz w:val="11"/>
                <w:szCs w:val="11"/>
                <w:color w:val="auto"/>
              </w:rPr>
            </w:pPr>
          </w:p>
        </w:tc>
        <w:tc>
          <w:tcPr>
            <w:tcW w:w="640" w:type="dxa"/>
            <w:vAlign w:val="bottom"/>
            <w:tcBorders>
              <w:bottom w:val="single" w:sz="8" w:color="A6A6A6"/>
              <w:right w:val="single" w:sz="8" w:color="A6A6A6"/>
            </w:tcBorders>
          </w:tcPr>
          <w:p>
            <w:pPr>
              <w:spacing w:after="0"/>
              <w:rPr>
                <w:sz w:val="11"/>
                <w:szCs w:val="11"/>
                <w:color w:val="auto"/>
              </w:rPr>
            </w:pPr>
          </w:p>
        </w:tc>
        <w:tc>
          <w:tcPr>
            <w:tcW w:w="1780" w:type="dxa"/>
            <w:vAlign w:val="bottom"/>
            <w:tcBorders>
              <w:bottom w:val="single" w:sz="8" w:color="A6A6A6"/>
              <w:right w:val="single" w:sz="8" w:color="A6A6A6"/>
            </w:tcBorders>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8"/>
        </w:trPr>
        <w:tc>
          <w:tcPr>
            <w:tcW w:w="680" w:type="dxa"/>
            <w:vAlign w:val="bottom"/>
            <w:tcBorders>
              <w:bottom w:val="single" w:sz="8" w:color="8BD8FF"/>
            </w:tcBorders>
            <w:gridSpan w:val="2"/>
          </w:tcPr>
          <w:p>
            <w:pPr>
              <w:spacing w:after="0"/>
              <w:rPr>
                <w:sz w:val="20"/>
                <w:szCs w:val="20"/>
                <w:color w:val="auto"/>
              </w:rPr>
            </w:pPr>
            <w:r>
              <w:rPr>
                <w:rFonts w:ascii="Arial" w:cs="Arial" w:eastAsia="Arial" w:hAnsi="Arial"/>
                <w:sz w:val="8"/>
                <w:szCs w:val="8"/>
                <w:color w:val="8BD8FF"/>
                <w:w w:val="98"/>
              </w:rPr>
              <w:t>3468-7174-2245v7</w:t>
            </w:r>
          </w:p>
        </w:tc>
        <w:tc>
          <w:tcPr>
            <w:tcW w:w="7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136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740" w:type="dxa"/>
            <w:vAlign w:val="bottom"/>
          </w:tcPr>
          <w:p>
            <w:pPr>
              <w:ind w:left="3440"/>
              <w:spacing w:after="0"/>
              <w:rPr>
                <w:sz w:val="20"/>
                <w:szCs w:val="20"/>
                <w:color w:val="auto"/>
              </w:rPr>
            </w:pPr>
            <w:r>
              <w:rPr>
                <w:rFonts w:ascii="Arial" w:cs="Arial" w:eastAsia="Arial" w:hAnsi="Arial"/>
                <w:sz w:val="8"/>
                <w:szCs w:val="8"/>
                <w:color w:val="auto"/>
                <w:w w:val="96"/>
              </w:rPr>
              <w:t>page 80</w:t>
            </w:r>
          </w:p>
        </w:tc>
        <w:tc>
          <w:tcPr>
            <w:tcW w:w="0" w:type="dxa"/>
            <w:vAlign w:val="bottom"/>
          </w:tcPr>
          <w:p>
            <w:pPr>
              <w:spacing w:after="0"/>
              <w:rPr>
                <w:sz w:val="1"/>
                <w:szCs w:val="1"/>
                <w:color w:val="auto"/>
              </w:rPr>
            </w:pPr>
          </w:p>
        </w:tc>
      </w:tr>
      <w:tr>
        <w:trPr>
          <w:trHeight w:val="94"/>
        </w:trPr>
        <w:tc>
          <w:tcPr>
            <w:tcW w:w="2820" w:type="dxa"/>
            <w:vAlign w:val="bottom"/>
            <w:gridSpan w:val="6"/>
          </w:tcPr>
          <w:p>
            <w:pPr>
              <w:spacing w:after="0"/>
              <w:rPr>
                <w:sz w:val="20"/>
                <w:szCs w:val="20"/>
                <w:color w:val="auto"/>
              </w:rPr>
            </w:pPr>
            <w:r>
              <w:rPr>
                <w:rFonts w:ascii="Arial" w:cs="Arial" w:eastAsia="Arial" w:hAnsi="Arial"/>
                <w:sz w:val="8"/>
                <w:szCs w:val="8"/>
                <w:color w:val="auto"/>
              </w:rPr>
              <w:t>Facility Agreement</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0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78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920" w:type="dxa"/>
            <w:vAlign w:val="bottom"/>
            <w:tcBorders>
              <w:bottom w:val="single" w:sz="8" w:color="EEEEEE"/>
            </w:tcBorders>
          </w:tcPr>
          <w:p>
            <w:pPr>
              <w:spacing w:after="0"/>
              <w:rPr>
                <w:sz w:val="18"/>
                <w:szCs w:val="18"/>
                <w:color w:val="auto"/>
              </w:rPr>
            </w:pPr>
          </w:p>
        </w:tc>
        <w:tc>
          <w:tcPr>
            <w:tcW w:w="500" w:type="dxa"/>
            <w:vAlign w:val="bottom"/>
            <w:tcBorders>
              <w:bottom w:val="single" w:sz="8" w:color="EEEEEE"/>
            </w:tcBorders>
          </w:tcPr>
          <w:p>
            <w:pPr>
              <w:spacing w:after="0"/>
              <w:rPr>
                <w:sz w:val="18"/>
                <w:szCs w:val="18"/>
                <w:color w:val="auto"/>
              </w:rPr>
            </w:pPr>
          </w:p>
        </w:tc>
        <w:tc>
          <w:tcPr>
            <w:tcW w:w="640" w:type="dxa"/>
            <w:vAlign w:val="bottom"/>
            <w:tcBorders>
              <w:bottom w:val="single" w:sz="8" w:color="EEEEEE"/>
            </w:tcBorders>
          </w:tcPr>
          <w:p>
            <w:pPr>
              <w:spacing w:after="0"/>
              <w:rPr>
                <w:sz w:val="18"/>
                <w:szCs w:val="18"/>
                <w:color w:val="auto"/>
              </w:rPr>
            </w:pPr>
          </w:p>
        </w:tc>
        <w:tc>
          <w:tcPr>
            <w:tcW w:w="1780" w:type="dxa"/>
            <w:vAlign w:val="bottom"/>
            <w:tcBorders>
              <w:bottom w:val="single" w:sz="8" w:color="EEEEEE"/>
            </w:tcBorders>
          </w:tcPr>
          <w:p>
            <w:pPr>
              <w:spacing w:after="0"/>
              <w:rPr>
                <w:sz w:val="18"/>
                <w:szCs w:val="18"/>
                <w:color w:val="auto"/>
              </w:rPr>
            </w:pPr>
          </w:p>
        </w:tc>
        <w:tc>
          <w:tcPr>
            <w:tcW w:w="374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565" w:right="1060" w:bottom="1440" w:gutter="0" w:footer="0" w:header="0"/>
        </w:sectPr>
      </w:pPr>
    </w:p>
    <w:bookmarkStart w:id="148" w:name="page149"/>
    <w:bookmarkEnd w:id="148"/>
    <w:p>
      <w:pPr>
        <w:ind w:left="400"/>
        <w:spacing w:after="0"/>
        <w:rPr>
          <w:sz w:val="20"/>
          <w:szCs w:val="20"/>
          <w:color w:val="auto"/>
        </w:rPr>
      </w:pPr>
      <w:r>
        <w:rPr>
          <w:rFonts w:ascii="Arial" w:cs="Arial" w:eastAsia="Arial" w:hAnsi="Arial"/>
          <w:sz w:val="16"/>
          <w:szCs w:val="16"/>
          <w:color w:val="auto"/>
        </w:rPr>
        <w:t>Facilities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 w:type="dxa"/>
            <w:vAlign w:val="bottom"/>
            <w:tcBorders>
              <w:right w:val="single" w:sz="8" w:color="A6A6A6"/>
            </w:tcBorders>
          </w:tcPr>
          <w:p>
            <w:pPr>
              <w:spacing w:after="0"/>
              <w:rPr>
                <w:sz w:val="18"/>
                <w:szCs w:val="18"/>
                <w:color w:val="auto"/>
              </w:rPr>
            </w:pPr>
          </w:p>
        </w:tc>
        <w:tc>
          <w:tcPr>
            <w:tcW w:w="940" w:type="dxa"/>
            <w:vAlign w:val="bottom"/>
            <w:tcBorders>
              <w:right w:val="single" w:sz="8" w:color="A6A6A6"/>
            </w:tcBorders>
            <w:gridSpan w:val="2"/>
            <w:shd w:val="clear" w:color="auto" w:fill="12395C"/>
          </w:tcPr>
          <w:p>
            <w:pPr>
              <w:ind w:left="40"/>
              <w:spacing w:after="0"/>
              <w:rPr>
                <w:sz w:val="20"/>
                <w:szCs w:val="20"/>
                <w:color w:val="auto"/>
              </w:rPr>
            </w:pPr>
            <w:r>
              <w:rPr>
                <w:rFonts w:ascii="Arial" w:cs="Arial" w:eastAsia="Arial" w:hAnsi="Arial"/>
                <w:sz w:val="10"/>
                <w:szCs w:val="10"/>
                <w:b w:val="1"/>
                <w:bCs w:val="1"/>
                <w:color w:val="FFFFFF"/>
              </w:rPr>
              <w:t>Facility Name</w:t>
            </w:r>
          </w:p>
        </w:tc>
        <w:tc>
          <w:tcPr>
            <w:tcW w:w="1080" w:type="dxa"/>
            <w:vAlign w:val="bottom"/>
            <w:tcBorders>
              <w:right w:val="single" w:sz="8" w:color="A6A6A6"/>
            </w:tcBorders>
            <w:shd w:val="clear" w:color="auto" w:fill="12395C"/>
          </w:tcPr>
          <w:p>
            <w:pPr>
              <w:ind w:left="40"/>
              <w:spacing w:after="0"/>
              <w:rPr>
                <w:sz w:val="20"/>
                <w:szCs w:val="20"/>
                <w:color w:val="auto"/>
              </w:rPr>
            </w:pPr>
            <w:r>
              <w:rPr>
                <w:rFonts w:ascii="Arial" w:cs="Arial" w:eastAsia="Arial" w:hAnsi="Arial"/>
                <w:sz w:val="10"/>
                <w:szCs w:val="10"/>
                <w:b w:val="1"/>
                <w:bCs w:val="1"/>
                <w:color w:val="FFFFFF"/>
              </w:rPr>
              <w:t>Granted pursuant to</w:t>
            </w:r>
          </w:p>
        </w:tc>
        <w:tc>
          <w:tcPr>
            <w:tcW w:w="20" w:type="dxa"/>
            <w:vAlign w:val="bottom"/>
            <w:shd w:val="clear" w:color="auto" w:fill="12395C"/>
          </w:tcPr>
          <w:p>
            <w:pPr>
              <w:spacing w:after="0"/>
              <w:rPr>
                <w:sz w:val="18"/>
                <w:szCs w:val="18"/>
                <w:color w:val="auto"/>
              </w:rPr>
            </w:pPr>
          </w:p>
        </w:tc>
        <w:tc>
          <w:tcPr>
            <w:tcW w:w="880" w:type="dxa"/>
            <w:vAlign w:val="bottom"/>
            <w:tcBorders>
              <w:right w:val="single" w:sz="8" w:color="A6A6A6"/>
            </w:tcBorders>
            <w:gridSpan w:val="2"/>
            <w:shd w:val="clear" w:color="auto" w:fill="12395C"/>
          </w:tcPr>
          <w:p>
            <w:pPr>
              <w:spacing w:after="0"/>
              <w:rPr>
                <w:sz w:val="20"/>
                <w:szCs w:val="20"/>
                <w:color w:val="auto"/>
              </w:rPr>
            </w:pPr>
            <w:r>
              <w:rPr>
                <w:rFonts w:ascii="Arial" w:cs="Arial" w:eastAsia="Arial" w:hAnsi="Arial"/>
                <w:sz w:val="10"/>
                <w:szCs w:val="10"/>
                <w:b w:val="1"/>
                <w:bCs w:val="1"/>
                <w:color w:val="FFFFFF"/>
              </w:rPr>
              <w:t>Facility Limit</w:t>
            </w:r>
          </w:p>
        </w:tc>
        <w:tc>
          <w:tcPr>
            <w:tcW w:w="2780" w:type="dxa"/>
            <w:vAlign w:val="bottom"/>
            <w:tcBorders>
              <w:right w:val="single" w:sz="8" w:color="A6A6A6"/>
            </w:tcBorders>
            <w:shd w:val="clear" w:color="auto" w:fill="12395C"/>
          </w:tcPr>
          <w:p>
            <w:pPr>
              <w:ind w:left="40"/>
              <w:spacing w:after="0"/>
              <w:rPr>
                <w:sz w:val="20"/>
                <w:szCs w:val="20"/>
                <w:color w:val="auto"/>
              </w:rPr>
            </w:pPr>
            <w:r>
              <w:rPr>
                <w:rFonts w:ascii="Arial" w:cs="Arial" w:eastAsia="Arial" w:hAnsi="Arial"/>
                <w:sz w:val="10"/>
                <w:szCs w:val="10"/>
                <w:b w:val="1"/>
                <w:bCs w:val="1"/>
                <w:color w:val="FFFFFF"/>
              </w:rPr>
              <w:t>Purpose</w:t>
            </w:r>
          </w:p>
        </w:tc>
        <w:tc>
          <w:tcPr>
            <w:tcW w:w="40" w:type="dxa"/>
            <w:vAlign w:val="bottom"/>
            <w:shd w:val="clear" w:color="auto" w:fill="12395C"/>
          </w:tcPr>
          <w:p>
            <w:pPr>
              <w:spacing w:after="0"/>
              <w:rPr>
                <w:sz w:val="18"/>
                <w:szCs w:val="18"/>
                <w:color w:val="auto"/>
              </w:rPr>
            </w:pPr>
          </w:p>
        </w:tc>
        <w:tc>
          <w:tcPr>
            <w:tcW w:w="860" w:type="dxa"/>
            <w:vAlign w:val="bottom"/>
            <w:tcBorders>
              <w:right w:val="single" w:sz="8" w:color="A6A6A6"/>
            </w:tcBorders>
            <w:gridSpan w:val="7"/>
            <w:shd w:val="clear" w:color="auto" w:fill="12395C"/>
          </w:tcPr>
          <w:p>
            <w:pPr>
              <w:spacing w:after="0"/>
              <w:rPr>
                <w:sz w:val="20"/>
                <w:szCs w:val="20"/>
                <w:color w:val="auto"/>
              </w:rPr>
            </w:pPr>
            <w:r>
              <w:rPr>
                <w:rFonts w:ascii="Arial" w:cs="Arial" w:eastAsia="Arial" w:hAnsi="Arial"/>
                <w:sz w:val="10"/>
                <w:szCs w:val="10"/>
                <w:b w:val="1"/>
                <w:bCs w:val="1"/>
                <w:color w:val="FFFFFF"/>
              </w:rPr>
              <w:t>Termination Date</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0" w:type="dxa"/>
            <w:vAlign w:val="bottom"/>
            <w:tcBorders>
              <w:right w:val="single" w:sz="8" w:color="A6A6A6"/>
            </w:tcBorders>
          </w:tcPr>
          <w:p>
            <w:pPr>
              <w:spacing w:after="0"/>
              <w:rPr>
                <w:sz w:val="16"/>
                <w:szCs w:val="16"/>
                <w:color w:val="auto"/>
              </w:rPr>
            </w:pPr>
          </w:p>
        </w:tc>
        <w:tc>
          <w:tcPr>
            <w:tcW w:w="320" w:type="dxa"/>
            <w:vAlign w:val="bottom"/>
            <w:shd w:val="clear" w:color="auto" w:fill="12395C"/>
          </w:tcPr>
          <w:p>
            <w:pPr>
              <w:spacing w:after="0"/>
              <w:rPr>
                <w:sz w:val="16"/>
                <w:szCs w:val="16"/>
                <w:color w:val="auto"/>
              </w:rPr>
            </w:pPr>
          </w:p>
        </w:tc>
        <w:tc>
          <w:tcPr>
            <w:tcW w:w="620" w:type="dxa"/>
            <w:vAlign w:val="bottom"/>
            <w:tcBorders>
              <w:right w:val="single" w:sz="8" w:color="A6A6A6"/>
            </w:tcBorders>
            <w:shd w:val="clear" w:color="auto" w:fill="12395C"/>
          </w:tcPr>
          <w:p>
            <w:pPr>
              <w:spacing w:after="0"/>
              <w:rPr>
                <w:sz w:val="16"/>
                <w:szCs w:val="16"/>
                <w:color w:val="auto"/>
              </w:rPr>
            </w:pPr>
          </w:p>
        </w:tc>
        <w:tc>
          <w:tcPr>
            <w:tcW w:w="1080" w:type="dxa"/>
            <w:vAlign w:val="bottom"/>
            <w:tcBorders>
              <w:right w:val="single" w:sz="8" w:color="A6A6A6"/>
            </w:tcBorders>
            <w:shd w:val="clear" w:color="auto" w:fill="12395C"/>
          </w:tcPr>
          <w:p>
            <w:pPr>
              <w:spacing w:after="0"/>
              <w:rPr>
                <w:sz w:val="16"/>
                <w:szCs w:val="16"/>
                <w:color w:val="auto"/>
              </w:rPr>
            </w:pPr>
          </w:p>
        </w:tc>
        <w:tc>
          <w:tcPr>
            <w:tcW w:w="20" w:type="dxa"/>
            <w:vAlign w:val="bottom"/>
            <w:shd w:val="clear" w:color="auto" w:fill="12395C"/>
          </w:tcPr>
          <w:p>
            <w:pPr>
              <w:spacing w:after="0"/>
              <w:rPr>
                <w:sz w:val="16"/>
                <w:szCs w:val="16"/>
                <w:color w:val="auto"/>
              </w:rPr>
            </w:pPr>
          </w:p>
        </w:tc>
        <w:tc>
          <w:tcPr>
            <w:tcW w:w="560" w:type="dxa"/>
            <w:vAlign w:val="bottom"/>
            <w:shd w:val="clear" w:color="auto" w:fill="12395C"/>
          </w:tcPr>
          <w:p>
            <w:pPr>
              <w:spacing w:after="0"/>
              <w:rPr>
                <w:sz w:val="16"/>
                <w:szCs w:val="16"/>
                <w:color w:val="auto"/>
              </w:rPr>
            </w:pPr>
          </w:p>
        </w:tc>
        <w:tc>
          <w:tcPr>
            <w:tcW w:w="320" w:type="dxa"/>
            <w:vAlign w:val="bottom"/>
            <w:tcBorders>
              <w:right w:val="single" w:sz="8" w:color="A6A6A6"/>
            </w:tcBorders>
            <w:shd w:val="clear" w:color="auto" w:fill="12395C"/>
          </w:tcPr>
          <w:p>
            <w:pPr>
              <w:spacing w:after="0"/>
              <w:rPr>
                <w:sz w:val="16"/>
                <w:szCs w:val="16"/>
                <w:color w:val="auto"/>
              </w:rPr>
            </w:pPr>
          </w:p>
        </w:tc>
        <w:tc>
          <w:tcPr>
            <w:tcW w:w="2780" w:type="dxa"/>
            <w:vAlign w:val="bottom"/>
            <w:tcBorders>
              <w:right w:val="single" w:sz="8" w:color="A6A6A6"/>
            </w:tcBorders>
            <w:shd w:val="clear" w:color="auto" w:fill="12395C"/>
          </w:tcPr>
          <w:p>
            <w:pPr>
              <w:spacing w:after="0"/>
              <w:rPr>
                <w:sz w:val="16"/>
                <w:szCs w:val="16"/>
                <w:color w:val="auto"/>
              </w:rPr>
            </w:pPr>
          </w:p>
        </w:tc>
        <w:tc>
          <w:tcPr>
            <w:tcW w:w="40" w:type="dxa"/>
            <w:vAlign w:val="bottom"/>
            <w:shd w:val="clear" w:color="auto" w:fill="12395C"/>
          </w:tcPr>
          <w:p>
            <w:pPr>
              <w:spacing w:after="0"/>
              <w:rPr>
                <w:sz w:val="16"/>
                <w:szCs w:val="16"/>
                <w:color w:val="auto"/>
              </w:rPr>
            </w:pPr>
          </w:p>
        </w:tc>
        <w:tc>
          <w:tcPr>
            <w:tcW w:w="380" w:type="dxa"/>
            <w:vAlign w:val="bottom"/>
            <w:shd w:val="clear" w:color="auto" w:fill="12395C"/>
          </w:tcPr>
          <w:p>
            <w:pPr>
              <w:spacing w:after="0"/>
              <w:rPr>
                <w:sz w:val="16"/>
                <w:szCs w:val="16"/>
                <w:color w:val="auto"/>
              </w:rPr>
            </w:pPr>
          </w:p>
        </w:tc>
        <w:tc>
          <w:tcPr>
            <w:tcW w:w="20" w:type="dxa"/>
            <w:vAlign w:val="bottom"/>
            <w:shd w:val="clear" w:color="auto" w:fill="12395C"/>
          </w:tcPr>
          <w:p>
            <w:pPr>
              <w:spacing w:after="0"/>
              <w:rPr>
                <w:sz w:val="16"/>
                <w:szCs w:val="16"/>
                <w:color w:val="auto"/>
              </w:rPr>
            </w:pPr>
          </w:p>
        </w:tc>
        <w:tc>
          <w:tcPr>
            <w:tcW w:w="40" w:type="dxa"/>
            <w:vAlign w:val="bottom"/>
            <w:shd w:val="clear" w:color="auto" w:fill="12395C"/>
          </w:tcPr>
          <w:p>
            <w:pPr>
              <w:spacing w:after="0"/>
              <w:rPr>
                <w:sz w:val="16"/>
                <w:szCs w:val="16"/>
                <w:color w:val="auto"/>
              </w:rPr>
            </w:pPr>
          </w:p>
        </w:tc>
        <w:tc>
          <w:tcPr>
            <w:tcW w:w="40" w:type="dxa"/>
            <w:vAlign w:val="bottom"/>
            <w:shd w:val="clear" w:color="auto" w:fill="12395C"/>
          </w:tcPr>
          <w:p>
            <w:pPr>
              <w:spacing w:after="0"/>
              <w:rPr>
                <w:sz w:val="16"/>
                <w:szCs w:val="16"/>
                <w:color w:val="auto"/>
              </w:rPr>
            </w:pPr>
          </w:p>
        </w:tc>
        <w:tc>
          <w:tcPr>
            <w:tcW w:w="40" w:type="dxa"/>
            <w:vAlign w:val="bottom"/>
            <w:shd w:val="clear" w:color="auto" w:fill="12395C"/>
          </w:tcPr>
          <w:p>
            <w:pPr>
              <w:spacing w:after="0"/>
              <w:rPr>
                <w:sz w:val="16"/>
                <w:szCs w:val="16"/>
                <w:color w:val="auto"/>
              </w:rPr>
            </w:pPr>
          </w:p>
        </w:tc>
        <w:tc>
          <w:tcPr>
            <w:tcW w:w="120" w:type="dxa"/>
            <w:vAlign w:val="bottom"/>
            <w:shd w:val="clear" w:color="auto" w:fill="12395C"/>
          </w:tcPr>
          <w:p>
            <w:pPr>
              <w:spacing w:after="0"/>
              <w:rPr>
                <w:sz w:val="16"/>
                <w:szCs w:val="16"/>
                <w:color w:val="auto"/>
              </w:rPr>
            </w:pPr>
          </w:p>
        </w:tc>
        <w:tc>
          <w:tcPr>
            <w:tcW w:w="220" w:type="dxa"/>
            <w:vAlign w:val="bottom"/>
            <w:tcBorders>
              <w:right w:val="single" w:sz="8" w:color="A6A6A6"/>
            </w:tcBorders>
            <w:shd w:val="clear" w:color="auto" w:fill="12395C"/>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0" w:type="dxa"/>
            <w:vAlign w:val="bottom"/>
            <w:tcBorders>
              <w:right w:val="single" w:sz="8" w:color="A6A6A6"/>
            </w:tcBorders>
          </w:tcPr>
          <w:p>
            <w:pPr>
              <w:spacing w:after="0"/>
              <w:rPr>
                <w:sz w:val="17"/>
                <w:szCs w:val="17"/>
                <w:color w:val="auto"/>
              </w:rPr>
            </w:pPr>
          </w:p>
        </w:tc>
        <w:tc>
          <w:tcPr>
            <w:tcW w:w="940" w:type="dxa"/>
            <w:vAlign w:val="bottom"/>
            <w:tcBorders>
              <w:right w:val="single" w:sz="8" w:color="A6A6A6"/>
            </w:tcBorders>
            <w:gridSpan w:val="2"/>
          </w:tcPr>
          <w:p>
            <w:pPr>
              <w:ind w:left="40"/>
              <w:spacing w:after="0"/>
              <w:rPr>
                <w:sz w:val="20"/>
                <w:szCs w:val="20"/>
                <w:color w:val="auto"/>
              </w:rPr>
            </w:pPr>
            <w:r>
              <w:rPr>
                <w:rFonts w:ascii="Arial" w:cs="Arial" w:eastAsia="Arial" w:hAnsi="Arial"/>
                <w:sz w:val="9"/>
                <w:szCs w:val="9"/>
                <w:color w:val="auto"/>
              </w:rPr>
              <w:t>Corporate</w:t>
            </w:r>
          </w:p>
        </w:tc>
        <w:tc>
          <w:tcPr>
            <w:tcW w:w="10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b w:val="1"/>
                <w:bCs w:val="1"/>
                <w:color w:val="auto"/>
              </w:rPr>
              <w:t>Clause 4.1(a)(i)</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Borders>
              <w:right w:val="single" w:sz="8" w:color="A6A6A6"/>
            </w:tcBorders>
          </w:tcPr>
          <w:p>
            <w:pPr>
              <w:spacing w:after="0"/>
              <w:rPr>
                <w:sz w:val="17"/>
                <w:szCs w:val="17"/>
                <w:color w:val="auto"/>
              </w:rPr>
            </w:pPr>
          </w:p>
        </w:tc>
        <w:tc>
          <w:tcPr>
            <w:tcW w:w="2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General corporate purposes and Advances not exceeding</w:t>
            </w:r>
          </w:p>
        </w:tc>
        <w:tc>
          <w:tcPr>
            <w:tcW w:w="40" w:type="dxa"/>
            <w:vAlign w:val="bottom"/>
          </w:tcPr>
          <w:p>
            <w:pPr>
              <w:spacing w:after="0"/>
              <w:rPr>
                <w:sz w:val="17"/>
                <w:szCs w:val="17"/>
                <w:color w:val="auto"/>
              </w:rPr>
            </w:pPr>
          </w:p>
        </w:tc>
        <w:tc>
          <w:tcPr>
            <w:tcW w:w="380" w:type="dxa"/>
            <w:vAlign w:val="bottom"/>
            <w:vMerge w:val="restart"/>
          </w:tcPr>
          <w:p>
            <w:pPr>
              <w:spacing w:after="0"/>
              <w:rPr>
                <w:sz w:val="20"/>
                <w:szCs w:val="20"/>
                <w:color w:val="auto"/>
              </w:rPr>
            </w:pPr>
            <w:r>
              <w:rPr>
                <w:rFonts w:ascii="Arial" w:cs="Arial" w:eastAsia="Arial" w:hAnsi="Arial"/>
                <w:sz w:val="9"/>
                <w:szCs w:val="9"/>
                <w:color w:val="2D96D2"/>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right w:val="single" w:sz="8" w:color="A6A6A6"/>
            </w:tcBorders>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6A6A6"/>
            </w:tcBorders>
          </w:tcPr>
          <w:p>
            <w:pPr>
              <w:spacing w:after="0"/>
              <w:rPr>
                <w:sz w:val="3"/>
                <w:szCs w:val="3"/>
                <w:color w:val="auto"/>
              </w:rPr>
            </w:pPr>
          </w:p>
        </w:tc>
        <w:tc>
          <w:tcPr>
            <w:tcW w:w="940" w:type="dxa"/>
            <w:vAlign w:val="bottom"/>
            <w:tcBorders>
              <w:right w:val="single" w:sz="8" w:color="A6A6A6"/>
            </w:tcBorders>
            <w:gridSpan w:val="2"/>
            <w:vMerge w:val="restart"/>
          </w:tcPr>
          <w:p>
            <w:pPr>
              <w:ind w:left="40"/>
              <w:spacing w:after="0" w:line="103" w:lineRule="exact"/>
              <w:rPr>
                <w:sz w:val="20"/>
                <w:szCs w:val="20"/>
                <w:color w:val="auto"/>
              </w:rPr>
            </w:pPr>
            <w:r>
              <w:rPr>
                <w:rFonts w:ascii="Arial" w:cs="Arial" w:eastAsia="Arial" w:hAnsi="Arial"/>
                <w:sz w:val="9"/>
                <w:szCs w:val="9"/>
                <w:color w:val="auto"/>
              </w:rPr>
              <w:t>Markets Loan</w:t>
            </w:r>
          </w:p>
        </w:tc>
        <w:tc>
          <w:tcPr>
            <w:tcW w:w="1080" w:type="dxa"/>
            <w:vAlign w:val="bottom"/>
            <w:tcBorders>
              <w:right w:val="single" w:sz="8" w:color="A6A6A6"/>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Borders>
              <w:right w:val="single" w:sz="8" w:color="A6A6A6"/>
            </w:tcBorders>
          </w:tcPr>
          <w:p>
            <w:pPr>
              <w:spacing w:after="0"/>
              <w:rPr>
                <w:sz w:val="3"/>
                <w:szCs w:val="3"/>
                <w:color w:val="auto"/>
              </w:rPr>
            </w:pPr>
          </w:p>
        </w:tc>
        <w:tc>
          <w:tcPr>
            <w:tcW w:w="2780" w:type="dxa"/>
            <w:vAlign w:val="bottom"/>
            <w:tcBorders>
              <w:right w:val="single" w:sz="8" w:color="A6A6A6"/>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right w:val="single" w:sz="8" w:color="A6A6A6"/>
            </w:tcBorders>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7"/>
        </w:trPr>
        <w:tc>
          <w:tcPr>
            <w:tcW w:w="360" w:type="dxa"/>
            <w:vAlign w:val="bottom"/>
            <w:tcBorders>
              <w:right w:val="single" w:sz="8" w:color="A6A6A6"/>
            </w:tcBorders>
          </w:tcPr>
          <w:p>
            <w:pPr>
              <w:spacing w:after="0"/>
              <w:rPr>
                <w:sz w:val="4"/>
                <w:szCs w:val="4"/>
                <w:color w:val="auto"/>
              </w:rPr>
            </w:pPr>
          </w:p>
        </w:tc>
        <w:tc>
          <w:tcPr>
            <w:tcW w:w="940" w:type="dxa"/>
            <w:vAlign w:val="bottom"/>
            <w:tcBorders>
              <w:right w:val="single" w:sz="8" w:color="A6A6A6"/>
            </w:tcBorders>
            <w:gridSpan w:val="2"/>
            <w:vMerge w:val="continue"/>
          </w:tcPr>
          <w:p>
            <w:pPr>
              <w:spacing w:after="0"/>
              <w:rPr>
                <w:sz w:val="4"/>
                <w:szCs w:val="4"/>
                <w:color w:val="auto"/>
              </w:rPr>
            </w:pPr>
          </w:p>
        </w:tc>
        <w:tc>
          <w:tcPr>
            <w:tcW w:w="1080" w:type="dxa"/>
            <w:vAlign w:val="bottom"/>
            <w:tcBorders>
              <w:right w:val="single" w:sz="8" w:color="A6A6A6"/>
            </w:tcBorders>
          </w:tcPr>
          <w:p>
            <w:pPr>
              <w:spacing w:after="0"/>
              <w:rPr>
                <w:sz w:val="4"/>
                <w:szCs w:val="4"/>
                <w:color w:val="auto"/>
              </w:rPr>
            </w:pPr>
          </w:p>
        </w:tc>
        <w:tc>
          <w:tcPr>
            <w:tcW w:w="900" w:type="dxa"/>
            <w:vAlign w:val="bottom"/>
            <w:tcBorders>
              <w:right w:val="single" w:sz="8" w:color="A6A6A6"/>
            </w:tcBorders>
            <w:gridSpan w:val="3"/>
            <w:vMerge w:val="restart"/>
          </w:tcPr>
          <w:p>
            <w:pPr>
              <w:ind w:left="20"/>
              <w:spacing w:after="0" w:line="98" w:lineRule="exact"/>
              <w:rPr>
                <w:sz w:val="20"/>
                <w:szCs w:val="20"/>
                <w:color w:val="auto"/>
              </w:rPr>
            </w:pPr>
            <w:r>
              <w:rPr>
                <w:rFonts w:ascii="Arial" w:cs="Arial" w:eastAsia="Arial" w:hAnsi="Arial"/>
                <w:sz w:val="9"/>
                <w:szCs w:val="9"/>
                <w:u w:val="single" w:color="auto"/>
                <w:color w:val="2D96D2"/>
              </w:rPr>
              <w:t>$</w:t>
            </w:r>
            <w:r>
              <w:rPr>
                <w:rFonts w:ascii="Arial" w:cs="Arial" w:eastAsia="Arial" w:hAnsi="Arial"/>
                <w:sz w:val="9"/>
                <w:szCs w:val="9"/>
                <w:color w:val="2D96D2"/>
              </w:rPr>
              <w:t>100,500,000</w:t>
            </w:r>
          </w:p>
        </w:tc>
        <w:tc>
          <w:tcPr>
            <w:tcW w:w="2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$3,000,000 to</w:t>
            </w:r>
          </w:p>
        </w:tc>
        <w:tc>
          <w:tcPr>
            <w:tcW w:w="40" w:type="dxa"/>
            <w:vAlign w:val="bottom"/>
          </w:tcPr>
          <w:p>
            <w:pPr>
              <w:spacing w:after="0"/>
              <w:rPr>
                <w:sz w:val="4"/>
                <w:szCs w:val="4"/>
                <w:color w:val="auto"/>
              </w:rPr>
            </w:pPr>
          </w:p>
        </w:tc>
        <w:tc>
          <w:tcPr>
            <w:tcW w:w="380" w:type="dxa"/>
            <w:vAlign w:val="bottom"/>
            <w:vMerge w:val="restart"/>
          </w:tcPr>
          <w:p>
            <w:pPr>
              <w:spacing w:after="0"/>
              <w:rPr>
                <w:sz w:val="20"/>
                <w:szCs w:val="20"/>
                <w:color w:val="auto"/>
              </w:rPr>
            </w:pPr>
            <w:r>
              <w:rPr>
                <w:rFonts w:ascii="Arial" w:cs="Arial" w:eastAsia="Arial" w:hAnsi="Arial"/>
                <w:sz w:val="9"/>
                <w:szCs w:val="9"/>
                <w:color w:val="2D96D2"/>
                <w:w w:val="93"/>
              </w:rPr>
              <w:t>July 2025</w:t>
            </w:r>
          </w:p>
        </w:tc>
        <w:tc>
          <w:tcPr>
            <w:tcW w:w="100" w:type="dxa"/>
            <w:vAlign w:val="bottom"/>
            <w:gridSpan w:val="3"/>
            <w:vMerge w:val="restart"/>
          </w:tcPr>
          <w:p>
            <w:pPr>
              <w:jc w:val="right"/>
              <w:spacing w:after="0"/>
              <w:rPr>
                <w:sz w:val="20"/>
                <w:szCs w:val="20"/>
                <w:color w:val="auto"/>
              </w:rPr>
            </w:pPr>
            <w:r>
              <w:rPr>
                <w:rFonts w:ascii="Arial" w:cs="Arial" w:eastAsia="Arial" w:hAnsi="Arial"/>
                <w:sz w:val="9"/>
                <w:szCs w:val="9"/>
                <w:color w:val="B5082D"/>
                <w:strike w:val="1"/>
                <w:w w:val="79"/>
              </w:rPr>
              <w:t>31</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right w:val="single" w:sz="8" w:color="A6A6A6"/>
            </w:tcBorders>
          </w:tcPr>
          <w:p>
            <w:pPr>
              <w:spacing w:after="0"/>
              <w:rPr>
                <w:sz w:val="4"/>
                <w:szCs w:val="4"/>
                <w:color w:val="auto"/>
              </w:rPr>
            </w:pPr>
          </w:p>
        </w:tc>
        <w:tc>
          <w:tcPr>
            <w:tcW w:w="2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360" w:type="dxa"/>
            <w:vAlign w:val="bottom"/>
            <w:tcBorders>
              <w:right w:val="single" w:sz="8" w:color="A6A6A6"/>
            </w:tcBorders>
          </w:tcPr>
          <w:p>
            <w:pPr>
              <w:spacing w:after="0"/>
              <w:rPr>
                <w:sz w:val="6"/>
                <w:szCs w:val="6"/>
                <w:color w:val="auto"/>
              </w:rPr>
            </w:pPr>
          </w:p>
        </w:tc>
        <w:tc>
          <w:tcPr>
            <w:tcW w:w="940" w:type="dxa"/>
            <w:vAlign w:val="bottom"/>
            <w:tcBorders>
              <w:right w:val="single" w:sz="8" w:color="A6A6A6"/>
            </w:tcBorders>
            <w:gridSpan w:val="2"/>
            <w:vMerge w:val="restart"/>
          </w:tcPr>
          <w:p>
            <w:pPr>
              <w:ind w:left="40"/>
              <w:spacing w:after="0"/>
              <w:rPr>
                <w:sz w:val="20"/>
                <w:szCs w:val="20"/>
                <w:color w:val="auto"/>
              </w:rPr>
            </w:pPr>
            <w:r>
              <w:rPr>
                <w:rFonts w:ascii="Arial" w:cs="Arial" w:eastAsia="Arial" w:hAnsi="Arial"/>
                <w:sz w:val="9"/>
                <w:szCs w:val="9"/>
                <w:color w:val="auto"/>
              </w:rPr>
              <w:t>Facility</w:t>
            </w:r>
          </w:p>
        </w:tc>
        <w:tc>
          <w:tcPr>
            <w:tcW w:w="1080" w:type="dxa"/>
            <w:vAlign w:val="bottom"/>
            <w:tcBorders>
              <w:right w:val="single" w:sz="8" w:color="A6A6A6"/>
            </w:tcBorders>
          </w:tcPr>
          <w:p>
            <w:pPr>
              <w:spacing w:after="0"/>
              <w:rPr>
                <w:sz w:val="6"/>
                <w:szCs w:val="6"/>
                <w:color w:val="auto"/>
              </w:rPr>
            </w:pPr>
          </w:p>
        </w:tc>
        <w:tc>
          <w:tcPr>
            <w:tcW w:w="900" w:type="dxa"/>
            <w:vAlign w:val="bottom"/>
            <w:tcBorders>
              <w:right w:val="single" w:sz="8" w:color="A6A6A6"/>
            </w:tcBorders>
            <w:gridSpan w:val="3"/>
            <w:vMerge w:val="continue"/>
          </w:tcPr>
          <w:p>
            <w:pPr>
              <w:spacing w:after="0"/>
              <w:rPr>
                <w:sz w:val="6"/>
                <w:szCs w:val="6"/>
                <w:color w:val="auto"/>
              </w:rPr>
            </w:pPr>
          </w:p>
        </w:tc>
        <w:tc>
          <w:tcPr>
            <w:tcW w:w="2780" w:type="dxa"/>
            <w:vAlign w:val="bottom"/>
            <w:tcBorders>
              <w:right w:val="single" w:sz="8" w:color="A6A6A6"/>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right w:val="single" w:sz="8" w:color="A6A6A6"/>
            </w:tcBorders>
          </w:tcPr>
          <w:p>
            <w:pPr>
              <w:spacing w:after="0"/>
              <w:rPr>
                <w:sz w:val="6"/>
                <w:szCs w:val="6"/>
                <w:color w:val="auto"/>
              </w:rPr>
            </w:pPr>
          </w:p>
        </w:tc>
        <w:tc>
          <w:tcPr>
            <w:tcW w:w="2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360" w:type="dxa"/>
            <w:vAlign w:val="bottom"/>
            <w:tcBorders>
              <w:right w:val="single" w:sz="8" w:color="A6A6A6"/>
            </w:tcBorders>
          </w:tcPr>
          <w:p>
            <w:pPr>
              <w:spacing w:after="0" w:line="20" w:lineRule="exact"/>
              <w:rPr>
                <w:sz w:val="1"/>
                <w:szCs w:val="1"/>
                <w:color w:val="auto"/>
              </w:rPr>
            </w:pPr>
          </w:p>
        </w:tc>
        <w:tc>
          <w:tcPr>
            <w:tcW w:w="940" w:type="dxa"/>
            <w:vAlign w:val="bottom"/>
            <w:tcBorders>
              <w:right w:val="single" w:sz="8" w:color="A6A6A6"/>
            </w:tcBorders>
            <w:gridSpan w:val="2"/>
            <w:vMerge w:val="continue"/>
          </w:tcPr>
          <w:p>
            <w:pPr>
              <w:spacing w:after="0" w:line="20" w:lineRule="exact"/>
              <w:rPr>
                <w:sz w:val="1"/>
                <w:szCs w:val="1"/>
                <w:color w:val="auto"/>
              </w:rPr>
            </w:pPr>
          </w:p>
        </w:tc>
        <w:tc>
          <w:tcPr>
            <w:tcW w:w="1080" w:type="dxa"/>
            <w:vAlign w:val="bottom"/>
            <w:tcBorders>
              <w:right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2D96D2"/>
            </w:tcBorders>
            <w:vMerge w:val="restart"/>
          </w:tcPr>
          <w:p>
            <w:pPr>
              <w:spacing w:after="0"/>
              <w:rPr>
                <w:sz w:val="20"/>
                <w:szCs w:val="20"/>
                <w:color w:val="auto"/>
              </w:rPr>
            </w:pPr>
            <w:r>
              <w:rPr>
                <w:rFonts w:ascii="Arial" w:cs="Arial" w:eastAsia="Arial" w:hAnsi="Arial"/>
                <w:sz w:val="9"/>
                <w:szCs w:val="9"/>
                <w:color w:val="B5082D"/>
                <w:strike w:val="1"/>
                <w:w w:val="98"/>
              </w:rPr>
              <w:t>$122,500,000</w:t>
            </w:r>
          </w:p>
        </w:tc>
        <w:tc>
          <w:tcPr>
            <w:tcW w:w="320" w:type="dxa"/>
            <w:vAlign w:val="bottom"/>
            <w:tcBorders>
              <w:right w:val="single" w:sz="8" w:color="A6A6A6"/>
            </w:tcBorders>
          </w:tcPr>
          <w:p>
            <w:pPr>
              <w:spacing w:after="0" w:line="20" w:lineRule="exact"/>
              <w:rPr>
                <w:sz w:val="1"/>
                <w:szCs w:val="1"/>
                <w:color w:val="auto"/>
              </w:rPr>
            </w:pPr>
          </w:p>
        </w:tc>
        <w:tc>
          <w:tcPr>
            <w:tcW w:w="2780" w:type="dxa"/>
            <w:vAlign w:val="bottom"/>
            <w:tcBorders>
              <w:right w:val="single" w:sz="8" w:color="A6A6A6"/>
            </w:tcBorders>
            <w:vMerge w:val="restart"/>
          </w:tcPr>
          <w:p>
            <w:pPr>
              <w:ind w:left="40"/>
              <w:spacing w:after="0" w:line="67" w:lineRule="exact"/>
              <w:rPr>
                <w:sz w:val="20"/>
                <w:szCs w:val="20"/>
                <w:color w:val="auto"/>
              </w:rPr>
            </w:pPr>
            <w:r>
              <w:rPr>
                <w:rFonts w:ascii="Arial" w:cs="Arial" w:eastAsia="Arial" w:hAnsi="Arial"/>
                <w:sz w:val="7"/>
                <w:szCs w:val="7"/>
                <w:color w:val="auto"/>
              </w:rPr>
              <w:t>finance costs associated with completing the fit out works related</w:t>
            </w:r>
          </w:p>
        </w:tc>
        <w:tc>
          <w:tcPr>
            <w:tcW w:w="40" w:type="dxa"/>
            <w:vAlign w:val="bottom"/>
          </w:tcPr>
          <w:p>
            <w:pPr>
              <w:spacing w:after="0" w:line="20" w:lineRule="exact"/>
              <w:rPr>
                <w:sz w:val="1"/>
                <w:szCs w:val="1"/>
                <w:color w:val="auto"/>
              </w:rPr>
            </w:pPr>
          </w:p>
        </w:tc>
        <w:tc>
          <w:tcPr>
            <w:tcW w:w="400" w:type="dxa"/>
            <w:vAlign w:val="bottom"/>
            <w:gridSpan w:val="2"/>
            <w:vMerge w:val="restart"/>
          </w:tcPr>
          <w:p>
            <w:pPr>
              <w:spacing w:after="0" w:line="67" w:lineRule="exact"/>
              <w:rPr>
                <w:sz w:val="20"/>
                <w:szCs w:val="20"/>
                <w:color w:val="auto"/>
              </w:rPr>
            </w:pPr>
            <w:r>
              <w:rPr>
                <w:rFonts w:ascii="Arial" w:cs="Arial" w:eastAsia="Arial" w:hAnsi="Arial"/>
                <w:sz w:val="7"/>
                <w:szCs w:val="7"/>
                <w:color w:val="B5082D"/>
                <w:strike w:val="1"/>
              </w:rPr>
              <w:t>December</w:t>
            </w:r>
          </w:p>
        </w:tc>
        <w:tc>
          <w:tcPr>
            <w:tcW w:w="40" w:type="dxa"/>
            <w:vAlign w:val="bottom"/>
          </w:tcPr>
          <w:p>
            <w:pPr>
              <w:spacing w:after="0" w:line="20" w:lineRule="exact"/>
              <w:rPr>
                <w:sz w:val="1"/>
                <w:szCs w:val="1"/>
                <w:color w:val="auto"/>
              </w:rPr>
            </w:pPr>
          </w:p>
        </w:tc>
        <w:tc>
          <w:tcPr>
            <w:tcW w:w="200" w:type="dxa"/>
            <w:vAlign w:val="bottom"/>
            <w:gridSpan w:val="3"/>
            <w:vMerge w:val="restart"/>
          </w:tcPr>
          <w:p>
            <w:pPr>
              <w:jc w:val="right"/>
              <w:ind w:right="20"/>
              <w:spacing w:after="0" w:line="67" w:lineRule="exact"/>
              <w:rPr>
                <w:sz w:val="20"/>
                <w:szCs w:val="20"/>
                <w:color w:val="auto"/>
              </w:rPr>
            </w:pPr>
            <w:r>
              <w:rPr>
                <w:rFonts w:ascii="Arial" w:cs="Arial" w:eastAsia="Arial" w:hAnsi="Arial"/>
                <w:sz w:val="7"/>
                <w:szCs w:val="7"/>
                <w:color w:val="B5082D"/>
                <w:strike w:val="1"/>
              </w:rPr>
              <w:t>2023</w:t>
            </w:r>
          </w:p>
        </w:tc>
        <w:tc>
          <w:tcPr>
            <w:tcW w:w="220" w:type="dxa"/>
            <w:vAlign w:val="bottom"/>
            <w:tcBorders>
              <w:right w:val="single" w:sz="8" w:color="A6A6A6"/>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360" w:type="dxa"/>
            <w:vAlign w:val="bottom"/>
            <w:tcBorders>
              <w:right w:val="single" w:sz="8" w:color="A6A6A6"/>
            </w:tcBorders>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Borders>
              <w:right w:val="single" w:sz="8" w:color="A6A6A6"/>
            </w:tcBorders>
          </w:tcPr>
          <w:p>
            <w:pPr>
              <w:spacing w:after="0"/>
              <w:rPr>
                <w:sz w:val="3"/>
                <w:szCs w:val="3"/>
                <w:color w:val="auto"/>
              </w:rPr>
            </w:pPr>
          </w:p>
        </w:tc>
        <w:tc>
          <w:tcPr>
            <w:tcW w:w="1080" w:type="dxa"/>
            <w:vAlign w:val="bottom"/>
            <w:tcBorders>
              <w:right w:val="single" w:sz="8" w:color="A6A6A6"/>
            </w:tcBorders>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Borders>
              <w:right w:val="single" w:sz="8" w:color="A6A6A6"/>
            </w:tcBorders>
          </w:tcPr>
          <w:p>
            <w:pPr>
              <w:spacing w:after="0"/>
              <w:rPr>
                <w:sz w:val="3"/>
                <w:szCs w:val="3"/>
                <w:color w:val="auto"/>
              </w:rPr>
            </w:pPr>
          </w:p>
        </w:tc>
        <w:tc>
          <w:tcPr>
            <w:tcW w:w="2780" w:type="dxa"/>
            <w:vAlign w:val="bottom"/>
            <w:tcBorders>
              <w:right w:val="single" w:sz="8" w:color="A6A6A6"/>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gridSpan w:val="3"/>
            <w:vMerge w:val="continue"/>
          </w:tcPr>
          <w:p>
            <w:pPr>
              <w:spacing w:after="0"/>
              <w:rPr>
                <w:sz w:val="3"/>
                <w:szCs w:val="3"/>
                <w:color w:val="auto"/>
              </w:rPr>
            </w:pPr>
          </w:p>
        </w:tc>
        <w:tc>
          <w:tcPr>
            <w:tcW w:w="220" w:type="dxa"/>
            <w:vAlign w:val="bottom"/>
            <w:tcBorders>
              <w:right w:val="single" w:sz="8" w:color="A6A6A6"/>
            </w:tcBorders>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6"/>
        </w:trPr>
        <w:tc>
          <w:tcPr>
            <w:tcW w:w="360" w:type="dxa"/>
            <w:vAlign w:val="bottom"/>
            <w:tcBorders>
              <w:right w:val="single" w:sz="8" w:color="A6A6A6"/>
            </w:tcBorders>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Borders>
              <w:right w:val="single" w:sz="8" w:color="A6A6A6"/>
            </w:tcBorders>
          </w:tcPr>
          <w:p>
            <w:pPr>
              <w:spacing w:after="0"/>
              <w:rPr>
                <w:sz w:val="4"/>
                <w:szCs w:val="4"/>
                <w:color w:val="auto"/>
              </w:rPr>
            </w:pPr>
          </w:p>
        </w:tc>
        <w:tc>
          <w:tcPr>
            <w:tcW w:w="1080" w:type="dxa"/>
            <w:vAlign w:val="bottom"/>
            <w:tcBorders>
              <w:right w:val="single" w:sz="8" w:color="A6A6A6"/>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320" w:type="dxa"/>
            <w:vAlign w:val="bottom"/>
            <w:tcBorders>
              <w:right w:val="single" w:sz="8" w:color="A6A6A6"/>
            </w:tcBorders>
          </w:tcPr>
          <w:p>
            <w:pPr>
              <w:spacing w:after="0"/>
              <w:rPr>
                <w:sz w:val="4"/>
                <w:szCs w:val="4"/>
                <w:color w:val="auto"/>
              </w:rPr>
            </w:pPr>
          </w:p>
        </w:tc>
        <w:tc>
          <w:tcPr>
            <w:tcW w:w="2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to the Jindalee Cinema.</w:t>
            </w: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right w:val="single" w:sz="8" w:color="A6A6A6"/>
            </w:tcBorders>
          </w:tcPr>
          <w:p>
            <w:pPr>
              <w:spacing w:after="0"/>
              <w:rPr>
                <w:sz w:val="4"/>
                <w:szCs w:val="4"/>
                <w:color w:val="auto"/>
              </w:rPr>
            </w:pPr>
          </w:p>
        </w:tc>
        <w:tc>
          <w:tcPr>
            <w:tcW w:w="2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360" w:type="dxa"/>
            <w:vAlign w:val="bottom"/>
            <w:tcBorders>
              <w:right w:val="single" w:sz="8" w:color="A6A6A6"/>
            </w:tcBorders>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right w:val="single" w:sz="8" w:color="A6A6A6"/>
            </w:tcBorders>
          </w:tcPr>
          <w:p>
            <w:pPr>
              <w:spacing w:after="0"/>
              <w:rPr>
                <w:sz w:val="5"/>
                <w:szCs w:val="5"/>
                <w:color w:val="auto"/>
              </w:rPr>
            </w:pPr>
          </w:p>
        </w:tc>
        <w:tc>
          <w:tcPr>
            <w:tcW w:w="1080" w:type="dxa"/>
            <w:vAlign w:val="bottom"/>
            <w:tcBorders>
              <w:right w:val="single" w:sz="8" w:color="A6A6A6"/>
            </w:tcBorders>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Borders>
              <w:right w:val="single" w:sz="8" w:color="A6A6A6"/>
            </w:tcBorders>
            <w:gridSpan w:val="2"/>
            <w:vMerge w:val="restart"/>
          </w:tcPr>
          <w:p>
            <w:pPr>
              <w:spacing w:after="0"/>
              <w:rPr>
                <w:sz w:val="20"/>
                <w:szCs w:val="20"/>
                <w:color w:val="auto"/>
              </w:rPr>
            </w:pPr>
            <w:r>
              <w:rPr>
                <w:rFonts w:ascii="Arial" w:cs="Arial" w:eastAsia="Arial" w:hAnsi="Arial"/>
                <w:sz w:val="9"/>
                <w:szCs w:val="9"/>
                <w:color w:val="auto"/>
              </w:rPr>
              <w:t>subject to</w:t>
            </w:r>
          </w:p>
        </w:tc>
        <w:tc>
          <w:tcPr>
            <w:tcW w:w="2780" w:type="dxa"/>
            <w:vAlign w:val="bottom"/>
            <w:tcBorders>
              <w:right w:val="single" w:sz="8" w:color="A6A6A6"/>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right w:val="single" w:sz="8" w:color="A6A6A6"/>
            </w:tcBorders>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360" w:type="dxa"/>
            <w:vAlign w:val="bottom"/>
            <w:tcBorders>
              <w:right w:val="single" w:sz="8" w:color="A6A6A6"/>
            </w:tcBorders>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Borders>
              <w:right w:val="single" w:sz="8" w:color="A6A6A6"/>
            </w:tcBorders>
          </w:tcPr>
          <w:p>
            <w:pPr>
              <w:spacing w:after="0"/>
              <w:rPr>
                <w:sz w:val="6"/>
                <w:szCs w:val="6"/>
                <w:color w:val="auto"/>
              </w:rPr>
            </w:pPr>
          </w:p>
        </w:tc>
        <w:tc>
          <w:tcPr>
            <w:tcW w:w="1080" w:type="dxa"/>
            <w:vAlign w:val="bottom"/>
            <w:tcBorders>
              <w:right w:val="single" w:sz="8" w:color="A6A6A6"/>
            </w:tcBorders>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Borders>
              <w:right w:val="single" w:sz="8" w:color="A6A6A6"/>
            </w:tcBorders>
            <w:gridSpan w:val="2"/>
            <w:vMerge w:val="continue"/>
          </w:tcPr>
          <w:p>
            <w:pPr>
              <w:spacing w:after="0"/>
              <w:rPr>
                <w:sz w:val="6"/>
                <w:szCs w:val="6"/>
                <w:color w:val="auto"/>
              </w:rPr>
            </w:pPr>
          </w:p>
        </w:tc>
        <w:tc>
          <w:tcPr>
            <w:tcW w:w="2780" w:type="dxa"/>
            <w:vAlign w:val="bottom"/>
            <w:tcBorders>
              <w:right w:val="single" w:sz="8" w:color="A6A6A6"/>
            </w:tcBorders>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right w:val="single" w:sz="8" w:color="A6A6A6"/>
            </w:tcBorders>
          </w:tcPr>
          <w:p>
            <w:pPr>
              <w:spacing w:after="0"/>
              <w:rPr>
                <w:sz w:val="6"/>
                <w:szCs w:val="6"/>
                <w:color w:val="auto"/>
              </w:rPr>
            </w:pPr>
          </w:p>
        </w:tc>
        <w:tc>
          <w:tcPr>
            <w:tcW w:w="2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360" w:type="dxa"/>
            <w:vAlign w:val="bottom"/>
            <w:tcBorders>
              <w:right w:val="single" w:sz="8" w:color="A6A6A6"/>
            </w:tcBorders>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Borders>
              <w:right w:val="single" w:sz="8" w:color="A6A6A6"/>
            </w:tcBorders>
          </w:tcPr>
          <w:p>
            <w:pPr>
              <w:spacing w:after="0"/>
              <w:rPr>
                <w:sz w:val="12"/>
                <w:szCs w:val="12"/>
                <w:color w:val="auto"/>
              </w:rPr>
            </w:pPr>
          </w:p>
        </w:tc>
        <w:tc>
          <w:tcPr>
            <w:tcW w:w="1080" w:type="dxa"/>
            <w:vAlign w:val="bottom"/>
            <w:tcBorders>
              <w:right w:val="single" w:sz="8" w:color="A6A6A6"/>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right w:val="single" w:sz="8" w:color="A6A6A6"/>
            </w:tcBorders>
            <w:gridSpan w:val="2"/>
          </w:tcPr>
          <w:p>
            <w:pPr>
              <w:spacing w:after="0"/>
              <w:rPr>
                <w:sz w:val="20"/>
                <w:szCs w:val="20"/>
                <w:color w:val="auto"/>
              </w:rPr>
            </w:pPr>
            <w:r>
              <w:rPr>
                <w:rFonts w:ascii="Arial" w:cs="Arial" w:eastAsia="Arial" w:hAnsi="Arial"/>
                <w:sz w:val="9"/>
                <w:szCs w:val="9"/>
                <w:b w:val="1"/>
                <w:bCs w:val="1"/>
                <w:color w:val="auto"/>
              </w:rPr>
              <w:t>clause 5.6</w:t>
            </w:r>
          </w:p>
        </w:tc>
        <w:tc>
          <w:tcPr>
            <w:tcW w:w="2780" w:type="dxa"/>
            <w:vAlign w:val="bottom"/>
            <w:tcBorders>
              <w:right w:val="single" w:sz="8" w:color="A6A6A6"/>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right w:val="single" w:sz="8" w:color="A6A6A6"/>
            </w:tcBorders>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60" w:type="dxa"/>
            <w:vAlign w:val="bottom"/>
            <w:tcBorders>
              <w:right w:val="single" w:sz="8" w:color="A6A6A6"/>
            </w:tcBorders>
          </w:tcPr>
          <w:p>
            <w:pPr>
              <w:spacing w:after="0"/>
              <w:rPr>
                <w:sz w:val="10"/>
                <w:szCs w:val="10"/>
                <w:color w:val="auto"/>
              </w:rPr>
            </w:pPr>
          </w:p>
        </w:tc>
        <w:tc>
          <w:tcPr>
            <w:tcW w:w="320" w:type="dxa"/>
            <w:vAlign w:val="bottom"/>
            <w:tcBorders>
              <w:bottom w:val="single" w:sz="8" w:color="A6A6A6"/>
            </w:tcBorders>
          </w:tcPr>
          <w:p>
            <w:pPr>
              <w:spacing w:after="0"/>
              <w:rPr>
                <w:sz w:val="10"/>
                <w:szCs w:val="10"/>
                <w:color w:val="auto"/>
              </w:rPr>
            </w:pPr>
          </w:p>
        </w:tc>
        <w:tc>
          <w:tcPr>
            <w:tcW w:w="620" w:type="dxa"/>
            <w:vAlign w:val="bottom"/>
            <w:tcBorders>
              <w:bottom w:val="single" w:sz="8" w:color="A6A6A6"/>
              <w:right w:val="single" w:sz="8" w:color="A6A6A6"/>
            </w:tcBorders>
          </w:tcPr>
          <w:p>
            <w:pPr>
              <w:spacing w:after="0"/>
              <w:rPr>
                <w:sz w:val="10"/>
                <w:szCs w:val="10"/>
                <w:color w:val="auto"/>
              </w:rPr>
            </w:pPr>
          </w:p>
        </w:tc>
        <w:tc>
          <w:tcPr>
            <w:tcW w:w="1080" w:type="dxa"/>
            <w:vAlign w:val="bottom"/>
            <w:tcBorders>
              <w:bottom w:val="single" w:sz="8" w:color="A6A6A6"/>
              <w:right w:val="single" w:sz="8" w:color="A6A6A6"/>
            </w:tcBorders>
          </w:tcPr>
          <w:p>
            <w:pPr>
              <w:spacing w:after="0"/>
              <w:rPr>
                <w:sz w:val="10"/>
                <w:szCs w:val="10"/>
                <w:color w:val="auto"/>
              </w:rPr>
            </w:pPr>
          </w:p>
        </w:tc>
        <w:tc>
          <w:tcPr>
            <w:tcW w:w="20" w:type="dxa"/>
            <w:vAlign w:val="bottom"/>
            <w:tcBorders>
              <w:bottom w:val="single" w:sz="8" w:color="A6A6A6"/>
            </w:tcBorders>
          </w:tcPr>
          <w:p>
            <w:pPr>
              <w:spacing w:after="0"/>
              <w:rPr>
                <w:sz w:val="10"/>
                <w:szCs w:val="10"/>
                <w:color w:val="auto"/>
              </w:rPr>
            </w:pPr>
          </w:p>
        </w:tc>
        <w:tc>
          <w:tcPr>
            <w:tcW w:w="560" w:type="dxa"/>
            <w:vAlign w:val="bottom"/>
            <w:tcBorders>
              <w:bottom w:val="single" w:sz="8" w:color="A6A6A6"/>
            </w:tcBorders>
          </w:tcPr>
          <w:p>
            <w:pPr>
              <w:spacing w:after="0"/>
              <w:rPr>
                <w:sz w:val="10"/>
                <w:szCs w:val="10"/>
                <w:color w:val="auto"/>
              </w:rPr>
            </w:pPr>
          </w:p>
        </w:tc>
        <w:tc>
          <w:tcPr>
            <w:tcW w:w="320" w:type="dxa"/>
            <w:vAlign w:val="bottom"/>
            <w:tcBorders>
              <w:bottom w:val="single" w:sz="8" w:color="A6A6A6"/>
              <w:right w:val="single" w:sz="8" w:color="A6A6A6"/>
            </w:tcBorders>
          </w:tcPr>
          <w:p>
            <w:pPr>
              <w:spacing w:after="0"/>
              <w:rPr>
                <w:sz w:val="10"/>
                <w:szCs w:val="10"/>
                <w:color w:val="auto"/>
              </w:rPr>
            </w:pPr>
          </w:p>
        </w:tc>
        <w:tc>
          <w:tcPr>
            <w:tcW w:w="2780" w:type="dxa"/>
            <w:vAlign w:val="bottom"/>
            <w:tcBorders>
              <w:bottom w:val="single" w:sz="8" w:color="A6A6A6"/>
              <w:right w:val="single" w:sz="8" w:color="A6A6A6"/>
            </w:tcBorders>
          </w:tcPr>
          <w:p>
            <w:pPr>
              <w:spacing w:after="0"/>
              <w:rPr>
                <w:sz w:val="10"/>
                <w:szCs w:val="10"/>
                <w:color w:val="auto"/>
              </w:rPr>
            </w:pPr>
          </w:p>
        </w:tc>
        <w:tc>
          <w:tcPr>
            <w:tcW w:w="40" w:type="dxa"/>
            <w:vAlign w:val="bottom"/>
            <w:tcBorders>
              <w:bottom w:val="single" w:sz="8" w:color="A6A6A6"/>
            </w:tcBorders>
          </w:tcPr>
          <w:p>
            <w:pPr>
              <w:spacing w:after="0"/>
              <w:rPr>
                <w:sz w:val="10"/>
                <w:szCs w:val="10"/>
                <w:color w:val="auto"/>
              </w:rPr>
            </w:pPr>
          </w:p>
        </w:tc>
        <w:tc>
          <w:tcPr>
            <w:tcW w:w="380" w:type="dxa"/>
            <w:vAlign w:val="bottom"/>
            <w:tcBorders>
              <w:bottom w:val="single" w:sz="8" w:color="A6A6A6"/>
            </w:tcBorders>
          </w:tcPr>
          <w:p>
            <w:pPr>
              <w:spacing w:after="0"/>
              <w:rPr>
                <w:sz w:val="10"/>
                <w:szCs w:val="10"/>
                <w:color w:val="auto"/>
              </w:rPr>
            </w:pPr>
          </w:p>
        </w:tc>
        <w:tc>
          <w:tcPr>
            <w:tcW w:w="20" w:type="dxa"/>
            <w:vAlign w:val="bottom"/>
            <w:tcBorders>
              <w:bottom w:val="single" w:sz="8" w:color="A6A6A6"/>
            </w:tcBorders>
          </w:tcPr>
          <w:p>
            <w:pPr>
              <w:spacing w:after="0"/>
              <w:rPr>
                <w:sz w:val="10"/>
                <w:szCs w:val="10"/>
                <w:color w:val="auto"/>
              </w:rPr>
            </w:pPr>
          </w:p>
        </w:tc>
        <w:tc>
          <w:tcPr>
            <w:tcW w:w="40" w:type="dxa"/>
            <w:vAlign w:val="bottom"/>
            <w:tcBorders>
              <w:bottom w:val="single" w:sz="8" w:color="A6A6A6"/>
            </w:tcBorders>
          </w:tcPr>
          <w:p>
            <w:pPr>
              <w:spacing w:after="0"/>
              <w:rPr>
                <w:sz w:val="10"/>
                <w:szCs w:val="10"/>
                <w:color w:val="auto"/>
              </w:rPr>
            </w:pPr>
          </w:p>
        </w:tc>
        <w:tc>
          <w:tcPr>
            <w:tcW w:w="40" w:type="dxa"/>
            <w:vAlign w:val="bottom"/>
            <w:tcBorders>
              <w:bottom w:val="single" w:sz="8" w:color="A6A6A6"/>
            </w:tcBorders>
          </w:tcPr>
          <w:p>
            <w:pPr>
              <w:spacing w:after="0"/>
              <w:rPr>
                <w:sz w:val="10"/>
                <w:szCs w:val="10"/>
                <w:color w:val="auto"/>
              </w:rPr>
            </w:pPr>
          </w:p>
        </w:tc>
        <w:tc>
          <w:tcPr>
            <w:tcW w:w="40" w:type="dxa"/>
            <w:vAlign w:val="bottom"/>
            <w:tcBorders>
              <w:bottom w:val="single" w:sz="8" w:color="A6A6A6"/>
            </w:tcBorders>
          </w:tcPr>
          <w:p>
            <w:pPr>
              <w:spacing w:after="0"/>
              <w:rPr>
                <w:sz w:val="10"/>
                <w:szCs w:val="10"/>
                <w:color w:val="auto"/>
              </w:rPr>
            </w:pPr>
          </w:p>
        </w:tc>
        <w:tc>
          <w:tcPr>
            <w:tcW w:w="120" w:type="dxa"/>
            <w:vAlign w:val="bottom"/>
            <w:tcBorders>
              <w:bottom w:val="single" w:sz="8" w:color="A6A6A6"/>
            </w:tcBorders>
          </w:tcPr>
          <w:p>
            <w:pPr>
              <w:spacing w:after="0"/>
              <w:rPr>
                <w:sz w:val="10"/>
                <w:szCs w:val="10"/>
                <w:color w:val="auto"/>
              </w:rPr>
            </w:pPr>
          </w:p>
        </w:tc>
        <w:tc>
          <w:tcPr>
            <w:tcW w:w="220" w:type="dxa"/>
            <w:vAlign w:val="bottom"/>
            <w:tcBorders>
              <w:bottom w:val="single" w:sz="8" w:color="A6A6A6"/>
              <w:right w:val="single" w:sz="8" w:color="A6A6A6"/>
            </w:tcBorders>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60" w:type="dxa"/>
            <w:vAlign w:val="bottom"/>
            <w:tcBorders>
              <w:right w:val="single" w:sz="8" w:color="A6A6A6"/>
            </w:tcBorders>
          </w:tcPr>
          <w:p>
            <w:pPr>
              <w:spacing w:after="0"/>
              <w:rPr>
                <w:sz w:val="16"/>
                <w:szCs w:val="16"/>
                <w:color w:val="auto"/>
              </w:rPr>
            </w:pPr>
          </w:p>
        </w:tc>
        <w:tc>
          <w:tcPr>
            <w:tcW w:w="940" w:type="dxa"/>
            <w:vAlign w:val="bottom"/>
            <w:tcBorders>
              <w:right w:val="single" w:sz="8" w:color="A6A6A6"/>
            </w:tcBorders>
            <w:gridSpan w:val="2"/>
          </w:tcPr>
          <w:p>
            <w:pPr>
              <w:ind w:left="40"/>
              <w:spacing w:after="0"/>
              <w:rPr>
                <w:sz w:val="20"/>
                <w:szCs w:val="20"/>
                <w:color w:val="auto"/>
              </w:rPr>
            </w:pPr>
            <w:r>
              <w:rPr>
                <w:rFonts w:ascii="Arial" w:cs="Arial" w:eastAsia="Arial" w:hAnsi="Arial"/>
                <w:sz w:val="9"/>
                <w:szCs w:val="9"/>
                <w:color w:val="auto"/>
              </w:rPr>
              <w:t>Bank</w:t>
            </w:r>
          </w:p>
        </w:tc>
        <w:tc>
          <w:tcPr>
            <w:tcW w:w="10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b w:val="1"/>
                <w:bCs w:val="1"/>
                <w:color w:val="auto"/>
              </w:rPr>
              <w:t>Clause 4.1(a)(ii)</w:t>
            </w:r>
          </w:p>
        </w:tc>
        <w:tc>
          <w:tcPr>
            <w:tcW w:w="580" w:type="dxa"/>
            <w:vAlign w:val="bottom"/>
            <w:gridSpan w:val="2"/>
            <w:vMerge w:val="restart"/>
          </w:tcPr>
          <w:p>
            <w:pPr>
              <w:ind w:left="20"/>
              <w:spacing w:after="0"/>
              <w:rPr>
                <w:sz w:val="20"/>
                <w:szCs w:val="20"/>
                <w:color w:val="auto"/>
              </w:rPr>
            </w:pPr>
            <w:r>
              <w:rPr>
                <w:rFonts w:ascii="Arial" w:cs="Arial" w:eastAsia="Arial" w:hAnsi="Arial"/>
                <w:sz w:val="9"/>
                <w:szCs w:val="9"/>
                <w:color w:val="auto"/>
              </w:rPr>
              <w:t>$5,000,000</w:t>
            </w:r>
          </w:p>
        </w:tc>
        <w:tc>
          <w:tcPr>
            <w:tcW w:w="320" w:type="dxa"/>
            <w:vAlign w:val="bottom"/>
            <w:tcBorders>
              <w:right w:val="single" w:sz="8" w:color="A6A6A6"/>
            </w:tcBorders>
          </w:tcPr>
          <w:p>
            <w:pPr>
              <w:spacing w:after="0"/>
              <w:rPr>
                <w:sz w:val="16"/>
                <w:szCs w:val="16"/>
                <w:color w:val="auto"/>
              </w:rPr>
            </w:pPr>
          </w:p>
        </w:tc>
        <w:tc>
          <w:tcPr>
            <w:tcW w:w="2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To support other cinema operations now or</w:t>
            </w:r>
          </w:p>
        </w:tc>
        <w:tc>
          <w:tcPr>
            <w:tcW w:w="40" w:type="dxa"/>
            <w:vAlign w:val="bottom"/>
          </w:tcPr>
          <w:p>
            <w:pPr>
              <w:spacing w:after="0"/>
              <w:rPr>
                <w:sz w:val="16"/>
                <w:szCs w:val="16"/>
                <w:color w:val="auto"/>
              </w:rPr>
            </w:pPr>
          </w:p>
        </w:tc>
        <w:tc>
          <w:tcPr>
            <w:tcW w:w="380" w:type="dxa"/>
            <w:vAlign w:val="bottom"/>
            <w:vMerge w:val="restart"/>
          </w:tcPr>
          <w:p>
            <w:pPr>
              <w:spacing w:after="0"/>
              <w:rPr>
                <w:sz w:val="20"/>
                <w:szCs w:val="20"/>
                <w:color w:val="auto"/>
              </w:rPr>
            </w:pPr>
            <w:r>
              <w:rPr>
                <w:rFonts w:ascii="Arial" w:cs="Arial" w:eastAsia="Arial" w:hAnsi="Arial"/>
                <w:sz w:val="9"/>
                <w:szCs w:val="9"/>
                <w:color w:val="2D96D2"/>
              </w:rPr>
              <w:t>31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right w:val="single" w:sz="8" w:color="A6A6A6"/>
            </w:tcBorders>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360" w:type="dxa"/>
            <w:vAlign w:val="bottom"/>
            <w:tcBorders>
              <w:right w:val="single" w:sz="8" w:color="A6A6A6"/>
            </w:tcBorders>
          </w:tcPr>
          <w:p>
            <w:pPr>
              <w:spacing w:after="0"/>
              <w:rPr>
                <w:sz w:val="3"/>
                <w:szCs w:val="3"/>
                <w:color w:val="auto"/>
              </w:rPr>
            </w:pPr>
          </w:p>
        </w:tc>
        <w:tc>
          <w:tcPr>
            <w:tcW w:w="940" w:type="dxa"/>
            <w:vAlign w:val="bottom"/>
            <w:tcBorders>
              <w:right w:val="single" w:sz="8" w:color="A6A6A6"/>
            </w:tcBorders>
            <w:gridSpan w:val="2"/>
            <w:vMerge w:val="restart"/>
          </w:tcPr>
          <w:p>
            <w:pPr>
              <w:ind w:left="40"/>
              <w:spacing w:after="0" w:line="103" w:lineRule="exact"/>
              <w:rPr>
                <w:sz w:val="20"/>
                <w:szCs w:val="20"/>
                <w:color w:val="auto"/>
              </w:rPr>
            </w:pPr>
            <w:r>
              <w:rPr>
                <w:rFonts w:ascii="Arial" w:cs="Arial" w:eastAsia="Arial" w:hAnsi="Arial"/>
                <w:sz w:val="9"/>
                <w:szCs w:val="9"/>
                <w:color w:val="auto"/>
              </w:rPr>
              <w:t>Guarantee Facility</w:t>
            </w:r>
          </w:p>
        </w:tc>
        <w:tc>
          <w:tcPr>
            <w:tcW w:w="1080" w:type="dxa"/>
            <w:vAlign w:val="bottom"/>
            <w:tcBorders>
              <w:right w:val="single" w:sz="8" w:color="A6A6A6"/>
            </w:tcBorders>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320" w:type="dxa"/>
            <w:vAlign w:val="bottom"/>
            <w:tcBorders>
              <w:right w:val="single" w:sz="8" w:color="A6A6A6"/>
            </w:tcBorders>
          </w:tcPr>
          <w:p>
            <w:pPr>
              <w:spacing w:after="0"/>
              <w:rPr>
                <w:sz w:val="3"/>
                <w:szCs w:val="3"/>
                <w:color w:val="auto"/>
              </w:rPr>
            </w:pPr>
          </w:p>
        </w:tc>
        <w:tc>
          <w:tcPr>
            <w:tcW w:w="2780" w:type="dxa"/>
            <w:vAlign w:val="bottom"/>
            <w:tcBorders>
              <w:right w:val="single" w:sz="8" w:color="A6A6A6"/>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right w:val="single" w:sz="8" w:color="A6A6A6"/>
            </w:tcBorders>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7"/>
        </w:trPr>
        <w:tc>
          <w:tcPr>
            <w:tcW w:w="360" w:type="dxa"/>
            <w:vAlign w:val="bottom"/>
            <w:tcBorders>
              <w:right w:val="single" w:sz="8" w:color="A6A6A6"/>
            </w:tcBorders>
          </w:tcPr>
          <w:p>
            <w:pPr>
              <w:spacing w:after="0"/>
              <w:rPr>
                <w:sz w:val="4"/>
                <w:szCs w:val="4"/>
                <w:color w:val="auto"/>
              </w:rPr>
            </w:pPr>
          </w:p>
        </w:tc>
        <w:tc>
          <w:tcPr>
            <w:tcW w:w="940" w:type="dxa"/>
            <w:vAlign w:val="bottom"/>
            <w:tcBorders>
              <w:right w:val="single" w:sz="8" w:color="A6A6A6"/>
            </w:tcBorders>
            <w:gridSpan w:val="2"/>
            <w:vMerge w:val="continue"/>
          </w:tcPr>
          <w:p>
            <w:pPr>
              <w:spacing w:after="0"/>
              <w:rPr>
                <w:sz w:val="4"/>
                <w:szCs w:val="4"/>
                <w:color w:val="auto"/>
              </w:rPr>
            </w:pPr>
          </w:p>
        </w:tc>
        <w:tc>
          <w:tcPr>
            <w:tcW w:w="1080" w:type="dxa"/>
            <w:vAlign w:val="bottom"/>
            <w:tcBorders>
              <w:right w:val="single" w:sz="8" w:color="A6A6A6"/>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Borders>
              <w:right w:val="single" w:sz="8" w:color="A6A6A6"/>
            </w:tcBorders>
          </w:tcPr>
          <w:p>
            <w:pPr>
              <w:spacing w:after="0"/>
              <w:rPr>
                <w:sz w:val="4"/>
                <w:szCs w:val="4"/>
                <w:color w:val="auto"/>
              </w:rPr>
            </w:pPr>
          </w:p>
        </w:tc>
        <w:tc>
          <w:tcPr>
            <w:tcW w:w="27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in the future operating from third party leased premises.</w:t>
            </w:r>
          </w:p>
        </w:tc>
        <w:tc>
          <w:tcPr>
            <w:tcW w:w="40" w:type="dxa"/>
            <w:vAlign w:val="bottom"/>
          </w:tcPr>
          <w:p>
            <w:pPr>
              <w:spacing w:after="0"/>
              <w:rPr>
                <w:sz w:val="4"/>
                <w:szCs w:val="4"/>
                <w:color w:val="auto"/>
              </w:rPr>
            </w:pPr>
          </w:p>
        </w:tc>
        <w:tc>
          <w:tcPr>
            <w:tcW w:w="380" w:type="dxa"/>
            <w:vAlign w:val="bottom"/>
            <w:vMerge w:val="restart"/>
          </w:tcPr>
          <w:p>
            <w:pPr>
              <w:spacing w:after="0"/>
              <w:rPr>
                <w:sz w:val="20"/>
                <w:szCs w:val="20"/>
                <w:color w:val="auto"/>
              </w:rPr>
            </w:pPr>
            <w:r>
              <w:rPr>
                <w:rFonts w:ascii="Arial" w:cs="Arial" w:eastAsia="Arial" w:hAnsi="Arial"/>
                <w:sz w:val="9"/>
                <w:szCs w:val="9"/>
                <w:color w:val="2D96D2"/>
                <w:w w:val="93"/>
              </w:rPr>
              <w:t>July 2025</w:t>
            </w:r>
          </w:p>
        </w:tc>
        <w:tc>
          <w:tcPr>
            <w:tcW w:w="100" w:type="dxa"/>
            <w:vAlign w:val="bottom"/>
            <w:gridSpan w:val="3"/>
            <w:vMerge w:val="restart"/>
          </w:tcPr>
          <w:p>
            <w:pPr>
              <w:jc w:val="right"/>
              <w:spacing w:after="0"/>
              <w:rPr>
                <w:sz w:val="20"/>
                <w:szCs w:val="20"/>
                <w:color w:val="auto"/>
              </w:rPr>
            </w:pPr>
            <w:r>
              <w:rPr>
                <w:rFonts w:ascii="Arial" w:cs="Arial" w:eastAsia="Arial" w:hAnsi="Arial"/>
                <w:sz w:val="9"/>
                <w:szCs w:val="9"/>
                <w:color w:val="B5082D"/>
                <w:strike w:val="1"/>
                <w:w w:val="79"/>
              </w:rPr>
              <w:t>31</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right w:val="single" w:sz="8" w:color="A6A6A6"/>
            </w:tcBorders>
          </w:tcPr>
          <w:p>
            <w:pPr>
              <w:spacing w:after="0"/>
              <w:rPr>
                <w:sz w:val="4"/>
                <w:szCs w:val="4"/>
                <w:color w:val="auto"/>
              </w:rPr>
            </w:pPr>
          </w:p>
        </w:tc>
        <w:tc>
          <w:tcPr>
            <w:tcW w:w="2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360" w:type="dxa"/>
            <w:vAlign w:val="bottom"/>
            <w:tcBorders>
              <w:right w:val="single" w:sz="8" w:color="A6A6A6"/>
            </w:tcBorders>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right w:val="single" w:sz="8" w:color="A6A6A6"/>
            </w:tcBorders>
          </w:tcPr>
          <w:p>
            <w:pPr>
              <w:spacing w:after="0"/>
              <w:rPr>
                <w:sz w:val="5"/>
                <w:szCs w:val="5"/>
                <w:color w:val="auto"/>
              </w:rPr>
            </w:pPr>
          </w:p>
        </w:tc>
        <w:tc>
          <w:tcPr>
            <w:tcW w:w="1080" w:type="dxa"/>
            <w:vAlign w:val="bottom"/>
            <w:tcBorders>
              <w:right w:val="single" w:sz="8" w:color="A6A6A6"/>
            </w:tcBorders>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A6A6A6"/>
            </w:tcBorders>
          </w:tcPr>
          <w:p>
            <w:pPr>
              <w:spacing w:after="0"/>
              <w:rPr>
                <w:sz w:val="5"/>
                <w:szCs w:val="5"/>
                <w:color w:val="auto"/>
              </w:rPr>
            </w:pPr>
          </w:p>
        </w:tc>
        <w:tc>
          <w:tcPr>
            <w:tcW w:w="2780" w:type="dxa"/>
            <w:vAlign w:val="bottom"/>
            <w:tcBorders>
              <w:right w:val="single" w:sz="8" w:color="A6A6A6"/>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gridSpan w:val="3"/>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right w:val="single" w:sz="8" w:color="A6A6A6"/>
            </w:tcBorders>
            <w:gridSpan w:val="2"/>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360" w:type="dxa"/>
            <w:vAlign w:val="bottom"/>
            <w:tcBorders>
              <w:right w:val="single" w:sz="8" w:color="A6A6A6"/>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right w:val="single" w:sz="8" w:color="A6A6A6"/>
            </w:tcBorders>
          </w:tcPr>
          <w:p>
            <w:pPr>
              <w:spacing w:after="0"/>
              <w:rPr>
                <w:sz w:val="8"/>
                <w:szCs w:val="8"/>
                <w:color w:val="auto"/>
              </w:rPr>
            </w:pPr>
          </w:p>
        </w:tc>
        <w:tc>
          <w:tcPr>
            <w:tcW w:w="1080" w:type="dxa"/>
            <w:vAlign w:val="bottom"/>
            <w:tcBorders>
              <w:right w:val="single" w:sz="8" w:color="A6A6A6"/>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Borders>
              <w:right w:val="single" w:sz="8" w:color="A6A6A6"/>
            </w:tcBorders>
          </w:tcPr>
          <w:p>
            <w:pPr>
              <w:spacing w:after="0"/>
              <w:rPr>
                <w:sz w:val="8"/>
                <w:szCs w:val="8"/>
                <w:color w:val="auto"/>
              </w:rPr>
            </w:pPr>
          </w:p>
        </w:tc>
        <w:tc>
          <w:tcPr>
            <w:tcW w:w="2780" w:type="dxa"/>
            <w:vAlign w:val="bottom"/>
            <w:tcBorders>
              <w:right w:val="single" w:sz="8" w:color="A6A6A6"/>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gridSpan w:val="2"/>
          </w:tcPr>
          <w:p>
            <w:pPr>
              <w:spacing w:after="0"/>
              <w:rPr>
                <w:sz w:val="20"/>
                <w:szCs w:val="20"/>
                <w:color w:val="auto"/>
              </w:rPr>
            </w:pPr>
            <w:r>
              <w:rPr>
                <w:rFonts w:ascii="Arial" w:cs="Arial" w:eastAsia="Arial" w:hAnsi="Arial"/>
                <w:sz w:val="9"/>
                <w:szCs w:val="9"/>
                <w:color w:val="B5082D"/>
                <w:strike w:val="1"/>
                <w:w w:val="91"/>
              </w:rPr>
              <w:t>December</w:t>
            </w:r>
          </w:p>
        </w:tc>
        <w:tc>
          <w:tcPr>
            <w:tcW w:w="40" w:type="dxa"/>
            <w:vAlign w:val="bottom"/>
          </w:tcPr>
          <w:p>
            <w:pPr>
              <w:spacing w:after="0"/>
              <w:rPr>
                <w:sz w:val="8"/>
                <w:szCs w:val="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9"/>
                <w:szCs w:val="9"/>
                <w:color w:val="B5082D"/>
                <w:strike w:val="1"/>
                <w:w w:val="79"/>
              </w:rPr>
              <w:t>2023</w:t>
            </w:r>
          </w:p>
        </w:tc>
        <w:tc>
          <w:tcPr>
            <w:tcW w:w="220" w:type="dxa"/>
            <w:vAlign w:val="bottom"/>
            <w:tcBorders>
              <w:right w:val="single" w:sz="8" w:color="A6A6A6"/>
            </w:tcBorders>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60" w:type="dxa"/>
            <w:vAlign w:val="bottom"/>
            <w:tcBorders>
              <w:right w:val="single" w:sz="8" w:color="A6A6A6"/>
            </w:tcBorders>
          </w:tcPr>
          <w:p>
            <w:pPr>
              <w:spacing w:after="0"/>
              <w:rPr>
                <w:sz w:val="14"/>
                <w:szCs w:val="14"/>
                <w:color w:val="auto"/>
              </w:rPr>
            </w:pPr>
          </w:p>
        </w:tc>
        <w:tc>
          <w:tcPr>
            <w:tcW w:w="320" w:type="dxa"/>
            <w:vAlign w:val="bottom"/>
            <w:tcBorders>
              <w:bottom w:val="single" w:sz="8" w:color="A6A6A6"/>
            </w:tcBorders>
          </w:tcPr>
          <w:p>
            <w:pPr>
              <w:spacing w:after="0"/>
              <w:rPr>
                <w:sz w:val="14"/>
                <w:szCs w:val="14"/>
                <w:color w:val="auto"/>
              </w:rPr>
            </w:pPr>
          </w:p>
        </w:tc>
        <w:tc>
          <w:tcPr>
            <w:tcW w:w="620" w:type="dxa"/>
            <w:vAlign w:val="bottom"/>
            <w:tcBorders>
              <w:bottom w:val="single" w:sz="8" w:color="A6A6A6"/>
              <w:right w:val="single" w:sz="8" w:color="A6A6A6"/>
            </w:tcBorders>
          </w:tcPr>
          <w:p>
            <w:pPr>
              <w:spacing w:after="0"/>
              <w:rPr>
                <w:sz w:val="14"/>
                <w:szCs w:val="14"/>
                <w:color w:val="auto"/>
              </w:rPr>
            </w:pPr>
          </w:p>
        </w:tc>
        <w:tc>
          <w:tcPr>
            <w:tcW w:w="1080" w:type="dxa"/>
            <w:vAlign w:val="bottom"/>
            <w:tcBorders>
              <w:bottom w:val="single" w:sz="8" w:color="A6A6A6"/>
              <w:right w:val="single" w:sz="8" w:color="A6A6A6"/>
            </w:tcBorders>
          </w:tcPr>
          <w:p>
            <w:pPr>
              <w:spacing w:after="0"/>
              <w:rPr>
                <w:sz w:val="14"/>
                <w:szCs w:val="14"/>
                <w:color w:val="auto"/>
              </w:rPr>
            </w:pPr>
          </w:p>
        </w:tc>
        <w:tc>
          <w:tcPr>
            <w:tcW w:w="20" w:type="dxa"/>
            <w:vAlign w:val="bottom"/>
            <w:tcBorders>
              <w:bottom w:val="single" w:sz="8" w:color="A6A6A6"/>
            </w:tcBorders>
          </w:tcPr>
          <w:p>
            <w:pPr>
              <w:spacing w:after="0"/>
              <w:rPr>
                <w:sz w:val="14"/>
                <w:szCs w:val="14"/>
                <w:color w:val="auto"/>
              </w:rPr>
            </w:pPr>
          </w:p>
        </w:tc>
        <w:tc>
          <w:tcPr>
            <w:tcW w:w="560" w:type="dxa"/>
            <w:vAlign w:val="bottom"/>
            <w:tcBorders>
              <w:bottom w:val="single" w:sz="8" w:color="A6A6A6"/>
            </w:tcBorders>
          </w:tcPr>
          <w:p>
            <w:pPr>
              <w:spacing w:after="0"/>
              <w:rPr>
                <w:sz w:val="14"/>
                <w:szCs w:val="14"/>
                <w:color w:val="auto"/>
              </w:rPr>
            </w:pPr>
          </w:p>
        </w:tc>
        <w:tc>
          <w:tcPr>
            <w:tcW w:w="320" w:type="dxa"/>
            <w:vAlign w:val="bottom"/>
            <w:tcBorders>
              <w:bottom w:val="single" w:sz="8" w:color="A6A6A6"/>
              <w:right w:val="single" w:sz="8" w:color="A6A6A6"/>
            </w:tcBorders>
          </w:tcPr>
          <w:p>
            <w:pPr>
              <w:spacing w:after="0"/>
              <w:rPr>
                <w:sz w:val="14"/>
                <w:szCs w:val="14"/>
                <w:color w:val="auto"/>
              </w:rPr>
            </w:pPr>
          </w:p>
        </w:tc>
        <w:tc>
          <w:tcPr>
            <w:tcW w:w="2780" w:type="dxa"/>
            <w:vAlign w:val="bottom"/>
            <w:tcBorders>
              <w:bottom w:val="single" w:sz="8" w:color="A6A6A6"/>
              <w:right w:val="single" w:sz="8" w:color="A6A6A6"/>
            </w:tcBorders>
          </w:tcPr>
          <w:p>
            <w:pPr>
              <w:spacing w:after="0"/>
              <w:rPr>
                <w:sz w:val="14"/>
                <w:szCs w:val="14"/>
                <w:color w:val="auto"/>
              </w:rPr>
            </w:pPr>
          </w:p>
        </w:tc>
        <w:tc>
          <w:tcPr>
            <w:tcW w:w="40" w:type="dxa"/>
            <w:vAlign w:val="bottom"/>
            <w:tcBorders>
              <w:bottom w:val="single" w:sz="8" w:color="A6A6A6"/>
            </w:tcBorders>
          </w:tcPr>
          <w:p>
            <w:pPr>
              <w:spacing w:after="0"/>
              <w:rPr>
                <w:sz w:val="14"/>
                <w:szCs w:val="14"/>
                <w:color w:val="auto"/>
              </w:rPr>
            </w:pPr>
          </w:p>
        </w:tc>
        <w:tc>
          <w:tcPr>
            <w:tcW w:w="380" w:type="dxa"/>
            <w:vAlign w:val="bottom"/>
            <w:tcBorders>
              <w:bottom w:val="single" w:sz="8" w:color="A6A6A6"/>
            </w:tcBorders>
          </w:tcPr>
          <w:p>
            <w:pPr>
              <w:spacing w:after="0"/>
              <w:rPr>
                <w:sz w:val="14"/>
                <w:szCs w:val="14"/>
                <w:color w:val="auto"/>
              </w:rPr>
            </w:pPr>
          </w:p>
        </w:tc>
        <w:tc>
          <w:tcPr>
            <w:tcW w:w="20" w:type="dxa"/>
            <w:vAlign w:val="bottom"/>
            <w:tcBorders>
              <w:bottom w:val="single" w:sz="8" w:color="A6A6A6"/>
            </w:tcBorders>
          </w:tcPr>
          <w:p>
            <w:pPr>
              <w:spacing w:after="0"/>
              <w:rPr>
                <w:sz w:val="14"/>
                <w:szCs w:val="14"/>
                <w:color w:val="auto"/>
              </w:rPr>
            </w:pPr>
          </w:p>
        </w:tc>
        <w:tc>
          <w:tcPr>
            <w:tcW w:w="40" w:type="dxa"/>
            <w:vAlign w:val="bottom"/>
            <w:tcBorders>
              <w:bottom w:val="single" w:sz="8" w:color="A6A6A6"/>
            </w:tcBorders>
          </w:tcPr>
          <w:p>
            <w:pPr>
              <w:spacing w:after="0"/>
              <w:rPr>
                <w:sz w:val="14"/>
                <w:szCs w:val="14"/>
                <w:color w:val="auto"/>
              </w:rPr>
            </w:pPr>
          </w:p>
        </w:tc>
        <w:tc>
          <w:tcPr>
            <w:tcW w:w="40" w:type="dxa"/>
            <w:vAlign w:val="bottom"/>
            <w:tcBorders>
              <w:bottom w:val="single" w:sz="8" w:color="A6A6A6"/>
            </w:tcBorders>
          </w:tcPr>
          <w:p>
            <w:pPr>
              <w:spacing w:after="0"/>
              <w:rPr>
                <w:sz w:val="14"/>
                <w:szCs w:val="14"/>
                <w:color w:val="auto"/>
              </w:rPr>
            </w:pPr>
          </w:p>
        </w:tc>
        <w:tc>
          <w:tcPr>
            <w:tcW w:w="40" w:type="dxa"/>
            <w:vAlign w:val="bottom"/>
            <w:tcBorders>
              <w:bottom w:val="single" w:sz="8" w:color="A6A6A6"/>
            </w:tcBorders>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220" w:type="dxa"/>
            <w:vAlign w:val="bottom"/>
            <w:tcBorders>
              <w:bottom w:val="single" w:sz="8" w:color="A6A6A6"/>
              <w:right w:val="single" w:sz="8" w:color="A6A6A6"/>
            </w:tcBorders>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5"/>
        </w:trPr>
        <w:tc>
          <w:tcPr>
            <w:tcW w:w="680" w:type="dxa"/>
            <w:vAlign w:val="bottom"/>
            <w:tcBorders>
              <w:bottom w:val="single" w:sz="8" w:color="8BD8FF"/>
            </w:tcBorders>
            <w:gridSpan w:val="2"/>
          </w:tcPr>
          <w:p>
            <w:pPr>
              <w:spacing w:after="0"/>
              <w:rPr>
                <w:sz w:val="20"/>
                <w:szCs w:val="20"/>
                <w:color w:val="auto"/>
              </w:rPr>
            </w:pPr>
            <w:r>
              <w:rPr>
                <w:rFonts w:ascii="Arial" w:cs="Arial" w:eastAsia="Arial" w:hAnsi="Arial"/>
                <w:sz w:val="8"/>
                <w:szCs w:val="8"/>
                <w:color w:val="8BD8FF"/>
                <w:w w:val="98"/>
              </w:rPr>
              <w:t>3468-7174-2245v7</w:t>
            </w:r>
          </w:p>
        </w:tc>
        <w:tc>
          <w:tcPr>
            <w:tcW w:w="1700" w:type="dxa"/>
            <w:vAlign w:val="bottom"/>
            <w:gridSpan w:val="2"/>
          </w:tcPr>
          <w:p>
            <w:pPr>
              <w:spacing w:after="0"/>
              <w:rPr>
                <w:sz w:val="20"/>
                <w:szCs w:val="20"/>
                <w:color w:val="auto"/>
              </w:rPr>
            </w:pPr>
            <w:r>
              <w:rPr>
                <w:rFonts w:ascii="Arial" w:cs="Arial" w:eastAsia="Arial" w:hAnsi="Arial"/>
                <w:sz w:val="8"/>
                <w:szCs w:val="8"/>
                <w:color w:val="FF0000"/>
                <w:strike w:val="1"/>
              </w:rPr>
              <w:t>3468-7174-2245v2</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ind w:left="2220"/>
              <w:spacing w:after="0"/>
              <w:rPr>
                <w:sz w:val="20"/>
                <w:szCs w:val="20"/>
                <w:color w:val="auto"/>
              </w:rPr>
            </w:pPr>
            <w:r>
              <w:rPr>
                <w:rFonts w:ascii="Arial" w:cs="Arial" w:eastAsia="Arial" w:hAnsi="Arial"/>
                <w:sz w:val="8"/>
                <w:szCs w:val="8"/>
                <w:color w:val="auto"/>
                <w:w w:val="96"/>
              </w:rPr>
              <w:t>page 81</w:t>
            </w:r>
          </w:p>
        </w:tc>
        <w:tc>
          <w:tcPr>
            <w:tcW w:w="0" w:type="dxa"/>
            <w:vAlign w:val="bottom"/>
          </w:tcPr>
          <w:p>
            <w:pPr>
              <w:spacing w:after="0"/>
              <w:rPr>
                <w:sz w:val="1"/>
                <w:szCs w:val="1"/>
                <w:color w:val="auto"/>
              </w:rPr>
            </w:pPr>
          </w:p>
        </w:tc>
      </w:tr>
      <w:tr>
        <w:trPr>
          <w:trHeight w:val="94"/>
        </w:trPr>
        <w:tc>
          <w:tcPr>
            <w:tcW w:w="1300" w:type="dxa"/>
            <w:vAlign w:val="bottom"/>
            <w:gridSpan w:val="3"/>
          </w:tcPr>
          <w:p>
            <w:pPr>
              <w:spacing w:after="0"/>
              <w:rPr>
                <w:sz w:val="20"/>
                <w:szCs w:val="20"/>
                <w:color w:val="auto"/>
              </w:rPr>
            </w:pPr>
            <w:r>
              <w:rPr>
                <w:rFonts w:ascii="Arial" w:cs="Arial" w:eastAsia="Arial" w:hAnsi="Arial"/>
                <w:sz w:val="8"/>
                <w:szCs w:val="8"/>
                <w:color w:val="auto"/>
              </w:rPr>
              <w:t>Facility Agreement</w:t>
            </w: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36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620" w:type="dxa"/>
            <w:vAlign w:val="bottom"/>
            <w:tcBorders>
              <w:bottom w:val="single" w:sz="8" w:color="EEEEEE"/>
            </w:tcBorders>
          </w:tcPr>
          <w:p>
            <w:pPr>
              <w:spacing w:after="0"/>
              <w:rPr>
                <w:sz w:val="18"/>
                <w:szCs w:val="18"/>
                <w:color w:val="auto"/>
              </w:rPr>
            </w:pPr>
          </w:p>
        </w:tc>
        <w:tc>
          <w:tcPr>
            <w:tcW w:w="108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278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38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52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657" w:right="1060" w:bottom="1440" w:gutter="0" w:footer="0" w:header="0"/>
        </w:sectPr>
      </w:pPr>
    </w:p>
    <w:bookmarkStart w:id="149" w:name="page150"/>
    <w:bookmarkEnd w:id="149"/>
    <w:p>
      <w:pPr>
        <w:ind w:left="400"/>
        <w:spacing w:after="0"/>
        <w:rPr>
          <w:sz w:val="20"/>
          <w:szCs w:val="20"/>
          <w:color w:val="auto"/>
        </w:rPr>
      </w:pPr>
      <w:r>
        <w:rPr>
          <w:rFonts w:ascii="Arial" w:cs="Arial" w:eastAsia="Arial" w:hAnsi="Arial"/>
          <w:sz w:val="16"/>
          <w:szCs w:val="16"/>
          <w:color w:val="auto"/>
        </w:rPr>
        <w:t>Collateral Security</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0" w:type="dxa"/>
            <w:vAlign w:val="bottom"/>
            <w:tcBorders>
              <w:right w:val="single" w:sz="8" w:color="A6A6A6"/>
            </w:tcBorders>
          </w:tcPr>
          <w:p>
            <w:pPr>
              <w:spacing w:after="0"/>
              <w:rPr>
                <w:sz w:val="18"/>
                <w:szCs w:val="18"/>
                <w:color w:val="auto"/>
              </w:rPr>
            </w:pPr>
          </w:p>
        </w:tc>
        <w:tc>
          <w:tcPr>
            <w:tcW w:w="260" w:type="dxa"/>
            <w:vAlign w:val="bottom"/>
            <w:tcBorders>
              <w:right w:val="single" w:sz="8" w:color="A6A6A6"/>
            </w:tcBorders>
            <w:shd w:val="clear" w:color="auto" w:fill="12395C"/>
          </w:tcPr>
          <w:p>
            <w:pPr>
              <w:ind w:left="40"/>
              <w:spacing w:after="0"/>
              <w:rPr>
                <w:sz w:val="20"/>
                <w:szCs w:val="20"/>
                <w:color w:val="auto"/>
              </w:rPr>
            </w:pPr>
            <w:r>
              <w:rPr>
                <w:rFonts w:ascii="Arial" w:cs="Arial" w:eastAsia="Arial" w:hAnsi="Arial"/>
                <w:sz w:val="10"/>
                <w:szCs w:val="10"/>
                <w:b w:val="1"/>
                <w:bCs w:val="1"/>
                <w:color w:val="FFFFFF"/>
                <w:w w:val="87"/>
              </w:rPr>
              <w:t>Item</w:t>
            </w:r>
          </w:p>
        </w:tc>
        <w:tc>
          <w:tcPr>
            <w:tcW w:w="1080" w:type="dxa"/>
            <w:vAlign w:val="bottom"/>
            <w:tcBorders>
              <w:right w:val="single" w:sz="8" w:color="A6A6A6"/>
            </w:tcBorders>
            <w:gridSpan w:val="2"/>
            <w:shd w:val="clear" w:color="auto" w:fill="12395C"/>
          </w:tcPr>
          <w:p>
            <w:pPr>
              <w:ind w:left="40"/>
              <w:spacing w:after="0"/>
              <w:rPr>
                <w:sz w:val="20"/>
                <w:szCs w:val="20"/>
                <w:color w:val="auto"/>
              </w:rPr>
            </w:pPr>
            <w:r>
              <w:rPr>
                <w:rFonts w:ascii="Arial" w:cs="Arial" w:eastAsia="Arial" w:hAnsi="Arial"/>
                <w:sz w:val="10"/>
                <w:szCs w:val="10"/>
                <w:b w:val="1"/>
                <w:bCs w:val="1"/>
                <w:color w:val="FFFFFF"/>
              </w:rPr>
              <w:t>Description</w:t>
            </w:r>
          </w:p>
        </w:tc>
        <w:tc>
          <w:tcPr>
            <w:tcW w:w="4960" w:type="dxa"/>
            <w:vAlign w:val="bottom"/>
            <w:tcBorders>
              <w:right w:val="single" w:sz="8" w:color="A6A6A6"/>
            </w:tcBorders>
            <w:shd w:val="clear" w:color="auto" w:fill="12395C"/>
          </w:tcPr>
          <w:p>
            <w:pPr>
              <w:ind w:left="40"/>
              <w:spacing w:after="0"/>
              <w:rPr>
                <w:sz w:val="20"/>
                <w:szCs w:val="20"/>
                <w:color w:val="auto"/>
              </w:rPr>
            </w:pPr>
            <w:r>
              <w:rPr>
                <w:rFonts w:ascii="Arial" w:cs="Arial" w:eastAsia="Arial" w:hAnsi="Arial"/>
                <w:sz w:val="10"/>
                <w:szCs w:val="10"/>
                <w:b w:val="1"/>
                <w:bCs w:val="1"/>
                <w:color w:val="FFFFFF"/>
              </w:rPr>
              <w:t>Grantor</w:t>
            </w:r>
          </w:p>
        </w:tc>
        <w:tc>
          <w:tcPr>
            <w:tcW w:w="760" w:type="dxa"/>
            <w:vAlign w:val="bottom"/>
            <w:tcBorders>
              <w:right w:val="single" w:sz="8" w:color="A6A6A6"/>
            </w:tcBorders>
            <w:shd w:val="clear" w:color="auto" w:fill="12395C"/>
          </w:tcPr>
          <w:p>
            <w:pPr>
              <w:ind w:left="40"/>
              <w:spacing w:after="0"/>
              <w:rPr>
                <w:sz w:val="20"/>
                <w:szCs w:val="20"/>
                <w:color w:val="auto"/>
              </w:rPr>
            </w:pPr>
            <w:r>
              <w:rPr>
                <w:rFonts w:ascii="Arial" w:cs="Arial" w:eastAsia="Arial" w:hAnsi="Arial"/>
                <w:sz w:val="10"/>
                <w:szCs w:val="10"/>
                <w:b w:val="1"/>
                <w:bCs w:val="1"/>
                <w:color w:val="FFFFFF"/>
              </w:rPr>
              <w:t>Secured Party</w:t>
            </w:r>
          </w:p>
        </w:tc>
        <w:tc>
          <w:tcPr>
            <w:tcW w:w="2500" w:type="dxa"/>
            <w:vAlign w:val="bottom"/>
            <w:gridSpan w:val="2"/>
            <w:shd w:val="clear" w:color="auto" w:fill="12395C"/>
          </w:tcPr>
          <w:p>
            <w:pPr>
              <w:ind w:left="40"/>
              <w:spacing w:after="0"/>
              <w:rPr>
                <w:sz w:val="20"/>
                <w:szCs w:val="20"/>
                <w:color w:val="auto"/>
              </w:rPr>
            </w:pPr>
            <w:r>
              <w:rPr>
                <w:rFonts w:ascii="Arial" w:cs="Arial" w:eastAsia="Arial" w:hAnsi="Arial"/>
                <w:sz w:val="10"/>
                <w:szCs w:val="10"/>
                <w:b w:val="1"/>
                <w:bCs w:val="1"/>
                <w:color w:val="FFFFFF"/>
              </w:rPr>
              <w:t>Details</w:t>
            </w:r>
          </w:p>
        </w:tc>
        <w:tc>
          <w:tcPr>
            <w:tcW w:w="0" w:type="dxa"/>
            <w:vAlign w:val="bottom"/>
          </w:tcPr>
          <w:p>
            <w:pPr>
              <w:spacing w:after="0"/>
              <w:rPr>
                <w:sz w:val="1"/>
                <w:szCs w:val="1"/>
                <w:color w:val="auto"/>
              </w:rPr>
            </w:pPr>
          </w:p>
        </w:tc>
      </w:tr>
      <w:tr>
        <w:trPr>
          <w:trHeight w:val="189"/>
        </w:trPr>
        <w:tc>
          <w:tcPr>
            <w:tcW w:w="400" w:type="dxa"/>
            <w:vAlign w:val="bottom"/>
            <w:tcBorders>
              <w:right w:val="single" w:sz="8" w:color="A6A6A6"/>
            </w:tcBorders>
          </w:tcPr>
          <w:p>
            <w:pPr>
              <w:spacing w:after="0"/>
              <w:rPr>
                <w:sz w:val="16"/>
                <w:szCs w:val="16"/>
                <w:color w:val="auto"/>
              </w:rPr>
            </w:pPr>
          </w:p>
        </w:tc>
        <w:tc>
          <w:tcPr>
            <w:tcW w:w="260" w:type="dxa"/>
            <w:vAlign w:val="bottom"/>
            <w:tcBorders>
              <w:right w:val="single" w:sz="8" w:color="A6A6A6"/>
            </w:tcBorders>
            <w:shd w:val="clear" w:color="auto" w:fill="12395C"/>
          </w:tcPr>
          <w:p>
            <w:pPr>
              <w:spacing w:after="0"/>
              <w:rPr>
                <w:sz w:val="16"/>
                <w:szCs w:val="16"/>
                <w:color w:val="auto"/>
              </w:rPr>
            </w:pPr>
          </w:p>
        </w:tc>
        <w:tc>
          <w:tcPr>
            <w:tcW w:w="20" w:type="dxa"/>
            <w:vAlign w:val="bottom"/>
            <w:shd w:val="clear" w:color="auto" w:fill="12395C"/>
          </w:tcPr>
          <w:p>
            <w:pPr>
              <w:spacing w:after="0"/>
              <w:rPr>
                <w:sz w:val="16"/>
                <w:szCs w:val="16"/>
                <w:color w:val="auto"/>
              </w:rPr>
            </w:pPr>
          </w:p>
        </w:tc>
        <w:tc>
          <w:tcPr>
            <w:tcW w:w="1060" w:type="dxa"/>
            <w:vAlign w:val="bottom"/>
            <w:tcBorders>
              <w:right w:val="single" w:sz="8" w:color="A6A6A6"/>
            </w:tcBorders>
            <w:shd w:val="clear" w:color="auto" w:fill="12395C"/>
          </w:tcPr>
          <w:p>
            <w:pPr>
              <w:spacing w:after="0"/>
              <w:rPr>
                <w:sz w:val="16"/>
                <w:szCs w:val="16"/>
                <w:color w:val="auto"/>
              </w:rPr>
            </w:pPr>
          </w:p>
        </w:tc>
        <w:tc>
          <w:tcPr>
            <w:tcW w:w="4960" w:type="dxa"/>
            <w:vAlign w:val="bottom"/>
            <w:tcBorders>
              <w:right w:val="single" w:sz="8" w:color="A6A6A6"/>
            </w:tcBorders>
            <w:shd w:val="clear" w:color="auto" w:fill="12395C"/>
          </w:tcPr>
          <w:p>
            <w:pPr>
              <w:spacing w:after="0"/>
              <w:rPr>
                <w:sz w:val="16"/>
                <w:szCs w:val="16"/>
                <w:color w:val="auto"/>
              </w:rPr>
            </w:pPr>
          </w:p>
        </w:tc>
        <w:tc>
          <w:tcPr>
            <w:tcW w:w="760" w:type="dxa"/>
            <w:vAlign w:val="bottom"/>
            <w:tcBorders>
              <w:right w:val="single" w:sz="8" w:color="A6A6A6"/>
            </w:tcBorders>
            <w:shd w:val="clear" w:color="auto" w:fill="12395C"/>
          </w:tcPr>
          <w:p>
            <w:pPr>
              <w:spacing w:after="0"/>
              <w:rPr>
                <w:sz w:val="16"/>
                <w:szCs w:val="16"/>
                <w:color w:val="auto"/>
              </w:rPr>
            </w:pPr>
          </w:p>
        </w:tc>
        <w:tc>
          <w:tcPr>
            <w:tcW w:w="2020" w:type="dxa"/>
            <w:vAlign w:val="bottom"/>
            <w:shd w:val="clear" w:color="auto" w:fill="12395C"/>
          </w:tcPr>
          <w:p>
            <w:pPr>
              <w:spacing w:after="0"/>
              <w:rPr>
                <w:sz w:val="16"/>
                <w:szCs w:val="16"/>
                <w:color w:val="auto"/>
              </w:rPr>
            </w:pPr>
          </w:p>
        </w:tc>
        <w:tc>
          <w:tcPr>
            <w:tcW w:w="480" w:type="dxa"/>
            <w:vAlign w:val="bottom"/>
            <w:shd w:val="clear" w:color="auto" w:fill="12395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 w:type="dxa"/>
            <w:vAlign w:val="bottom"/>
            <w:tcBorders>
              <w:right w:val="single" w:sz="8" w:color="A6A6A6"/>
            </w:tcBorders>
          </w:tcPr>
          <w:p>
            <w:pPr>
              <w:spacing w:after="0"/>
              <w:rPr>
                <w:sz w:val="17"/>
                <w:szCs w:val="17"/>
                <w:color w:val="auto"/>
              </w:rPr>
            </w:pPr>
          </w:p>
        </w:tc>
        <w:tc>
          <w:tcPr>
            <w:tcW w:w="2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1</w:t>
            </w:r>
          </w:p>
        </w:tc>
        <w:tc>
          <w:tcPr>
            <w:tcW w:w="20" w:type="dxa"/>
            <w:vAlign w:val="bottom"/>
          </w:tcPr>
          <w:p>
            <w:pPr>
              <w:spacing w:after="0"/>
              <w:rPr>
                <w:sz w:val="17"/>
                <w:szCs w:val="17"/>
                <w:color w:val="auto"/>
              </w:rPr>
            </w:pPr>
          </w:p>
        </w:tc>
        <w:tc>
          <w:tcPr>
            <w:tcW w:w="106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Fixed</w:t>
            </w:r>
          </w:p>
        </w:tc>
        <w:tc>
          <w:tcPr>
            <w:tcW w:w="49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Each Transaction Party</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2500" w:type="dxa"/>
            <w:vAlign w:val="bottom"/>
            <w:gridSpan w:val="2"/>
            <w:vMerge w:val="restart"/>
          </w:tcPr>
          <w:p>
            <w:pPr>
              <w:ind w:left="60"/>
              <w:spacing w:after="0"/>
              <w:rPr>
                <w:sz w:val="20"/>
                <w:szCs w:val="20"/>
                <w:color w:val="auto"/>
              </w:rPr>
            </w:pPr>
            <w:r>
              <w:rPr>
                <w:rFonts w:ascii="Arial" w:cs="Arial" w:eastAsia="Arial" w:hAnsi="Arial"/>
                <w:sz w:val="9"/>
                <w:szCs w:val="9"/>
                <w:color w:val="auto"/>
                <w:w w:val="98"/>
              </w:rPr>
              <w:t>Over all present and after acquired property but excluding the</w:t>
            </w:r>
          </w:p>
        </w:tc>
        <w:tc>
          <w:tcPr>
            <w:tcW w:w="0" w:type="dxa"/>
            <w:vAlign w:val="bottom"/>
          </w:tcPr>
          <w:p>
            <w:pPr>
              <w:spacing w:after="0"/>
              <w:rPr>
                <w:sz w:val="1"/>
                <w:szCs w:val="1"/>
                <w:color w:val="auto"/>
              </w:rPr>
            </w:pPr>
          </w:p>
        </w:tc>
      </w:tr>
      <w:tr>
        <w:trPr>
          <w:trHeight w:val="44"/>
        </w:trPr>
        <w:tc>
          <w:tcPr>
            <w:tcW w:w="400" w:type="dxa"/>
            <w:vAlign w:val="bottom"/>
            <w:tcBorders>
              <w:right w:val="single" w:sz="8" w:color="A6A6A6"/>
            </w:tcBorders>
          </w:tcPr>
          <w:p>
            <w:pPr>
              <w:spacing w:after="0"/>
              <w:rPr>
                <w:sz w:val="3"/>
                <w:szCs w:val="3"/>
                <w:color w:val="auto"/>
              </w:rPr>
            </w:pPr>
          </w:p>
        </w:tc>
        <w:tc>
          <w:tcPr>
            <w:tcW w:w="260" w:type="dxa"/>
            <w:vAlign w:val="bottom"/>
            <w:tcBorders>
              <w:right w:val="single" w:sz="8" w:color="A6A6A6"/>
            </w:tcBorders>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Borders>
              <w:right w:val="single" w:sz="8" w:color="A6A6A6"/>
            </w:tcBorders>
            <w:vMerge w:val="continue"/>
          </w:tcPr>
          <w:p>
            <w:pPr>
              <w:spacing w:after="0"/>
              <w:rPr>
                <w:sz w:val="3"/>
                <w:szCs w:val="3"/>
                <w:color w:val="auto"/>
              </w:rPr>
            </w:pPr>
          </w:p>
        </w:tc>
        <w:tc>
          <w:tcPr>
            <w:tcW w:w="4960" w:type="dxa"/>
            <w:vAlign w:val="bottom"/>
            <w:tcBorders>
              <w:right w:val="single" w:sz="8" w:color="A6A6A6"/>
            </w:tcBorders>
            <w:vMerge w:val="continue"/>
          </w:tcPr>
          <w:p>
            <w:pPr>
              <w:spacing w:after="0"/>
              <w:rPr>
                <w:sz w:val="3"/>
                <w:szCs w:val="3"/>
                <w:color w:val="auto"/>
              </w:rPr>
            </w:pPr>
          </w:p>
        </w:tc>
        <w:tc>
          <w:tcPr>
            <w:tcW w:w="760" w:type="dxa"/>
            <w:vAlign w:val="bottom"/>
            <w:tcBorders>
              <w:right w:val="single" w:sz="8" w:color="A6A6A6"/>
            </w:tcBorders>
            <w:vMerge w:val="continue"/>
          </w:tcPr>
          <w:p>
            <w:pPr>
              <w:spacing w:after="0"/>
              <w:rPr>
                <w:sz w:val="3"/>
                <w:szCs w:val="3"/>
                <w:color w:val="auto"/>
              </w:rPr>
            </w:pPr>
          </w:p>
        </w:tc>
        <w:tc>
          <w:tcPr>
            <w:tcW w:w="25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60" w:type="dxa"/>
            <w:vAlign w:val="bottom"/>
            <w:tcBorders>
              <w:right w:val="single" w:sz="8" w:color="A6A6A6"/>
            </w:tcBorders>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right w:val="single" w:sz="8" w:color="A6A6A6"/>
            </w:tcBorders>
          </w:tcPr>
          <w:p>
            <w:pPr>
              <w:ind w:left="20"/>
              <w:spacing w:after="0"/>
              <w:rPr>
                <w:sz w:val="20"/>
                <w:szCs w:val="20"/>
                <w:color w:val="auto"/>
              </w:rPr>
            </w:pPr>
            <w:r>
              <w:rPr>
                <w:rFonts w:ascii="Arial" w:cs="Arial" w:eastAsia="Arial" w:hAnsi="Arial"/>
                <w:sz w:val="9"/>
                <w:szCs w:val="9"/>
                <w:color w:val="auto"/>
              </w:rPr>
              <w:t>and floating charge</w:t>
            </w:r>
          </w:p>
        </w:tc>
        <w:tc>
          <w:tcPr>
            <w:tcW w:w="4960" w:type="dxa"/>
            <w:vAlign w:val="bottom"/>
            <w:tcBorders>
              <w:right w:val="single" w:sz="8" w:color="A6A6A6"/>
            </w:tcBorders>
          </w:tcPr>
          <w:p>
            <w:pPr>
              <w:spacing w:after="0"/>
              <w:rPr>
                <w:sz w:val="9"/>
                <w:szCs w:val="9"/>
                <w:color w:val="auto"/>
              </w:rPr>
            </w:pPr>
          </w:p>
        </w:tc>
        <w:tc>
          <w:tcPr>
            <w:tcW w:w="760" w:type="dxa"/>
            <w:vAlign w:val="bottom"/>
            <w:tcBorders>
              <w:right w:val="single" w:sz="8" w:color="A6A6A6"/>
            </w:tcBorders>
          </w:tcPr>
          <w:p>
            <w:pPr>
              <w:spacing w:after="0"/>
              <w:rPr>
                <w:sz w:val="9"/>
                <w:szCs w:val="9"/>
                <w:color w:val="auto"/>
              </w:rPr>
            </w:pPr>
          </w:p>
        </w:tc>
        <w:tc>
          <w:tcPr>
            <w:tcW w:w="2500" w:type="dxa"/>
            <w:vAlign w:val="bottom"/>
            <w:gridSpan w:val="2"/>
          </w:tcPr>
          <w:p>
            <w:pPr>
              <w:ind w:left="60"/>
              <w:spacing w:after="0"/>
              <w:rPr>
                <w:sz w:val="20"/>
                <w:szCs w:val="20"/>
                <w:color w:val="auto"/>
              </w:rPr>
            </w:pPr>
            <w:r>
              <w:rPr>
                <w:rFonts w:ascii="Arial" w:cs="Arial" w:eastAsia="Arial" w:hAnsi="Arial"/>
                <w:sz w:val="9"/>
                <w:szCs w:val="9"/>
                <w:color w:val="auto"/>
                <w:w w:val="96"/>
              </w:rPr>
              <w:t>78 Middleborough Road, Old Burwood Road, Burwood Victoria</w:t>
            </w:r>
          </w:p>
        </w:tc>
        <w:tc>
          <w:tcPr>
            <w:tcW w:w="0" w:type="dxa"/>
            <w:vAlign w:val="bottom"/>
          </w:tcPr>
          <w:p>
            <w:pPr>
              <w:spacing w:after="0"/>
              <w:rPr>
                <w:sz w:val="1"/>
                <w:szCs w:val="1"/>
                <w:color w:val="auto"/>
              </w:rPr>
            </w:pPr>
          </w:p>
        </w:tc>
      </w:tr>
      <w:tr>
        <w:trPr>
          <w:trHeight w:val="559"/>
        </w:trPr>
        <w:tc>
          <w:tcPr>
            <w:tcW w:w="400" w:type="dxa"/>
            <w:vAlign w:val="bottom"/>
            <w:tcBorders>
              <w:right w:val="single" w:sz="8" w:color="A6A6A6"/>
            </w:tcBorders>
          </w:tcPr>
          <w:p>
            <w:pPr>
              <w:spacing w:after="0"/>
              <w:rPr>
                <w:sz w:val="24"/>
                <w:szCs w:val="24"/>
                <w:color w:val="auto"/>
              </w:rPr>
            </w:pPr>
          </w:p>
        </w:tc>
        <w:tc>
          <w:tcPr>
            <w:tcW w:w="260" w:type="dxa"/>
            <w:vAlign w:val="bottom"/>
            <w:tcBorders>
              <w:bottom w:val="single" w:sz="8" w:color="A6A6A6"/>
              <w:right w:val="single" w:sz="8" w:color="A6A6A6"/>
            </w:tcBorders>
          </w:tcPr>
          <w:p>
            <w:pPr>
              <w:spacing w:after="0"/>
              <w:rPr>
                <w:sz w:val="24"/>
                <w:szCs w:val="24"/>
                <w:color w:val="auto"/>
              </w:rPr>
            </w:pPr>
          </w:p>
        </w:tc>
        <w:tc>
          <w:tcPr>
            <w:tcW w:w="20" w:type="dxa"/>
            <w:vAlign w:val="bottom"/>
            <w:tcBorders>
              <w:bottom w:val="single" w:sz="8" w:color="A6A6A6"/>
            </w:tcBorders>
          </w:tcPr>
          <w:p>
            <w:pPr>
              <w:spacing w:after="0"/>
              <w:rPr>
                <w:sz w:val="24"/>
                <w:szCs w:val="24"/>
                <w:color w:val="auto"/>
              </w:rPr>
            </w:pPr>
          </w:p>
        </w:tc>
        <w:tc>
          <w:tcPr>
            <w:tcW w:w="1060" w:type="dxa"/>
            <w:vAlign w:val="bottom"/>
            <w:tcBorders>
              <w:bottom w:val="single" w:sz="8" w:color="A6A6A6"/>
              <w:right w:val="single" w:sz="8" w:color="A6A6A6"/>
            </w:tcBorders>
          </w:tcPr>
          <w:p>
            <w:pPr>
              <w:spacing w:after="0"/>
              <w:rPr>
                <w:sz w:val="24"/>
                <w:szCs w:val="24"/>
                <w:color w:val="auto"/>
              </w:rPr>
            </w:pPr>
          </w:p>
        </w:tc>
        <w:tc>
          <w:tcPr>
            <w:tcW w:w="4960" w:type="dxa"/>
            <w:vAlign w:val="bottom"/>
            <w:tcBorders>
              <w:bottom w:val="single" w:sz="8" w:color="A6A6A6"/>
              <w:right w:val="single" w:sz="8" w:color="A6A6A6"/>
            </w:tcBorders>
          </w:tcPr>
          <w:p>
            <w:pPr>
              <w:spacing w:after="0"/>
              <w:rPr>
                <w:sz w:val="24"/>
                <w:szCs w:val="24"/>
                <w:color w:val="auto"/>
              </w:rPr>
            </w:pPr>
          </w:p>
        </w:tc>
        <w:tc>
          <w:tcPr>
            <w:tcW w:w="760" w:type="dxa"/>
            <w:vAlign w:val="bottom"/>
            <w:tcBorders>
              <w:bottom w:val="single" w:sz="8" w:color="A6A6A6"/>
              <w:right w:val="single" w:sz="8" w:color="A6A6A6"/>
            </w:tcBorders>
          </w:tcPr>
          <w:p>
            <w:pPr>
              <w:spacing w:after="0"/>
              <w:rPr>
                <w:sz w:val="24"/>
                <w:szCs w:val="24"/>
                <w:color w:val="auto"/>
              </w:rPr>
            </w:pPr>
          </w:p>
        </w:tc>
        <w:tc>
          <w:tcPr>
            <w:tcW w:w="2020" w:type="dxa"/>
            <w:vAlign w:val="bottom"/>
            <w:tcBorders>
              <w:bottom w:val="single" w:sz="8" w:color="A6A6A6"/>
            </w:tcBorders>
          </w:tcPr>
          <w:p>
            <w:pPr>
              <w:spacing w:after="0"/>
              <w:rPr>
                <w:sz w:val="24"/>
                <w:szCs w:val="24"/>
                <w:color w:val="auto"/>
              </w:rPr>
            </w:pPr>
          </w:p>
        </w:tc>
        <w:tc>
          <w:tcPr>
            <w:tcW w:w="48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2</w:t>
            </w:r>
          </w:p>
        </w:tc>
        <w:tc>
          <w:tcPr>
            <w:tcW w:w="20" w:type="dxa"/>
            <w:vAlign w:val="bottom"/>
          </w:tcPr>
          <w:p>
            <w:pPr>
              <w:spacing w:after="0"/>
              <w:rPr>
                <w:sz w:val="16"/>
                <w:szCs w:val="16"/>
                <w:color w:val="auto"/>
              </w:rPr>
            </w:pPr>
          </w:p>
        </w:tc>
        <w:tc>
          <w:tcPr>
            <w:tcW w:w="106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First</w:t>
            </w:r>
          </w:p>
        </w:tc>
        <w:tc>
          <w:tcPr>
            <w:tcW w:w="49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Originally granted by the Borrower but subsequently assumed by Reading Properties Pty Ltd</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2500" w:type="dxa"/>
            <w:vAlign w:val="bottom"/>
            <w:gridSpan w:val="2"/>
            <w:vMerge w:val="restart"/>
          </w:tcPr>
          <w:p>
            <w:pPr>
              <w:ind w:left="60"/>
              <w:spacing w:after="0"/>
              <w:rPr>
                <w:sz w:val="20"/>
                <w:szCs w:val="20"/>
                <w:color w:val="auto"/>
              </w:rPr>
            </w:pPr>
            <w:r>
              <w:rPr>
                <w:rFonts w:ascii="Arial" w:cs="Arial" w:eastAsia="Arial" w:hAnsi="Arial"/>
                <w:sz w:val="9"/>
                <w:szCs w:val="9"/>
                <w:color w:val="auto"/>
                <w:w w:val="96"/>
              </w:rPr>
              <w:t>The land and improvements known as 98 York Street, South M</w:t>
            </w:r>
          </w:p>
        </w:tc>
        <w:tc>
          <w:tcPr>
            <w:tcW w:w="0" w:type="dxa"/>
            <w:vAlign w:val="bottom"/>
          </w:tcPr>
          <w:p>
            <w:pPr>
              <w:spacing w:after="0"/>
              <w:rPr>
                <w:sz w:val="1"/>
                <w:szCs w:val="1"/>
                <w:color w:val="auto"/>
              </w:rPr>
            </w:pPr>
          </w:p>
        </w:tc>
      </w:tr>
      <w:tr>
        <w:trPr>
          <w:trHeight w:val="44"/>
        </w:trPr>
        <w:tc>
          <w:tcPr>
            <w:tcW w:w="400" w:type="dxa"/>
            <w:vAlign w:val="bottom"/>
            <w:tcBorders>
              <w:right w:val="single" w:sz="8" w:color="A6A6A6"/>
            </w:tcBorders>
          </w:tcPr>
          <w:p>
            <w:pPr>
              <w:spacing w:after="0"/>
              <w:rPr>
                <w:sz w:val="3"/>
                <w:szCs w:val="3"/>
                <w:color w:val="auto"/>
              </w:rPr>
            </w:pPr>
          </w:p>
        </w:tc>
        <w:tc>
          <w:tcPr>
            <w:tcW w:w="260" w:type="dxa"/>
            <w:vAlign w:val="bottom"/>
            <w:tcBorders>
              <w:right w:val="single" w:sz="8" w:color="A6A6A6"/>
            </w:tcBorders>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Borders>
              <w:right w:val="single" w:sz="8" w:color="A6A6A6"/>
            </w:tcBorders>
            <w:vMerge w:val="continue"/>
          </w:tcPr>
          <w:p>
            <w:pPr>
              <w:spacing w:after="0"/>
              <w:rPr>
                <w:sz w:val="3"/>
                <w:szCs w:val="3"/>
                <w:color w:val="auto"/>
              </w:rPr>
            </w:pPr>
          </w:p>
        </w:tc>
        <w:tc>
          <w:tcPr>
            <w:tcW w:w="4960" w:type="dxa"/>
            <w:vAlign w:val="bottom"/>
            <w:tcBorders>
              <w:right w:val="single" w:sz="8" w:color="A6A6A6"/>
            </w:tcBorders>
            <w:vMerge w:val="continue"/>
          </w:tcPr>
          <w:p>
            <w:pPr>
              <w:spacing w:after="0"/>
              <w:rPr>
                <w:sz w:val="3"/>
                <w:szCs w:val="3"/>
                <w:color w:val="auto"/>
              </w:rPr>
            </w:pPr>
          </w:p>
        </w:tc>
        <w:tc>
          <w:tcPr>
            <w:tcW w:w="760" w:type="dxa"/>
            <w:vAlign w:val="bottom"/>
            <w:tcBorders>
              <w:right w:val="single" w:sz="8" w:color="A6A6A6"/>
            </w:tcBorders>
            <w:vMerge w:val="continue"/>
          </w:tcPr>
          <w:p>
            <w:pPr>
              <w:spacing w:after="0"/>
              <w:rPr>
                <w:sz w:val="3"/>
                <w:szCs w:val="3"/>
                <w:color w:val="auto"/>
              </w:rPr>
            </w:pPr>
          </w:p>
        </w:tc>
        <w:tc>
          <w:tcPr>
            <w:tcW w:w="25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60" w:type="dxa"/>
            <w:vAlign w:val="bottom"/>
            <w:tcBorders>
              <w:right w:val="single" w:sz="8" w:color="A6A6A6"/>
            </w:tcBorders>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right w:val="single" w:sz="8" w:color="A6A6A6"/>
            </w:tcBorders>
          </w:tcPr>
          <w:p>
            <w:pPr>
              <w:ind w:left="20"/>
              <w:spacing w:after="0"/>
              <w:rPr>
                <w:sz w:val="20"/>
                <w:szCs w:val="20"/>
                <w:color w:val="auto"/>
              </w:rPr>
            </w:pPr>
            <w:r>
              <w:rPr>
                <w:rFonts w:ascii="Arial" w:cs="Arial" w:eastAsia="Arial" w:hAnsi="Arial"/>
                <w:sz w:val="9"/>
                <w:szCs w:val="9"/>
                <w:color w:val="auto"/>
              </w:rPr>
              <w:t>ranking mortgage</w:t>
            </w:r>
          </w:p>
        </w:tc>
        <w:tc>
          <w:tcPr>
            <w:tcW w:w="4960" w:type="dxa"/>
            <w:vAlign w:val="bottom"/>
            <w:tcBorders>
              <w:right w:val="single" w:sz="8" w:color="A6A6A6"/>
            </w:tcBorders>
          </w:tcPr>
          <w:p>
            <w:pPr>
              <w:spacing w:after="0"/>
              <w:rPr>
                <w:sz w:val="9"/>
                <w:szCs w:val="9"/>
                <w:color w:val="auto"/>
              </w:rPr>
            </w:pPr>
          </w:p>
        </w:tc>
        <w:tc>
          <w:tcPr>
            <w:tcW w:w="760" w:type="dxa"/>
            <w:vAlign w:val="bottom"/>
            <w:tcBorders>
              <w:right w:val="single" w:sz="8" w:color="A6A6A6"/>
            </w:tcBorders>
          </w:tcPr>
          <w:p>
            <w:pPr>
              <w:spacing w:after="0"/>
              <w:rPr>
                <w:sz w:val="9"/>
                <w:szCs w:val="9"/>
                <w:color w:val="auto"/>
              </w:rPr>
            </w:pPr>
          </w:p>
        </w:tc>
        <w:tc>
          <w:tcPr>
            <w:tcW w:w="2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400" w:type="dxa"/>
            <w:vAlign w:val="bottom"/>
            <w:tcBorders>
              <w:right w:val="single" w:sz="8" w:color="A6A6A6"/>
            </w:tcBorders>
          </w:tcPr>
          <w:p>
            <w:pPr>
              <w:spacing w:after="0"/>
              <w:rPr>
                <w:sz w:val="24"/>
                <w:szCs w:val="24"/>
                <w:color w:val="auto"/>
              </w:rPr>
            </w:pPr>
          </w:p>
        </w:tc>
        <w:tc>
          <w:tcPr>
            <w:tcW w:w="260" w:type="dxa"/>
            <w:vAlign w:val="bottom"/>
            <w:tcBorders>
              <w:bottom w:val="single" w:sz="8" w:color="A6A6A6"/>
              <w:right w:val="single" w:sz="8" w:color="A6A6A6"/>
            </w:tcBorders>
          </w:tcPr>
          <w:p>
            <w:pPr>
              <w:spacing w:after="0"/>
              <w:rPr>
                <w:sz w:val="24"/>
                <w:szCs w:val="24"/>
                <w:color w:val="auto"/>
              </w:rPr>
            </w:pPr>
          </w:p>
        </w:tc>
        <w:tc>
          <w:tcPr>
            <w:tcW w:w="20" w:type="dxa"/>
            <w:vAlign w:val="bottom"/>
            <w:tcBorders>
              <w:bottom w:val="single" w:sz="8" w:color="A6A6A6"/>
            </w:tcBorders>
          </w:tcPr>
          <w:p>
            <w:pPr>
              <w:spacing w:after="0"/>
              <w:rPr>
                <w:sz w:val="24"/>
                <w:szCs w:val="24"/>
                <w:color w:val="auto"/>
              </w:rPr>
            </w:pPr>
          </w:p>
        </w:tc>
        <w:tc>
          <w:tcPr>
            <w:tcW w:w="1060" w:type="dxa"/>
            <w:vAlign w:val="bottom"/>
            <w:tcBorders>
              <w:bottom w:val="single" w:sz="8" w:color="A6A6A6"/>
              <w:right w:val="single" w:sz="8" w:color="A6A6A6"/>
            </w:tcBorders>
          </w:tcPr>
          <w:p>
            <w:pPr>
              <w:spacing w:after="0"/>
              <w:rPr>
                <w:sz w:val="24"/>
                <w:szCs w:val="24"/>
                <w:color w:val="auto"/>
              </w:rPr>
            </w:pPr>
          </w:p>
        </w:tc>
        <w:tc>
          <w:tcPr>
            <w:tcW w:w="4960" w:type="dxa"/>
            <w:vAlign w:val="bottom"/>
            <w:tcBorders>
              <w:bottom w:val="single" w:sz="8" w:color="A6A6A6"/>
              <w:right w:val="single" w:sz="8" w:color="A6A6A6"/>
            </w:tcBorders>
          </w:tcPr>
          <w:p>
            <w:pPr>
              <w:spacing w:after="0"/>
              <w:rPr>
                <w:sz w:val="24"/>
                <w:szCs w:val="24"/>
                <w:color w:val="auto"/>
              </w:rPr>
            </w:pPr>
          </w:p>
        </w:tc>
        <w:tc>
          <w:tcPr>
            <w:tcW w:w="760" w:type="dxa"/>
            <w:vAlign w:val="bottom"/>
            <w:tcBorders>
              <w:bottom w:val="single" w:sz="8" w:color="A6A6A6"/>
              <w:right w:val="single" w:sz="8" w:color="A6A6A6"/>
            </w:tcBorders>
          </w:tcPr>
          <w:p>
            <w:pPr>
              <w:spacing w:after="0"/>
              <w:rPr>
                <w:sz w:val="24"/>
                <w:szCs w:val="24"/>
                <w:color w:val="auto"/>
              </w:rPr>
            </w:pPr>
          </w:p>
        </w:tc>
        <w:tc>
          <w:tcPr>
            <w:tcW w:w="2020" w:type="dxa"/>
            <w:vAlign w:val="bottom"/>
            <w:tcBorders>
              <w:bottom w:val="single" w:sz="8" w:color="A6A6A6"/>
            </w:tcBorders>
          </w:tcPr>
          <w:p>
            <w:pPr>
              <w:spacing w:after="0"/>
              <w:rPr>
                <w:sz w:val="24"/>
                <w:szCs w:val="24"/>
                <w:color w:val="auto"/>
              </w:rPr>
            </w:pPr>
          </w:p>
        </w:tc>
        <w:tc>
          <w:tcPr>
            <w:tcW w:w="48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4</w:t>
            </w:r>
          </w:p>
        </w:tc>
        <w:tc>
          <w:tcPr>
            <w:tcW w:w="20" w:type="dxa"/>
            <w:vAlign w:val="bottom"/>
          </w:tcPr>
          <w:p>
            <w:pPr>
              <w:spacing w:after="0"/>
              <w:rPr>
                <w:sz w:val="16"/>
                <w:szCs w:val="16"/>
                <w:color w:val="auto"/>
              </w:rPr>
            </w:pPr>
          </w:p>
        </w:tc>
        <w:tc>
          <w:tcPr>
            <w:tcW w:w="106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First</w:t>
            </w:r>
          </w:p>
        </w:tc>
        <w:tc>
          <w:tcPr>
            <w:tcW w:w="49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Originally granted by Reading Properties Pty Ltd but subsequently assumed by Reading Maitland Pty Ltd</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2500" w:type="dxa"/>
            <w:vAlign w:val="bottom"/>
            <w:gridSpan w:val="2"/>
            <w:vMerge w:val="restart"/>
          </w:tcPr>
          <w:p>
            <w:pPr>
              <w:ind w:left="60"/>
              <w:spacing w:after="0"/>
              <w:rPr>
                <w:sz w:val="20"/>
                <w:szCs w:val="20"/>
                <w:color w:val="auto"/>
              </w:rPr>
            </w:pPr>
            <w:r>
              <w:rPr>
                <w:rFonts w:ascii="Arial" w:cs="Arial" w:eastAsia="Arial" w:hAnsi="Arial"/>
                <w:sz w:val="9"/>
                <w:szCs w:val="9"/>
                <w:color w:val="auto"/>
                <w:w w:val="98"/>
              </w:rPr>
              <w:t>The land and improvements known as Reading Maitland Cine</w:t>
            </w:r>
          </w:p>
        </w:tc>
        <w:tc>
          <w:tcPr>
            <w:tcW w:w="0" w:type="dxa"/>
            <w:vAlign w:val="bottom"/>
          </w:tcPr>
          <w:p>
            <w:pPr>
              <w:spacing w:after="0"/>
              <w:rPr>
                <w:sz w:val="1"/>
                <w:szCs w:val="1"/>
                <w:color w:val="auto"/>
              </w:rPr>
            </w:pPr>
          </w:p>
        </w:tc>
      </w:tr>
      <w:tr>
        <w:trPr>
          <w:trHeight w:val="44"/>
        </w:trPr>
        <w:tc>
          <w:tcPr>
            <w:tcW w:w="400" w:type="dxa"/>
            <w:vAlign w:val="bottom"/>
            <w:tcBorders>
              <w:right w:val="single" w:sz="8" w:color="A6A6A6"/>
            </w:tcBorders>
          </w:tcPr>
          <w:p>
            <w:pPr>
              <w:spacing w:after="0"/>
              <w:rPr>
                <w:sz w:val="3"/>
                <w:szCs w:val="3"/>
                <w:color w:val="auto"/>
              </w:rPr>
            </w:pPr>
          </w:p>
        </w:tc>
        <w:tc>
          <w:tcPr>
            <w:tcW w:w="260" w:type="dxa"/>
            <w:vAlign w:val="bottom"/>
            <w:tcBorders>
              <w:right w:val="single" w:sz="8" w:color="A6A6A6"/>
            </w:tcBorders>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Borders>
              <w:right w:val="single" w:sz="8" w:color="A6A6A6"/>
            </w:tcBorders>
            <w:vMerge w:val="continue"/>
          </w:tcPr>
          <w:p>
            <w:pPr>
              <w:spacing w:after="0"/>
              <w:rPr>
                <w:sz w:val="3"/>
                <w:szCs w:val="3"/>
                <w:color w:val="auto"/>
              </w:rPr>
            </w:pPr>
          </w:p>
        </w:tc>
        <w:tc>
          <w:tcPr>
            <w:tcW w:w="4960" w:type="dxa"/>
            <w:vAlign w:val="bottom"/>
            <w:tcBorders>
              <w:right w:val="single" w:sz="8" w:color="A6A6A6"/>
            </w:tcBorders>
            <w:vMerge w:val="continue"/>
          </w:tcPr>
          <w:p>
            <w:pPr>
              <w:spacing w:after="0"/>
              <w:rPr>
                <w:sz w:val="3"/>
                <w:szCs w:val="3"/>
                <w:color w:val="auto"/>
              </w:rPr>
            </w:pPr>
          </w:p>
        </w:tc>
        <w:tc>
          <w:tcPr>
            <w:tcW w:w="760" w:type="dxa"/>
            <w:vAlign w:val="bottom"/>
            <w:tcBorders>
              <w:right w:val="single" w:sz="8" w:color="A6A6A6"/>
            </w:tcBorders>
            <w:vMerge w:val="continue"/>
          </w:tcPr>
          <w:p>
            <w:pPr>
              <w:spacing w:after="0"/>
              <w:rPr>
                <w:sz w:val="3"/>
                <w:szCs w:val="3"/>
                <w:color w:val="auto"/>
              </w:rPr>
            </w:pPr>
          </w:p>
        </w:tc>
        <w:tc>
          <w:tcPr>
            <w:tcW w:w="25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60" w:type="dxa"/>
            <w:vAlign w:val="bottom"/>
            <w:tcBorders>
              <w:right w:val="single" w:sz="8" w:color="A6A6A6"/>
            </w:tcBorders>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right w:val="single" w:sz="8" w:color="A6A6A6"/>
            </w:tcBorders>
          </w:tcPr>
          <w:p>
            <w:pPr>
              <w:ind w:left="20"/>
              <w:spacing w:after="0"/>
              <w:rPr>
                <w:sz w:val="20"/>
                <w:szCs w:val="20"/>
                <w:color w:val="auto"/>
              </w:rPr>
            </w:pPr>
            <w:r>
              <w:rPr>
                <w:rFonts w:ascii="Arial" w:cs="Arial" w:eastAsia="Arial" w:hAnsi="Arial"/>
                <w:sz w:val="9"/>
                <w:szCs w:val="9"/>
                <w:color w:val="auto"/>
              </w:rPr>
              <w:t>ranking mortgage</w:t>
            </w:r>
          </w:p>
        </w:tc>
        <w:tc>
          <w:tcPr>
            <w:tcW w:w="4960" w:type="dxa"/>
            <w:vAlign w:val="bottom"/>
            <w:tcBorders>
              <w:right w:val="single" w:sz="8" w:color="A6A6A6"/>
            </w:tcBorders>
          </w:tcPr>
          <w:p>
            <w:pPr>
              <w:spacing w:after="0"/>
              <w:rPr>
                <w:sz w:val="9"/>
                <w:szCs w:val="9"/>
                <w:color w:val="auto"/>
              </w:rPr>
            </w:pPr>
          </w:p>
        </w:tc>
        <w:tc>
          <w:tcPr>
            <w:tcW w:w="760" w:type="dxa"/>
            <w:vAlign w:val="bottom"/>
            <w:tcBorders>
              <w:right w:val="single" w:sz="8" w:color="A6A6A6"/>
            </w:tcBorders>
          </w:tcPr>
          <w:p>
            <w:pPr>
              <w:spacing w:after="0"/>
              <w:rPr>
                <w:sz w:val="9"/>
                <w:szCs w:val="9"/>
                <w:color w:val="auto"/>
              </w:rPr>
            </w:pPr>
          </w:p>
        </w:tc>
        <w:tc>
          <w:tcPr>
            <w:tcW w:w="2500" w:type="dxa"/>
            <w:vAlign w:val="bottom"/>
            <w:gridSpan w:val="2"/>
          </w:tcPr>
          <w:p>
            <w:pPr>
              <w:ind w:left="60"/>
              <w:spacing w:after="0"/>
              <w:rPr>
                <w:sz w:val="20"/>
                <w:szCs w:val="20"/>
                <w:color w:val="auto"/>
              </w:rPr>
            </w:pPr>
            <w:r>
              <w:rPr>
                <w:rFonts w:ascii="Arial" w:cs="Arial" w:eastAsia="Arial" w:hAnsi="Arial"/>
                <w:sz w:val="9"/>
                <w:szCs w:val="9"/>
                <w:color w:val="auto"/>
              </w:rPr>
              <w:t>of title 1/SP41681.</w:t>
            </w:r>
          </w:p>
        </w:tc>
        <w:tc>
          <w:tcPr>
            <w:tcW w:w="0" w:type="dxa"/>
            <w:vAlign w:val="bottom"/>
          </w:tcPr>
          <w:p>
            <w:pPr>
              <w:spacing w:after="0"/>
              <w:rPr>
                <w:sz w:val="1"/>
                <w:szCs w:val="1"/>
                <w:color w:val="auto"/>
              </w:rPr>
            </w:pPr>
          </w:p>
        </w:tc>
      </w:tr>
      <w:tr>
        <w:trPr>
          <w:trHeight w:val="529"/>
        </w:trPr>
        <w:tc>
          <w:tcPr>
            <w:tcW w:w="400" w:type="dxa"/>
            <w:vAlign w:val="bottom"/>
            <w:tcBorders>
              <w:right w:val="single" w:sz="8" w:color="A6A6A6"/>
            </w:tcBorders>
          </w:tcPr>
          <w:p>
            <w:pPr>
              <w:spacing w:after="0"/>
              <w:rPr>
                <w:sz w:val="24"/>
                <w:szCs w:val="24"/>
                <w:color w:val="auto"/>
              </w:rPr>
            </w:pPr>
          </w:p>
        </w:tc>
        <w:tc>
          <w:tcPr>
            <w:tcW w:w="260" w:type="dxa"/>
            <w:vAlign w:val="bottom"/>
            <w:tcBorders>
              <w:bottom w:val="single" w:sz="8" w:color="A6A6A6"/>
              <w:right w:val="single" w:sz="8" w:color="A6A6A6"/>
            </w:tcBorders>
          </w:tcPr>
          <w:p>
            <w:pPr>
              <w:spacing w:after="0"/>
              <w:rPr>
                <w:sz w:val="24"/>
                <w:szCs w:val="24"/>
                <w:color w:val="auto"/>
              </w:rPr>
            </w:pPr>
          </w:p>
        </w:tc>
        <w:tc>
          <w:tcPr>
            <w:tcW w:w="20" w:type="dxa"/>
            <w:vAlign w:val="bottom"/>
            <w:tcBorders>
              <w:bottom w:val="single" w:sz="8" w:color="A6A6A6"/>
            </w:tcBorders>
          </w:tcPr>
          <w:p>
            <w:pPr>
              <w:spacing w:after="0"/>
              <w:rPr>
                <w:sz w:val="24"/>
                <w:szCs w:val="24"/>
                <w:color w:val="auto"/>
              </w:rPr>
            </w:pPr>
          </w:p>
        </w:tc>
        <w:tc>
          <w:tcPr>
            <w:tcW w:w="1060" w:type="dxa"/>
            <w:vAlign w:val="bottom"/>
            <w:tcBorders>
              <w:bottom w:val="single" w:sz="8" w:color="A6A6A6"/>
              <w:right w:val="single" w:sz="8" w:color="A6A6A6"/>
            </w:tcBorders>
          </w:tcPr>
          <w:p>
            <w:pPr>
              <w:spacing w:after="0"/>
              <w:rPr>
                <w:sz w:val="24"/>
                <w:szCs w:val="24"/>
                <w:color w:val="auto"/>
              </w:rPr>
            </w:pPr>
          </w:p>
        </w:tc>
        <w:tc>
          <w:tcPr>
            <w:tcW w:w="4960" w:type="dxa"/>
            <w:vAlign w:val="bottom"/>
            <w:tcBorders>
              <w:bottom w:val="single" w:sz="8" w:color="A6A6A6"/>
              <w:right w:val="single" w:sz="8" w:color="A6A6A6"/>
            </w:tcBorders>
          </w:tcPr>
          <w:p>
            <w:pPr>
              <w:spacing w:after="0"/>
              <w:rPr>
                <w:sz w:val="24"/>
                <w:szCs w:val="24"/>
                <w:color w:val="auto"/>
              </w:rPr>
            </w:pPr>
          </w:p>
        </w:tc>
        <w:tc>
          <w:tcPr>
            <w:tcW w:w="760" w:type="dxa"/>
            <w:vAlign w:val="bottom"/>
            <w:tcBorders>
              <w:bottom w:val="single" w:sz="8" w:color="A6A6A6"/>
              <w:right w:val="single" w:sz="8" w:color="A6A6A6"/>
            </w:tcBorders>
          </w:tcPr>
          <w:p>
            <w:pPr>
              <w:spacing w:after="0"/>
              <w:rPr>
                <w:sz w:val="24"/>
                <w:szCs w:val="24"/>
                <w:color w:val="auto"/>
              </w:rPr>
            </w:pPr>
          </w:p>
        </w:tc>
        <w:tc>
          <w:tcPr>
            <w:tcW w:w="2020" w:type="dxa"/>
            <w:vAlign w:val="bottom"/>
            <w:tcBorders>
              <w:bottom w:val="single" w:sz="8" w:color="A6A6A6"/>
            </w:tcBorders>
          </w:tcPr>
          <w:p>
            <w:pPr>
              <w:spacing w:after="0"/>
              <w:rPr>
                <w:sz w:val="24"/>
                <w:szCs w:val="24"/>
                <w:color w:val="auto"/>
              </w:rPr>
            </w:pPr>
          </w:p>
        </w:tc>
        <w:tc>
          <w:tcPr>
            <w:tcW w:w="48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5</w:t>
            </w:r>
          </w:p>
        </w:tc>
        <w:tc>
          <w:tcPr>
            <w:tcW w:w="20" w:type="dxa"/>
            <w:vAlign w:val="bottom"/>
          </w:tcPr>
          <w:p>
            <w:pPr>
              <w:spacing w:after="0"/>
              <w:rPr>
                <w:sz w:val="16"/>
                <w:szCs w:val="16"/>
                <w:color w:val="auto"/>
              </w:rPr>
            </w:pPr>
          </w:p>
        </w:tc>
        <w:tc>
          <w:tcPr>
            <w:tcW w:w="106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First</w:t>
            </w:r>
          </w:p>
        </w:tc>
        <w:tc>
          <w:tcPr>
            <w:tcW w:w="49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Originally granted by Reading Properties Pty Ltd but subsequently assumed by Reading Belmont Pty Ltd</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2500" w:type="dxa"/>
            <w:vAlign w:val="bottom"/>
            <w:gridSpan w:val="2"/>
            <w:vMerge w:val="restart"/>
          </w:tcPr>
          <w:p>
            <w:pPr>
              <w:ind w:left="60"/>
              <w:spacing w:after="0"/>
              <w:rPr>
                <w:sz w:val="20"/>
                <w:szCs w:val="20"/>
                <w:color w:val="auto"/>
              </w:rPr>
            </w:pPr>
            <w:r>
              <w:rPr>
                <w:rFonts w:ascii="Arial" w:cs="Arial" w:eastAsia="Arial" w:hAnsi="Arial"/>
                <w:sz w:val="9"/>
                <w:szCs w:val="9"/>
                <w:color w:val="auto"/>
              </w:rPr>
              <w:t>The</w:t>
            </w:r>
          </w:p>
        </w:tc>
        <w:tc>
          <w:tcPr>
            <w:tcW w:w="0" w:type="dxa"/>
            <w:vAlign w:val="bottom"/>
          </w:tcPr>
          <w:p>
            <w:pPr>
              <w:spacing w:after="0"/>
              <w:rPr>
                <w:sz w:val="1"/>
                <w:szCs w:val="1"/>
                <w:color w:val="auto"/>
              </w:rPr>
            </w:pPr>
          </w:p>
        </w:tc>
      </w:tr>
      <w:tr>
        <w:trPr>
          <w:trHeight w:val="44"/>
        </w:trPr>
        <w:tc>
          <w:tcPr>
            <w:tcW w:w="400" w:type="dxa"/>
            <w:vAlign w:val="bottom"/>
            <w:tcBorders>
              <w:right w:val="single" w:sz="8" w:color="A6A6A6"/>
            </w:tcBorders>
          </w:tcPr>
          <w:p>
            <w:pPr>
              <w:spacing w:after="0"/>
              <w:rPr>
                <w:sz w:val="3"/>
                <w:szCs w:val="3"/>
                <w:color w:val="auto"/>
              </w:rPr>
            </w:pPr>
          </w:p>
        </w:tc>
        <w:tc>
          <w:tcPr>
            <w:tcW w:w="260" w:type="dxa"/>
            <w:vAlign w:val="bottom"/>
            <w:tcBorders>
              <w:right w:val="single" w:sz="8" w:color="A6A6A6"/>
            </w:tcBorders>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Borders>
              <w:right w:val="single" w:sz="8" w:color="A6A6A6"/>
            </w:tcBorders>
            <w:vMerge w:val="continue"/>
          </w:tcPr>
          <w:p>
            <w:pPr>
              <w:spacing w:after="0"/>
              <w:rPr>
                <w:sz w:val="3"/>
                <w:szCs w:val="3"/>
                <w:color w:val="auto"/>
              </w:rPr>
            </w:pPr>
          </w:p>
        </w:tc>
        <w:tc>
          <w:tcPr>
            <w:tcW w:w="4960" w:type="dxa"/>
            <w:vAlign w:val="bottom"/>
            <w:tcBorders>
              <w:right w:val="single" w:sz="8" w:color="A6A6A6"/>
            </w:tcBorders>
            <w:vMerge w:val="continue"/>
          </w:tcPr>
          <w:p>
            <w:pPr>
              <w:spacing w:after="0"/>
              <w:rPr>
                <w:sz w:val="3"/>
                <w:szCs w:val="3"/>
                <w:color w:val="auto"/>
              </w:rPr>
            </w:pPr>
          </w:p>
        </w:tc>
        <w:tc>
          <w:tcPr>
            <w:tcW w:w="760" w:type="dxa"/>
            <w:vAlign w:val="bottom"/>
            <w:tcBorders>
              <w:right w:val="single" w:sz="8" w:color="A6A6A6"/>
            </w:tcBorders>
            <w:vMerge w:val="continue"/>
          </w:tcPr>
          <w:p>
            <w:pPr>
              <w:spacing w:after="0"/>
              <w:rPr>
                <w:sz w:val="3"/>
                <w:szCs w:val="3"/>
                <w:color w:val="auto"/>
              </w:rPr>
            </w:pPr>
          </w:p>
        </w:tc>
        <w:tc>
          <w:tcPr>
            <w:tcW w:w="25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60" w:type="dxa"/>
            <w:vAlign w:val="bottom"/>
            <w:tcBorders>
              <w:right w:val="single" w:sz="8" w:color="A6A6A6"/>
            </w:tcBorders>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right w:val="single" w:sz="8" w:color="A6A6A6"/>
            </w:tcBorders>
          </w:tcPr>
          <w:p>
            <w:pPr>
              <w:ind w:left="20"/>
              <w:spacing w:after="0"/>
              <w:rPr>
                <w:sz w:val="20"/>
                <w:szCs w:val="20"/>
                <w:color w:val="auto"/>
              </w:rPr>
            </w:pPr>
            <w:r>
              <w:rPr>
                <w:rFonts w:ascii="Arial" w:cs="Arial" w:eastAsia="Arial" w:hAnsi="Arial"/>
                <w:sz w:val="9"/>
                <w:szCs w:val="9"/>
                <w:color w:val="auto"/>
              </w:rPr>
              <w:t>ranking mortgage</w:t>
            </w:r>
          </w:p>
        </w:tc>
        <w:tc>
          <w:tcPr>
            <w:tcW w:w="4960" w:type="dxa"/>
            <w:vAlign w:val="bottom"/>
            <w:tcBorders>
              <w:right w:val="single" w:sz="8" w:color="A6A6A6"/>
            </w:tcBorders>
          </w:tcPr>
          <w:p>
            <w:pPr>
              <w:spacing w:after="0"/>
              <w:rPr>
                <w:sz w:val="9"/>
                <w:szCs w:val="9"/>
                <w:color w:val="auto"/>
              </w:rPr>
            </w:pPr>
          </w:p>
        </w:tc>
        <w:tc>
          <w:tcPr>
            <w:tcW w:w="760" w:type="dxa"/>
            <w:vAlign w:val="bottom"/>
            <w:tcBorders>
              <w:right w:val="single" w:sz="8" w:color="A6A6A6"/>
            </w:tcBorders>
          </w:tcPr>
          <w:p>
            <w:pPr>
              <w:spacing w:after="0"/>
              <w:rPr>
                <w:sz w:val="9"/>
                <w:szCs w:val="9"/>
                <w:color w:val="auto"/>
              </w:rPr>
            </w:pPr>
          </w:p>
        </w:tc>
        <w:tc>
          <w:tcPr>
            <w:tcW w:w="2500" w:type="dxa"/>
            <w:vAlign w:val="bottom"/>
            <w:gridSpan w:val="2"/>
          </w:tcPr>
          <w:p>
            <w:pPr>
              <w:ind w:left="60"/>
              <w:spacing w:after="0"/>
              <w:rPr>
                <w:sz w:val="20"/>
                <w:szCs w:val="20"/>
                <w:color w:val="auto"/>
              </w:rPr>
            </w:pPr>
            <w:r>
              <w:rPr>
                <w:rFonts w:ascii="Arial" w:cs="Arial" w:eastAsia="Arial" w:hAnsi="Arial"/>
                <w:sz w:val="9"/>
                <w:szCs w:val="9"/>
                <w:color w:val="auto"/>
                <w:w w:val="97"/>
              </w:rPr>
              <w:t>land and improvements known as Reading Cloverdale Cinema</w:t>
            </w: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60" w:type="dxa"/>
            <w:vAlign w:val="bottom"/>
            <w:tcBorders>
              <w:right w:val="single" w:sz="8" w:color="A6A6A6"/>
            </w:tcBorders>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right w:val="single" w:sz="8" w:color="A6A6A6"/>
            </w:tcBorders>
          </w:tcPr>
          <w:p>
            <w:pPr>
              <w:spacing w:after="0"/>
              <w:rPr>
                <w:sz w:val="9"/>
                <w:szCs w:val="9"/>
                <w:color w:val="auto"/>
              </w:rPr>
            </w:pPr>
          </w:p>
        </w:tc>
        <w:tc>
          <w:tcPr>
            <w:tcW w:w="4960" w:type="dxa"/>
            <w:vAlign w:val="bottom"/>
            <w:tcBorders>
              <w:right w:val="single" w:sz="8" w:color="A6A6A6"/>
            </w:tcBorders>
          </w:tcPr>
          <w:p>
            <w:pPr>
              <w:spacing w:after="0"/>
              <w:rPr>
                <w:sz w:val="9"/>
                <w:szCs w:val="9"/>
                <w:color w:val="auto"/>
              </w:rPr>
            </w:pPr>
          </w:p>
        </w:tc>
        <w:tc>
          <w:tcPr>
            <w:tcW w:w="760" w:type="dxa"/>
            <w:vAlign w:val="bottom"/>
            <w:tcBorders>
              <w:right w:val="single" w:sz="8" w:color="A6A6A6"/>
            </w:tcBorders>
          </w:tcPr>
          <w:p>
            <w:pPr>
              <w:spacing w:after="0"/>
              <w:rPr>
                <w:sz w:val="9"/>
                <w:szCs w:val="9"/>
                <w:color w:val="auto"/>
              </w:rPr>
            </w:pPr>
          </w:p>
        </w:tc>
        <w:tc>
          <w:tcPr>
            <w:tcW w:w="2500" w:type="dxa"/>
            <w:vAlign w:val="bottom"/>
            <w:gridSpan w:val="2"/>
          </w:tcPr>
          <w:p>
            <w:pPr>
              <w:ind w:left="60"/>
              <w:spacing w:after="0"/>
              <w:rPr>
                <w:sz w:val="20"/>
                <w:szCs w:val="20"/>
                <w:color w:val="auto"/>
              </w:rPr>
            </w:pPr>
            <w:r>
              <w:rPr>
                <w:rFonts w:ascii="Arial" w:cs="Arial" w:eastAsia="Arial" w:hAnsi="Arial"/>
                <w:sz w:val="9"/>
                <w:szCs w:val="9"/>
                <w:color w:val="auto"/>
              </w:rPr>
              <w:t>of title volume 2189 folio 801.</w:t>
            </w:r>
          </w:p>
        </w:tc>
        <w:tc>
          <w:tcPr>
            <w:tcW w:w="0" w:type="dxa"/>
            <w:vAlign w:val="bottom"/>
          </w:tcPr>
          <w:p>
            <w:pPr>
              <w:spacing w:after="0"/>
              <w:rPr>
                <w:sz w:val="1"/>
                <w:szCs w:val="1"/>
                <w:color w:val="auto"/>
              </w:rPr>
            </w:pPr>
          </w:p>
        </w:tc>
      </w:tr>
      <w:tr>
        <w:trPr>
          <w:trHeight w:val="417"/>
        </w:trPr>
        <w:tc>
          <w:tcPr>
            <w:tcW w:w="400" w:type="dxa"/>
            <w:vAlign w:val="bottom"/>
            <w:tcBorders>
              <w:right w:val="single" w:sz="8" w:color="A6A6A6"/>
            </w:tcBorders>
          </w:tcPr>
          <w:p>
            <w:pPr>
              <w:spacing w:after="0"/>
              <w:rPr>
                <w:sz w:val="24"/>
                <w:szCs w:val="24"/>
                <w:color w:val="auto"/>
              </w:rPr>
            </w:pPr>
          </w:p>
        </w:tc>
        <w:tc>
          <w:tcPr>
            <w:tcW w:w="260" w:type="dxa"/>
            <w:vAlign w:val="bottom"/>
            <w:tcBorders>
              <w:bottom w:val="single" w:sz="8" w:color="A6A6A6"/>
              <w:right w:val="single" w:sz="8" w:color="A6A6A6"/>
            </w:tcBorders>
          </w:tcPr>
          <w:p>
            <w:pPr>
              <w:spacing w:after="0"/>
              <w:rPr>
                <w:sz w:val="24"/>
                <w:szCs w:val="24"/>
                <w:color w:val="auto"/>
              </w:rPr>
            </w:pPr>
          </w:p>
        </w:tc>
        <w:tc>
          <w:tcPr>
            <w:tcW w:w="20" w:type="dxa"/>
            <w:vAlign w:val="bottom"/>
            <w:tcBorders>
              <w:bottom w:val="single" w:sz="8" w:color="A6A6A6"/>
            </w:tcBorders>
          </w:tcPr>
          <w:p>
            <w:pPr>
              <w:spacing w:after="0"/>
              <w:rPr>
                <w:sz w:val="24"/>
                <w:szCs w:val="24"/>
                <w:color w:val="auto"/>
              </w:rPr>
            </w:pPr>
          </w:p>
        </w:tc>
        <w:tc>
          <w:tcPr>
            <w:tcW w:w="1060" w:type="dxa"/>
            <w:vAlign w:val="bottom"/>
            <w:tcBorders>
              <w:bottom w:val="single" w:sz="8" w:color="A6A6A6"/>
              <w:right w:val="single" w:sz="8" w:color="A6A6A6"/>
            </w:tcBorders>
          </w:tcPr>
          <w:p>
            <w:pPr>
              <w:spacing w:after="0"/>
              <w:rPr>
                <w:sz w:val="24"/>
                <w:szCs w:val="24"/>
                <w:color w:val="auto"/>
              </w:rPr>
            </w:pPr>
          </w:p>
        </w:tc>
        <w:tc>
          <w:tcPr>
            <w:tcW w:w="4960" w:type="dxa"/>
            <w:vAlign w:val="bottom"/>
            <w:tcBorders>
              <w:bottom w:val="single" w:sz="8" w:color="A6A6A6"/>
              <w:right w:val="single" w:sz="8" w:color="A6A6A6"/>
            </w:tcBorders>
          </w:tcPr>
          <w:p>
            <w:pPr>
              <w:spacing w:after="0"/>
              <w:rPr>
                <w:sz w:val="24"/>
                <w:szCs w:val="24"/>
                <w:color w:val="auto"/>
              </w:rPr>
            </w:pPr>
          </w:p>
        </w:tc>
        <w:tc>
          <w:tcPr>
            <w:tcW w:w="760" w:type="dxa"/>
            <w:vAlign w:val="bottom"/>
            <w:tcBorders>
              <w:bottom w:val="single" w:sz="8" w:color="A6A6A6"/>
              <w:right w:val="single" w:sz="8" w:color="A6A6A6"/>
            </w:tcBorders>
          </w:tcPr>
          <w:p>
            <w:pPr>
              <w:spacing w:after="0"/>
              <w:rPr>
                <w:sz w:val="24"/>
                <w:szCs w:val="24"/>
                <w:color w:val="auto"/>
              </w:rPr>
            </w:pPr>
          </w:p>
        </w:tc>
        <w:tc>
          <w:tcPr>
            <w:tcW w:w="2020" w:type="dxa"/>
            <w:vAlign w:val="bottom"/>
            <w:tcBorders>
              <w:bottom w:val="single" w:sz="8" w:color="A6A6A6"/>
            </w:tcBorders>
          </w:tcPr>
          <w:p>
            <w:pPr>
              <w:spacing w:after="0"/>
              <w:rPr>
                <w:sz w:val="24"/>
                <w:szCs w:val="24"/>
                <w:color w:val="auto"/>
              </w:rPr>
            </w:pPr>
          </w:p>
        </w:tc>
        <w:tc>
          <w:tcPr>
            <w:tcW w:w="48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6</w:t>
            </w:r>
          </w:p>
        </w:tc>
        <w:tc>
          <w:tcPr>
            <w:tcW w:w="20" w:type="dxa"/>
            <w:vAlign w:val="bottom"/>
          </w:tcPr>
          <w:p>
            <w:pPr>
              <w:spacing w:after="0"/>
              <w:rPr>
                <w:sz w:val="16"/>
                <w:szCs w:val="16"/>
                <w:color w:val="auto"/>
              </w:rPr>
            </w:pPr>
          </w:p>
        </w:tc>
        <w:tc>
          <w:tcPr>
            <w:tcW w:w="106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First</w:t>
            </w:r>
          </w:p>
        </w:tc>
        <w:tc>
          <w:tcPr>
            <w:tcW w:w="49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Originally granted</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2500" w:type="dxa"/>
            <w:vAlign w:val="bottom"/>
            <w:gridSpan w:val="2"/>
            <w:vMerge w:val="restart"/>
          </w:tcPr>
          <w:p>
            <w:pPr>
              <w:ind w:left="60"/>
              <w:spacing w:after="0"/>
              <w:rPr>
                <w:sz w:val="20"/>
                <w:szCs w:val="20"/>
                <w:color w:val="auto"/>
              </w:rPr>
            </w:pPr>
            <w:r>
              <w:rPr>
                <w:rFonts w:ascii="Arial" w:cs="Arial" w:eastAsia="Arial" w:hAnsi="Arial"/>
                <w:sz w:val="9"/>
                <w:szCs w:val="9"/>
                <w:color w:val="auto"/>
                <w:w w:val="98"/>
              </w:rPr>
              <w:t>The land and improvements known as Reading Bundaberg Ci</w:t>
            </w:r>
          </w:p>
        </w:tc>
        <w:tc>
          <w:tcPr>
            <w:tcW w:w="0" w:type="dxa"/>
            <w:vAlign w:val="bottom"/>
          </w:tcPr>
          <w:p>
            <w:pPr>
              <w:spacing w:after="0"/>
              <w:rPr>
                <w:sz w:val="1"/>
                <w:szCs w:val="1"/>
                <w:color w:val="auto"/>
              </w:rPr>
            </w:pPr>
          </w:p>
        </w:tc>
      </w:tr>
      <w:tr>
        <w:trPr>
          <w:trHeight w:val="44"/>
        </w:trPr>
        <w:tc>
          <w:tcPr>
            <w:tcW w:w="400" w:type="dxa"/>
            <w:vAlign w:val="bottom"/>
            <w:tcBorders>
              <w:right w:val="single" w:sz="8" w:color="A6A6A6"/>
            </w:tcBorders>
          </w:tcPr>
          <w:p>
            <w:pPr>
              <w:spacing w:after="0"/>
              <w:rPr>
                <w:sz w:val="3"/>
                <w:szCs w:val="3"/>
                <w:color w:val="auto"/>
              </w:rPr>
            </w:pPr>
          </w:p>
        </w:tc>
        <w:tc>
          <w:tcPr>
            <w:tcW w:w="260" w:type="dxa"/>
            <w:vAlign w:val="bottom"/>
            <w:tcBorders>
              <w:right w:val="single" w:sz="8" w:color="A6A6A6"/>
            </w:tcBorders>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Borders>
              <w:right w:val="single" w:sz="8" w:color="A6A6A6"/>
            </w:tcBorders>
            <w:vMerge w:val="continue"/>
          </w:tcPr>
          <w:p>
            <w:pPr>
              <w:spacing w:after="0"/>
              <w:rPr>
                <w:sz w:val="3"/>
                <w:szCs w:val="3"/>
                <w:color w:val="auto"/>
              </w:rPr>
            </w:pPr>
          </w:p>
        </w:tc>
        <w:tc>
          <w:tcPr>
            <w:tcW w:w="4960" w:type="dxa"/>
            <w:vAlign w:val="bottom"/>
            <w:tcBorders>
              <w:right w:val="single" w:sz="8" w:color="A6A6A6"/>
            </w:tcBorders>
            <w:vMerge w:val="continue"/>
          </w:tcPr>
          <w:p>
            <w:pPr>
              <w:spacing w:after="0"/>
              <w:rPr>
                <w:sz w:val="3"/>
                <w:szCs w:val="3"/>
                <w:color w:val="auto"/>
              </w:rPr>
            </w:pPr>
          </w:p>
        </w:tc>
        <w:tc>
          <w:tcPr>
            <w:tcW w:w="760" w:type="dxa"/>
            <w:vAlign w:val="bottom"/>
            <w:tcBorders>
              <w:right w:val="single" w:sz="8" w:color="A6A6A6"/>
            </w:tcBorders>
            <w:vMerge w:val="continue"/>
          </w:tcPr>
          <w:p>
            <w:pPr>
              <w:spacing w:after="0"/>
              <w:rPr>
                <w:sz w:val="3"/>
                <w:szCs w:val="3"/>
                <w:color w:val="auto"/>
              </w:rPr>
            </w:pPr>
          </w:p>
        </w:tc>
        <w:tc>
          <w:tcPr>
            <w:tcW w:w="25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60" w:type="dxa"/>
            <w:vAlign w:val="bottom"/>
            <w:tcBorders>
              <w:right w:val="single" w:sz="8" w:color="A6A6A6"/>
            </w:tcBorders>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right w:val="single" w:sz="8" w:color="A6A6A6"/>
            </w:tcBorders>
          </w:tcPr>
          <w:p>
            <w:pPr>
              <w:ind w:left="20"/>
              <w:spacing w:after="0"/>
              <w:rPr>
                <w:sz w:val="20"/>
                <w:szCs w:val="20"/>
                <w:color w:val="auto"/>
              </w:rPr>
            </w:pPr>
            <w:r>
              <w:rPr>
                <w:rFonts w:ascii="Arial" w:cs="Arial" w:eastAsia="Arial" w:hAnsi="Arial"/>
                <w:sz w:val="9"/>
                <w:szCs w:val="9"/>
                <w:color w:val="auto"/>
              </w:rPr>
              <w:t>ranking mortgage</w:t>
            </w:r>
          </w:p>
        </w:tc>
        <w:tc>
          <w:tcPr>
            <w:tcW w:w="49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by Reading Properties Pty Ltd but subsequently assumed by Reading Bundaberg 2012 Pty Ltd (formerly Reading Moonee</w:t>
            </w:r>
          </w:p>
        </w:tc>
        <w:tc>
          <w:tcPr>
            <w:tcW w:w="760" w:type="dxa"/>
            <w:vAlign w:val="bottom"/>
            <w:tcBorders>
              <w:right w:val="single" w:sz="8" w:color="A6A6A6"/>
            </w:tcBorders>
          </w:tcPr>
          <w:p>
            <w:pPr>
              <w:spacing w:after="0"/>
              <w:rPr>
                <w:sz w:val="9"/>
                <w:szCs w:val="9"/>
                <w:color w:val="auto"/>
              </w:rPr>
            </w:pPr>
          </w:p>
        </w:tc>
        <w:tc>
          <w:tcPr>
            <w:tcW w:w="2500" w:type="dxa"/>
            <w:vAlign w:val="bottom"/>
            <w:gridSpan w:val="2"/>
          </w:tcPr>
          <w:p>
            <w:pPr>
              <w:ind w:left="80"/>
              <w:spacing w:after="0"/>
              <w:rPr>
                <w:sz w:val="20"/>
                <w:szCs w:val="20"/>
                <w:color w:val="auto"/>
              </w:rPr>
            </w:pPr>
            <w:r>
              <w:rPr>
                <w:rFonts w:ascii="Arial" w:cs="Arial" w:eastAsia="Arial" w:hAnsi="Arial"/>
                <w:sz w:val="9"/>
                <w:szCs w:val="9"/>
                <w:color w:val="auto"/>
                <w:w w:val="98"/>
              </w:rPr>
              <w:t>1 Johanna Boulevard, Kensington, Queensland and describe</w:t>
            </w: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60" w:type="dxa"/>
            <w:vAlign w:val="bottom"/>
            <w:tcBorders>
              <w:right w:val="single" w:sz="8" w:color="A6A6A6"/>
            </w:tcBorders>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right w:val="single" w:sz="8" w:color="A6A6A6"/>
            </w:tcBorders>
          </w:tcPr>
          <w:p>
            <w:pPr>
              <w:spacing w:after="0"/>
              <w:rPr>
                <w:sz w:val="9"/>
                <w:szCs w:val="9"/>
                <w:color w:val="auto"/>
              </w:rPr>
            </w:pPr>
          </w:p>
        </w:tc>
        <w:tc>
          <w:tcPr>
            <w:tcW w:w="49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Ponds Pty Ltd)</w:t>
            </w:r>
          </w:p>
        </w:tc>
        <w:tc>
          <w:tcPr>
            <w:tcW w:w="760" w:type="dxa"/>
            <w:vAlign w:val="bottom"/>
            <w:tcBorders>
              <w:right w:val="single" w:sz="8" w:color="A6A6A6"/>
            </w:tcBorders>
          </w:tcPr>
          <w:p>
            <w:pPr>
              <w:spacing w:after="0"/>
              <w:rPr>
                <w:sz w:val="9"/>
                <w:szCs w:val="9"/>
                <w:color w:val="auto"/>
              </w:rPr>
            </w:pPr>
          </w:p>
        </w:tc>
        <w:tc>
          <w:tcPr>
            <w:tcW w:w="2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9"/>
        </w:trPr>
        <w:tc>
          <w:tcPr>
            <w:tcW w:w="400" w:type="dxa"/>
            <w:vAlign w:val="bottom"/>
            <w:tcBorders>
              <w:right w:val="single" w:sz="8" w:color="A6A6A6"/>
            </w:tcBorders>
          </w:tcPr>
          <w:p>
            <w:pPr>
              <w:spacing w:after="0"/>
              <w:rPr>
                <w:sz w:val="24"/>
                <w:szCs w:val="24"/>
                <w:color w:val="auto"/>
              </w:rPr>
            </w:pPr>
          </w:p>
        </w:tc>
        <w:tc>
          <w:tcPr>
            <w:tcW w:w="260" w:type="dxa"/>
            <w:vAlign w:val="bottom"/>
            <w:tcBorders>
              <w:bottom w:val="single" w:sz="8" w:color="A6A6A6"/>
              <w:right w:val="single" w:sz="8" w:color="A6A6A6"/>
            </w:tcBorders>
          </w:tcPr>
          <w:p>
            <w:pPr>
              <w:spacing w:after="0"/>
              <w:rPr>
                <w:sz w:val="24"/>
                <w:szCs w:val="24"/>
                <w:color w:val="auto"/>
              </w:rPr>
            </w:pPr>
          </w:p>
        </w:tc>
        <w:tc>
          <w:tcPr>
            <w:tcW w:w="1080" w:type="dxa"/>
            <w:vAlign w:val="bottom"/>
            <w:tcBorders>
              <w:bottom w:val="single" w:sz="8" w:color="A6A6A6"/>
              <w:right w:val="single" w:sz="8" w:color="A6A6A6"/>
            </w:tcBorders>
            <w:gridSpan w:val="2"/>
          </w:tcPr>
          <w:p>
            <w:pPr>
              <w:spacing w:after="0"/>
              <w:rPr>
                <w:sz w:val="24"/>
                <w:szCs w:val="24"/>
                <w:color w:val="auto"/>
              </w:rPr>
            </w:pPr>
          </w:p>
        </w:tc>
        <w:tc>
          <w:tcPr>
            <w:tcW w:w="4960" w:type="dxa"/>
            <w:vAlign w:val="bottom"/>
            <w:tcBorders>
              <w:bottom w:val="single" w:sz="8" w:color="A6A6A6"/>
              <w:right w:val="single" w:sz="8" w:color="A6A6A6"/>
            </w:tcBorders>
          </w:tcPr>
          <w:p>
            <w:pPr>
              <w:spacing w:after="0"/>
              <w:rPr>
                <w:sz w:val="24"/>
                <w:szCs w:val="24"/>
                <w:color w:val="auto"/>
              </w:rPr>
            </w:pPr>
          </w:p>
        </w:tc>
        <w:tc>
          <w:tcPr>
            <w:tcW w:w="760" w:type="dxa"/>
            <w:vAlign w:val="bottom"/>
            <w:tcBorders>
              <w:bottom w:val="single" w:sz="8" w:color="A6A6A6"/>
              <w:right w:val="single" w:sz="8" w:color="A6A6A6"/>
            </w:tcBorders>
          </w:tcPr>
          <w:p>
            <w:pPr>
              <w:spacing w:after="0"/>
              <w:rPr>
                <w:sz w:val="24"/>
                <w:szCs w:val="24"/>
                <w:color w:val="auto"/>
              </w:rPr>
            </w:pPr>
          </w:p>
        </w:tc>
        <w:tc>
          <w:tcPr>
            <w:tcW w:w="2020" w:type="dxa"/>
            <w:vAlign w:val="bottom"/>
            <w:tcBorders>
              <w:bottom w:val="single" w:sz="8" w:color="A6A6A6"/>
            </w:tcBorders>
          </w:tcPr>
          <w:p>
            <w:pPr>
              <w:spacing w:after="0"/>
              <w:rPr>
                <w:sz w:val="24"/>
                <w:szCs w:val="24"/>
                <w:color w:val="auto"/>
              </w:rPr>
            </w:pPr>
          </w:p>
        </w:tc>
        <w:tc>
          <w:tcPr>
            <w:tcW w:w="48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680" w:type="dxa"/>
            <w:vAlign w:val="bottom"/>
            <w:tcBorders>
              <w:bottom w:val="single" w:sz="8" w:color="8BD8FF"/>
            </w:tcBorders>
            <w:gridSpan w:val="3"/>
          </w:tcPr>
          <w:p>
            <w:pPr>
              <w:spacing w:after="0"/>
              <w:rPr>
                <w:sz w:val="20"/>
                <w:szCs w:val="20"/>
                <w:color w:val="auto"/>
              </w:rPr>
            </w:pPr>
            <w:r>
              <w:rPr>
                <w:rFonts w:ascii="Arial" w:cs="Arial" w:eastAsia="Arial" w:hAnsi="Arial"/>
                <w:sz w:val="8"/>
                <w:szCs w:val="8"/>
                <w:color w:val="8BD8FF"/>
                <w:w w:val="98"/>
              </w:rPr>
              <w:t>3468-7174-2245v7</w:t>
            </w:r>
          </w:p>
        </w:tc>
        <w:tc>
          <w:tcPr>
            <w:tcW w:w="106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gridSpan w:val="2"/>
          </w:tcPr>
          <w:p>
            <w:pPr>
              <w:ind w:left="1720"/>
              <w:spacing w:after="0"/>
              <w:rPr>
                <w:sz w:val="20"/>
                <w:szCs w:val="20"/>
                <w:color w:val="auto"/>
              </w:rPr>
            </w:pPr>
            <w:r>
              <w:rPr>
                <w:rFonts w:ascii="Arial" w:cs="Arial" w:eastAsia="Arial" w:hAnsi="Arial"/>
                <w:sz w:val="8"/>
                <w:szCs w:val="8"/>
                <w:color w:val="auto"/>
              </w:rPr>
              <w:t>page 82</w:t>
            </w:r>
          </w:p>
        </w:tc>
        <w:tc>
          <w:tcPr>
            <w:tcW w:w="0" w:type="dxa"/>
            <w:vAlign w:val="bottom"/>
          </w:tcPr>
          <w:p>
            <w:pPr>
              <w:spacing w:after="0"/>
              <w:rPr>
                <w:sz w:val="1"/>
                <w:szCs w:val="1"/>
                <w:color w:val="auto"/>
              </w:rPr>
            </w:pPr>
          </w:p>
        </w:tc>
      </w:tr>
      <w:tr>
        <w:trPr>
          <w:trHeight w:val="94"/>
        </w:trPr>
        <w:tc>
          <w:tcPr>
            <w:tcW w:w="680" w:type="dxa"/>
            <w:vAlign w:val="bottom"/>
            <w:gridSpan w:val="3"/>
          </w:tcPr>
          <w:p>
            <w:pPr>
              <w:spacing w:after="0"/>
              <w:rPr>
                <w:sz w:val="20"/>
                <w:szCs w:val="20"/>
                <w:color w:val="auto"/>
              </w:rPr>
            </w:pPr>
            <w:r>
              <w:rPr>
                <w:rFonts w:ascii="Arial" w:cs="Arial" w:eastAsia="Arial" w:hAnsi="Arial"/>
                <w:sz w:val="8"/>
                <w:szCs w:val="8"/>
                <w:color w:val="auto"/>
                <w:w w:val="99"/>
              </w:rPr>
              <w:t>Facility Agreement</w:t>
            </w:r>
          </w:p>
        </w:tc>
        <w:tc>
          <w:tcPr>
            <w:tcW w:w="1060" w:type="dxa"/>
            <w:vAlign w:val="bottom"/>
          </w:tcPr>
          <w:p>
            <w:pPr>
              <w:spacing w:after="0"/>
              <w:rPr>
                <w:sz w:val="8"/>
                <w:szCs w:val="8"/>
                <w:color w:val="auto"/>
              </w:rPr>
            </w:pPr>
          </w:p>
        </w:tc>
        <w:tc>
          <w:tcPr>
            <w:tcW w:w="4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0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4960" w:type="dxa"/>
            <w:vAlign w:val="bottom"/>
            <w:tcBorders>
              <w:bottom w:val="single" w:sz="8" w:color="EEEEEE"/>
            </w:tcBorders>
          </w:tcPr>
          <w:p>
            <w:pPr>
              <w:spacing w:after="0"/>
              <w:rPr>
                <w:sz w:val="18"/>
                <w:szCs w:val="18"/>
                <w:color w:val="auto"/>
              </w:rPr>
            </w:pPr>
          </w:p>
        </w:tc>
        <w:tc>
          <w:tcPr>
            <w:tcW w:w="760" w:type="dxa"/>
            <w:vAlign w:val="bottom"/>
            <w:tcBorders>
              <w:bottom w:val="single" w:sz="8" w:color="EEEEEE"/>
            </w:tcBorders>
          </w:tcPr>
          <w:p>
            <w:pPr>
              <w:spacing w:after="0"/>
              <w:rPr>
                <w:sz w:val="18"/>
                <w:szCs w:val="18"/>
                <w:color w:val="auto"/>
              </w:rPr>
            </w:pPr>
          </w:p>
        </w:tc>
        <w:tc>
          <w:tcPr>
            <w:tcW w:w="2020" w:type="dxa"/>
            <w:vAlign w:val="bottom"/>
            <w:tcBorders>
              <w:bottom w:val="single" w:sz="8" w:color="EEEEEE"/>
            </w:tcBorders>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960"/>
          </w:cols>
          <w:pgMar w:left="1360" w:top="807" w:right="580"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16"/>
        </w:trPr>
        <w:tc>
          <w:tcPr>
            <w:tcW w:w="400" w:type="dxa"/>
            <w:vAlign w:val="bottom"/>
            <w:tcBorders>
              <w:right w:val="single" w:sz="8" w:color="A6A6A6"/>
            </w:tcBorders>
          </w:tcPr>
          <w:p>
            <w:pPr>
              <w:spacing w:after="0"/>
              <w:rPr>
                <w:sz w:val="18"/>
                <w:szCs w:val="18"/>
                <w:color w:val="auto"/>
              </w:rPr>
            </w:pPr>
          </w:p>
        </w:tc>
        <w:tc>
          <w:tcPr>
            <w:tcW w:w="260" w:type="dxa"/>
            <w:vAlign w:val="bottom"/>
            <w:tcBorders>
              <w:top w:val="single" w:sz="8" w:color="12395C"/>
              <w:right w:val="single" w:sz="8" w:color="A6A6A6"/>
            </w:tcBorders>
            <w:shd w:val="clear" w:color="auto" w:fill="12395C"/>
          </w:tcPr>
          <w:p>
            <w:pPr>
              <w:ind w:left="40"/>
              <w:spacing w:after="0"/>
              <w:rPr>
                <w:sz w:val="20"/>
                <w:szCs w:val="20"/>
                <w:color w:val="auto"/>
              </w:rPr>
            </w:pPr>
            <w:r>
              <w:rPr>
                <w:rFonts w:ascii="Arial" w:cs="Arial" w:eastAsia="Arial" w:hAnsi="Arial"/>
                <w:sz w:val="10"/>
                <w:szCs w:val="10"/>
                <w:b w:val="1"/>
                <w:bCs w:val="1"/>
                <w:color w:val="FFFFFF"/>
                <w:w w:val="87"/>
              </w:rPr>
              <w:t>Item</w:t>
            </w:r>
          </w:p>
        </w:tc>
        <w:tc>
          <w:tcPr>
            <w:tcW w:w="1280" w:type="dxa"/>
            <w:vAlign w:val="bottom"/>
            <w:tcBorders>
              <w:top w:val="single" w:sz="8" w:color="12395C"/>
              <w:right w:val="single" w:sz="8" w:color="A6A6A6"/>
            </w:tcBorders>
            <w:gridSpan w:val="2"/>
            <w:shd w:val="clear" w:color="auto" w:fill="12395C"/>
          </w:tcPr>
          <w:p>
            <w:pPr>
              <w:ind w:left="40"/>
              <w:spacing w:after="0"/>
              <w:rPr>
                <w:sz w:val="20"/>
                <w:szCs w:val="20"/>
                <w:color w:val="auto"/>
              </w:rPr>
            </w:pPr>
            <w:r>
              <w:rPr>
                <w:rFonts w:ascii="Arial" w:cs="Arial" w:eastAsia="Arial" w:hAnsi="Arial"/>
                <w:sz w:val="10"/>
                <w:szCs w:val="10"/>
                <w:b w:val="1"/>
                <w:bCs w:val="1"/>
                <w:color w:val="FFFFFF"/>
              </w:rPr>
              <w:t>Description</w:t>
            </w:r>
          </w:p>
        </w:tc>
        <w:tc>
          <w:tcPr>
            <w:tcW w:w="2560" w:type="dxa"/>
            <w:vAlign w:val="bottom"/>
            <w:tcBorders>
              <w:top w:val="single" w:sz="8" w:color="12395C"/>
              <w:right w:val="single" w:sz="8" w:color="A6A6A6"/>
            </w:tcBorders>
            <w:shd w:val="clear" w:color="auto" w:fill="12395C"/>
          </w:tcPr>
          <w:p>
            <w:pPr>
              <w:ind w:left="40"/>
              <w:spacing w:after="0"/>
              <w:rPr>
                <w:sz w:val="20"/>
                <w:szCs w:val="20"/>
                <w:color w:val="auto"/>
              </w:rPr>
            </w:pPr>
            <w:r>
              <w:rPr>
                <w:rFonts w:ascii="Arial" w:cs="Arial" w:eastAsia="Arial" w:hAnsi="Arial"/>
                <w:sz w:val="10"/>
                <w:szCs w:val="10"/>
                <w:b w:val="1"/>
                <w:bCs w:val="1"/>
                <w:color w:val="FFFFFF"/>
              </w:rPr>
              <w:t>Grantor</w:t>
            </w:r>
          </w:p>
        </w:tc>
        <w:tc>
          <w:tcPr>
            <w:tcW w:w="760" w:type="dxa"/>
            <w:vAlign w:val="bottom"/>
            <w:tcBorders>
              <w:top w:val="single" w:sz="8" w:color="12395C"/>
              <w:right w:val="single" w:sz="8" w:color="A6A6A6"/>
            </w:tcBorders>
            <w:shd w:val="clear" w:color="auto" w:fill="12395C"/>
          </w:tcPr>
          <w:p>
            <w:pPr>
              <w:ind w:left="40"/>
              <w:spacing w:after="0"/>
              <w:rPr>
                <w:sz w:val="20"/>
                <w:szCs w:val="20"/>
                <w:color w:val="auto"/>
              </w:rPr>
            </w:pPr>
            <w:r>
              <w:rPr>
                <w:rFonts w:ascii="Arial" w:cs="Arial" w:eastAsia="Arial" w:hAnsi="Arial"/>
                <w:sz w:val="10"/>
                <w:szCs w:val="10"/>
                <w:b w:val="1"/>
                <w:bCs w:val="1"/>
                <w:color w:val="FFFFFF"/>
              </w:rPr>
              <w:t>Secured Party</w:t>
            </w:r>
          </w:p>
        </w:tc>
        <w:tc>
          <w:tcPr>
            <w:tcW w:w="4700" w:type="dxa"/>
            <w:vAlign w:val="bottom"/>
            <w:tcBorders>
              <w:top w:val="single" w:sz="8" w:color="12395C"/>
            </w:tcBorders>
            <w:gridSpan w:val="2"/>
            <w:shd w:val="clear" w:color="auto" w:fill="12395C"/>
          </w:tcPr>
          <w:p>
            <w:pPr>
              <w:ind w:left="40"/>
              <w:spacing w:after="0"/>
              <w:rPr>
                <w:sz w:val="20"/>
                <w:szCs w:val="20"/>
                <w:color w:val="auto"/>
              </w:rPr>
            </w:pPr>
            <w:r>
              <w:rPr>
                <w:rFonts w:ascii="Arial" w:cs="Arial" w:eastAsia="Arial" w:hAnsi="Arial"/>
                <w:sz w:val="10"/>
                <w:szCs w:val="10"/>
                <w:b w:val="1"/>
                <w:bCs w:val="1"/>
                <w:color w:val="FFFFFF"/>
              </w:rPr>
              <w:t>Details</w:t>
            </w:r>
          </w:p>
        </w:tc>
        <w:tc>
          <w:tcPr>
            <w:tcW w:w="0" w:type="dxa"/>
            <w:vAlign w:val="bottom"/>
          </w:tcPr>
          <w:p>
            <w:pPr>
              <w:spacing w:after="0"/>
              <w:rPr>
                <w:sz w:val="1"/>
                <w:szCs w:val="1"/>
                <w:color w:val="auto"/>
              </w:rPr>
            </w:pPr>
          </w:p>
        </w:tc>
      </w:tr>
      <w:tr>
        <w:trPr>
          <w:trHeight w:val="189"/>
        </w:trPr>
        <w:tc>
          <w:tcPr>
            <w:tcW w:w="400" w:type="dxa"/>
            <w:vAlign w:val="bottom"/>
            <w:tcBorders>
              <w:right w:val="single" w:sz="8" w:color="A6A6A6"/>
            </w:tcBorders>
          </w:tcPr>
          <w:p>
            <w:pPr>
              <w:spacing w:after="0"/>
              <w:rPr>
                <w:sz w:val="16"/>
                <w:szCs w:val="16"/>
                <w:color w:val="auto"/>
              </w:rPr>
            </w:pPr>
          </w:p>
        </w:tc>
        <w:tc>
          <w:tcPr>
            <w:tcW w:w="260" w:type="dxa"/>
            <w:vAlign w:val="bottom"/>
            <w:tcBorders>
              <w:right w:val="single" w:sz="8" w:color="A6A6A6"/>
            </w:tcBorders>
            <w:shd w:val="clear" w:color="auto" w:fill="12395C"/>
          </w:tcPr>
          <w:p>
            <w:pPr>
              <w:spacing w:after="0"/>
              <w:rPr>
                <w:sz w:val="16"/>
                <w:szCs w:val="16"/>
                <w:color w:val="auto"/>
              </w:rPr>
            </w:pPr>
          </w:p>
        </w:tc>
        <w:tc>
          <w:tcPr>
            <w:tcW w:w="20" w:type="dxa"/>
            <w:vAlign w:val="bottom"/>
            <w:shd w:val="clear" w:color="auto" w:fill="12395C"/>
          </w:tcPr>
          <w:p>
            <w:pPr>
              <w:spacing w:after="0"/>
              <w:rPr>
                <w:sz w:val="16"/>
                <w:szCs w:val="16"/>
                <w:color w:val="auto"/>
              </w:rPr>
            </w:pPr>
          </w:p>
        </w:tc>
        <w:tc>
          <w:tcPr>
            <w:tcW w:w="1260" w:type="dxa"/>
            <w:vAlign w:val="bottom"/>
            <w:tcBorders>
              <w:right w:val="single" w:sz="8" w:color="A6A6A6"/>
            </w:tcBorders>
            <w:shd w:val="clear" w:color="auto" w:fill="12395C"/>
          </w:tcPr>
          <w:p>
            <w:pPr>
              <w:spacing w:after="0"/>
              <w:rPr>
                <w:sz w:val="16"/>
                <w:szCs w:val="16"/>
                <w:color w:val="auto"/>
              </w:rPr>
            </w:pPr>
          </w:p>
        </w:tc>
        <w:tc>
          <w:tcPr>
            <w:tcW w:w="2560" w:type="dxa"/>
            <w:vAlign w:val="bottom"/>
            <w:tcBorders>
              <w:right w:val="single" w:sz="8" w:color="A6A6A6"/>
            </w:tcBorders>
            <w:shd w:val="clear" w:color="auto" w:fill="12395C"/>
          </w:tcPr>
          <w:p>
            <w:pPr>
              <w:spacing w:after="0"/>
              <w:rPr>
                <w:sz w:val="16"/>
                <w:szCs w:val="16"/>
                <w:color w:val="auto"/>
              </w:rPr>
            </w:pPr>
          </w:p>
        </w:tc>
        <w:tc>
          <w:tcPr>
            <w:tcW w:w="760" w:type="dxa"/>
            <w:vAlign w:val="bottom"/>
            <w:tcBorders>
              <w:right w:val="single" w:sz="8" w:color="A6A6A6"/>
            </w:tcBorders>
            <w:shd w:val="clear" w:color="auto" w:fill="12395C"/>
          </w:tcPr>
          <w:p>
            <w:pPr>
              <w:spacing w:after="0"/>
              <w:rPr>
                <w:sz w:val="16"/>
                <w:szCs w:val="16"/>
                <w:color w:val="auto"/>
              </w:rPr>
            </w:pPr>
          </w:p>
        </w:tc>
        <w:tc>
          <w:tcPr>
            <w:tcW w:w="4220" w:type="dxa"/>
            <w:vAlign w:val="bottom"/>
            <w:shd w:val="clear" w:color="auto" w:fill="12395C"/>
          </w:tcPr>
          <w:p>
            <w:pPr>
              <w:spacing w:after="0"/>
              <w:rPr>
                <w:sz w:val="16"/>
                <w:szCs w:val="16"/>
                <w:color w:val="auto"/>
              </w:rPr>
            </w:pPr>
          </w:p>
        </w:tc>
        <w:tc>
          <w:tcPr>
            <w:tcW w:w="480" w:type="dxa"/>
            <w:vAlign w:val="bottom"/>
            <w:shd w:val="clear" w:color="auto" w:fill="12395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 w:type="dxa"/>
            <w:vAlign w:val="bottom"/>
            <w:tcBorders>
              <w:right w:val="single" w:sz="8" w:color="A6A6A6"/>
            </w:tcBorders>
          </w:tcPr>
          <w:p>
            <w:pPr>
              <w:spacing w:after="0"/>
              <w:rPr>
                <w:sz w:val="17"/>
                <w:szCs w:val="17"/>
                <w:color w:val="auto"/>
              </w:rPr>
            </w:pPr>
          </w:p>
        </w:tc>
        <w:tc>
          <w:tcPr>
            <w:tcW w:w="2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7</w:t>
            </w:r>
          </w:p>
        </w:tc>
        <w:tc>
          <w:tcPr>
            <w:tcW w:w="20" w:type="dxa"/>
            <w:vAlign w:val="bottom"/>
          </w:tcPr>
          <w:p>
            <w:pPr>
              <w:spacing w:after="0"/>
              <w:rPr>
                <w:sz w:val="17"/>
                <w:szCs w:val="17"/>
                <w:color w:val="auto"/>
              </w:rPr>
            </w:pPr>
          </w:p>
        </w:tc>
        <w:tc>
          <w:tcPr>
            <w:tcW w:w="126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First ranking mortgage</w:t>
            </w:r>
          </w:p>
        </w:tc>
        <w:tc>
          <w:tcPr>
            <w:tcW w:w="2560" w:type="dxa"/>
            <w:vAlign w:val="bottom"/>
            <w:tcBorders>
              <w:right w:val="single" w:sz="8" w:color="A6A6A6"/>
            </w:tcBorders>
            <w:vMerge w:val="restart"/>
          </w:tcPr>
          <w:p>
            <w:pPr>
              <w:ind w:left="60"/>
              <w:spacing w:after="0"/>
              <w:rPr>
                <w:sz w:val="20"/>
                <w:szCs w:val="20"/>
                <w:color w:val="auto"/>
              </w:rPr>
            </w:pPr>
            <w:r>
              <w:rPr>
                <w:rFonts w:ascii="Arial" w:cs="Arial" w:eastAsia="Arial" w:hAnsi="Arial"/>
                <w:sz w:val="9"/>
                <w:szCs w:val="9"/>
                <w:color w:val="auto"/>
              </w:rPr>
              <w:t>Newmarket Properties Pty Ltd</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4700" w:type="dxa"/>
            <w:vAlign w:val="bottom"/>
            <w:gridSpan w:val="2"/>
            <w:vMerge w:val="restart"/>
          </w:tcPr>
          <w:p>
            <w:pPr>
              <w:ind w:left="60"/>
              <w:spacing w:after="0"/>
              <w:rPr>
                <w:sz w:val="20"/>
                <w:szCs w:val="20"/>
                <w:color w:val="auto"/>
              </w:rPr>
            </w:pPr>
            <w:r>
              <w:rPr>
                <w:rFonts w:ascii="Arial" w:cs="Arial" w:eastAsia="Arial" w:hAnsi="Arial"/>
                <w:sz w:val="9"/>
                <w:szCs w:val="9"/>
                <w:color w:val="auto"/>
                <w:w w:val="98"/>
              </w:rPr>
              <w:t>The land and improvements known as Reading Newmarket Shopping Centre, 400 Newmarket Road, Newmarket Que</w:t>
            </w:r>
          </w:p>
        </w:tc>
        <w:tc>
          <w:tcPr>
            <w:tcW w:w="0" w:type="dxa"/>
            <w:vAlign w:val="bottom"/>
          </w:tcPr>
          <w:p>
            <w:pPr>
              <w:spacing w:after="0"/>
              <w:rPr>
                <w:sz w:val="1"/>
                <w:szCs w:val="1"/>
                <w:color w:val="auto"/>
              </w:rPr>
            </w:pPr>
          </w:p>
        </w:tc>
      </w:tr>
      <w:tr>
        <w:trPr>
          <w:trHeight w:val="44"/>
        </w:trPr>
        <w:tc>
          <w:tcPr>
            <w:tcW w:w="400" w:type="dxa"/>
            <w:vAlign w:val="bottom"/>
            <w:tcBorders>
              <w:right w:val="single" w:sz="8" w:color="A6A6A6"/>
            </w:tcBorders>
          </w:tcPr>
          <w:p>
            <w:pPr>
              <w:spacing w:after="0"/>
              <w:rPr>
                <w:sz w:val="3"/>
                <w:szCs w:val="3"/>
                <w:color w:val="auto"/>
              </w:rPr>
            </w:pPr>
          </w:p>
        </w:tc>
        <w:tc>
          <w:tcPr>
            <w:tcW w:w="260" w:type="dxa"/>
            <w:vAlign w:val="bottom"/>
            <w:tcBorders>
              <w:right w:val="single" w:sz="8" w:color="A6A6A6"/>
            </w:tcBorders>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Borders>
              <w:right w:val="single" w:sz="8" w:color="A6A6A6"/>
            </w:tcBorders>
            <w:vMerge w:val="continue"/>
          </w:tcPr>
          <w:p>
            <w:pPr>
              <w:spacing w:after="0"/>
              <w:rPr>
                <w:sz w:val="3"/>
                <w:szCs w:val="3"/>
                <w:color w:val="auto"/>
              </w:rPr>
            </w:pPr>
          </w:p>
        </w:tc>
        <w:tc>
          <w:tcPr>
            <w:tcW w:w="2560" w:type="dxa"/>
            <w:vAlign w:val="bottom"/>
            <w:tcBorders>
              <w:right w:val="single" w:sz="8" w:color="A6A6A6"/>
            </w:tcBorders>
            <w:vMerge w:val="continue"/>
          </w:tcPr>
          <w:p>
            <w:pPr>
              <w:spacing w:after="0"/>
              <w:rPr>
                <w:sz w:val="3"/>
                <w:szCs w:val="3"/>
                <w:color w:val="auto"/>
              </w:rPr>
            </w:pPr>
          </w:p>
        </w:tc>
        <w:tc>
          <w:tcPr>
            <w:tcW w:w="760" w:type="dxa"/>
            <w:vAlign w:val="bottom"/>
            <w:tcBorders>
              <w:right w:val="single" w:sz="8" w:color="A6A6A6"/>
            </w:tcBorders>
            <w:vMerge w:val="continue"/>
          </w:tcPr>
          <w:p>
            <w:pPr>
              <w:spacing w:after="0"/>
              <w:rPr>
                <w:sz w:val="3"/>
                <w:szCs w:val="3"/>
                <w:color w:val="auto"/>
              </w:rPr>
            </w:pPr>
          </w:p>
        </w:tc>
        <w:tc>
          <w:tcPr>
            <w:tcW w:w="4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60" w:type="dxa"/>
            <w:vAlign w:val="bottom"/>
            <w:tcBorders>
              <w:right w:val="single" w:sz="8" w:color="A6A6A6"/>
            </w:tcBorders>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Borders>
              <w:right w:val="single" w:sz="8" w:color="A6A6A6"/>
            </w:tcBorders>
          </w:tcPr>
          <w:p>
            <w:pPr>
              <w:spacing w:after="0"/>
              <w:rPr>
                <w:sz w:val="9"/>
                <w:szCs w:val="9"/>
                <w:color w:val="auto"/>
              </w:rPr>
            </w:pPr>
          </w:p>
        </w:tc>
        <w:tc>
          <w:tcPr>
            <w:tcW w:w="2560" w:type="dxa"/>
            <w:vAlign w:val="bottom"/>
            <w:tcBorders>
              <w:right w:val="single" w:sz="8" w:color="A6A6A6"/>
            </w:tcBorders>
          </w:tcPr>
          <w:p>
            <w:pPr>
              <w:spacing w:after="0"/>
              <w:rPr>
                <w:sz w:val="9"/>
                <w:szCs w:val="9"/>
                <w:color w:val="auto"/>
              </w:rPr>
            </w:pPr>
          </w:p>
        </w:tc>
        <w:tc>
          <w:tcPr>
            <w:tcW w:w="760" w:type="dxa"/>
            <w:vAlign w:val="bottom"/>
            <w:tcBorders>
              <w:right w:val="single" w:sz="8" w:color="A6A6A6"/>
            </w:tcBorders>
          </w:tcPr>
          <w:p>
            <w:pPr>
              <w:spacing w:after="0"/>
              <w:rPr>
                <w:sz w:val="9"/>
                <w:szCs w:val="9"/>
                <w:color w:val="auto"/>
              </w:rPr>
            </w:pPr>
          </w:p>
        </w:tc>
        <w:tc>
          <w:tcPr>
            <w:tcW w:w="4700" w:type="dxa"/>
            <w:vAlign w:val="bottom"/>
            <w:gridSpan w:val="2"/>
          </w:tcPr>
          <w:p>
            <w:pPr>
              <w:ind w:left="60"/>
              <w:spacing w:after="0"/>
              <w:rPr>
                <w:sz w:val="20"/>
                <w:szCs w:val="20"/>
                <w:color w:val="auto"/>
              </w:rPr>
            </w:pPr>
            <w:r>
              <w:rPr>
                <w:rFonts w:ascii="Arial" w:cs="Arial" w:eastAsia="Arial" w:hAnsi="Arial"/>
                <w:sz w:val="9"/>
                <w:szCs w:val="9"/>
                <w:color w:val="auto"/>
              </w:rPr>
              <w:t>of title 50617438.</w:t>
            </w:r>
          </w:p>
        </w:tc>
        <w:tc>
          <w:tcPr>
            <w:tcW w:w="0" w:type="dxa"/>
            <w:vAlign w:val="bottom"/>
          </w:tcPr>
          <w:p>
            <w:pPr>
              <w:spacing w:after="0"/>
              <w:rPr>
                <w:sz w:val="1"/>
                <w:szCs w:val="1"/>
                <w:color w:val="auto"/>
              </w:rPr>
            </w:pPr>
          </w:p>
        </w:tc>
      </w:tr>
      <w:tr>
        <w:trPr>
          <w:trHeight w:val="529"/>
        </w:trPr>
        <w:tc>
          <w:tcPr>
            <w:tcW w:w="400" w:type="dxa"/>
            <w:vAlign w:val="bottom"/>
            <w:tcBorders>
              <w:right w:val="single" w:sz="8" w:color="A6A6A6"/>
            </w:tcBorders>
          </w:tcPr>
          <w:p>
            <w:pPr>
              <w:spacing w:after="0"/>
              <w:rPr>
                <w:sz w:val="24"/>
                <w:szCs w:val="24"/>
                <w:color w:val="auto"/>
              </w:rPr>
            </w:pPr>
          </w:p>
        </w:tc>
        <w:tc>
          <w:tcPr>
            <w:tcW w:w="260" w:type="dxa"/>
            <w:vAlign w:val="bottom"/>
            <w:tcBorders>
              <w:bottom w:val="single" w:sz="8" w:color="A6A6A6"/>
              <w:right w:val="single" w:sz="8" w:color="A6A6A6"/>
            </w:tcBorders>
          </w:tcPr>
          <w:p>
            <w:pPr>
              <w:spacing w:after="0"/>
              <w:rPr>
                <w:sz w:val="24"/>
                <w:szCs w:val="24"/>
                <w:color w:val="auto"/>
              </w:rPr>
            </w:pPr>
          </w:p>
        </w:tc>
        <w:tc>
          <w:tcPr>
            <w:tcW w:w="20" w:type="dxa"/>
            <w:vAlign w:val="bottom"/>
            <w:tcBorders>
              <w:bottom w:val="single" w:sz="8" w:color="A6A6A6"/>
            </w:tcBorders>
          </w:tcPr>
          <w:p>
            <w:pPr>
              <w:spacing w:after="0"/>
              <w:rPr>
                <w:sz w:val="24"/>
                <w:szCs w:val="24"/>
                <w:color w:val="auto"/>
              </w:rPr>
            </w:pPr>
          </w:p>
        </w:tc>
        <w:tc>
          <w:tcPr>
            <w:tcW w:w="1260" w:type="dxa"/>
            <w:vAlign w:val="bottom"/>
            <w:tcBorders>
              <w:bottom w:val="single" w:sz="8" w:color="A6A6A6"/>
              <w:right w:val="single" w:sz="8" w:color="A6A6A6"/>
            </w:tcBorders>
          </w:tcPr>
          <w:p>
            <w:pPr>
              <w:spacing w:after="0"/>
              <w:rPr>
                <w:sz w:val="24"/>
                <w:szCs w:val="24"/>
                <w:color w:val="auto"/>
              </w:rPr>
            </w:pPr>
          </w:p>
        </w:tc>
        <w:tc>
          <w:tcPr>
            <w:tcW w:w="2560" w:type="dxa"/>
            <w:vAlign w:val="bottom"/>
            <w:tcBorders>
              <w:bottom w:val="single" w:sz="8" w:color="A6A6A6"/>
              <w:right w:val="single" w:sz="8" w:color="A6A6A6"/>
            </w:tcBorders>
          </w:tcPr>
          <w:p>
            <w:pPr>
              <w:spacing w:after="0"/>
              <w:rPr>
                <w:sz w:val="24"/>
                <w:szCs w:val="24"/>
                <w:color w:val="auto"/>
              </w:rPr>
            </w:pPr>
          </w:p>
        </w:tc>
        <w:tc>
          <w:tcPr>
            <w:tcW w:w="760" w:type="dxa"/>
            <w:vAlign w:val="bottom"/>
            <w:tcBorders>
              <w:bottom w:val="single" w:sz="8" w:color="A6A6A6"/>
              <w:right w:val="single" w:sz="8" w:color="A6A6A6"/>
            </w:tcBorders>
          </w:tcPr>
          <w:p>
            <w:pPr>
              <w:spacing w:after="0"/>
              <w:rPr>
                <w:sz w:val="24"/>
                <w:szCs w:val="24"/>
                <w:color w:val="auto"/>
              </w:rPr>
            </w:pPr>
          </w:p>
        </w:tc>
        <w:tc>
          <w:tcPr>
            <w:tcW w:w="4220" w:type="dxa"/>
            <w:vAlign w:val="bottom"/>
            <w:tcBorders>
              <w:bottom w:val="single" w:sz="8" w:color="A6A6A6"/>
            </w:tcBorders>
          </w:tcPr>
          <w:p>
            <w:pPr>
              <w:spacing w:after="0"/>
              <w:rPr>
                <w:sz w:val="24"/>
                <w:szCs w:val="24"/>
                <w:color w:val="auto"/>
              </w:rPr>
            </w:pPr>
          </w:p>
        </w:tc>
        <w:tc>
          <w:tcPr>
            <w:tcW w:w="48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8</w:t>
            </w:r>
          </w:p>
        </w:tc>
        <w:tc>
          <w:tcPr>
            <w:tcW w:w="20" w:type="dxa"/>
            <w:vAlign w:val="bottom"/>
          </w:tcPr>
          <w:p>
            <w:pPr>
              <w:spacing w:after="0"/>
              <w:rPr>
                <w:sz w:val="16"/>
                <w:szCs w:val="16"/>
                <w:color w:val="auto"/>
              </w:rPr>
            </w:pPr>
          </w:p>
        </w:tc>
        <w:tc>
          <w:tcPr>
            <w:tcW w:w="126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First ranking mortgage</w:t>
            </w:r>
          </w:p>
        </w:tc>
        <w:tc>
          <w:tcPr>
            <w:tcW w:w="2560" w:type="dxa"/>
            <w:vAlign w:val="bottom"/>
            <w:tcBorders>
              <w:right w:val="single" w:sz="8" w:color="A6A6A6"/>
            </w:tcBorders>
            <w:vMerge w:val="restart"/>
          </w:tcPr>
          <w:p>
            <w:pPr>
              <w:ind w:left="60"/>
              <w:spacing w:after="0"/>
              <w:rPr>
                <w:sz w:val="20"/>
                <w:szCs w:val="20"/>
                <w:color w:val="auto"/>
              </w:rPr>
            </w:pPr>
            <w:r>
              <w:rPr>
                <w:rFonts w:ascii="Arial" w:cs="Arial" w:eastAsia="Arial" w:hAnsi="Arial"/>
                <w:sz w:val="9"/>
                <w:szCs w:val="9"/>
                <w:color w:val="auto"/>
              </w:rPr>
              <w:t>Newmarket Properties No. 2 Pty Ltd</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4700" w:type="dxa"/>
            <w:vAlign w:val="bottom"/>
            <w:gridSpan w:val="2"/>
            <w:vMerge w:val="restart"/>
          </w:tcPr>
          <w:p>
            <w:pPr>
              <w:ind w:left="60"/>
              <w:spacing w:after="0"/>
              <w:rPr>
                <w:sz w:val="20"/>
                <w:szCs w:val="20"/>
                <w:color w:val="auto"/>
              </w:rPr>
            </w:pPr>
            <w:r>
              <w:rPr>
                <w:rFonts w:ascii="Arial" w:cs="Arial" w:eastAsia="Arial" w:hAnsi="Arial"/>
                <w:sz w:val="9"/>
                <w:szCs w:val="9"/>
                <w:color w:val="auto"/>
                <w:w w:val="98"/>
              </w:rPr>
              <w:t>The land and improvements known as Corner Enoggera Road and Edmondstone Street, Newmarket Queensland and</w:t>
            </w:r>
          </w:p>
        </w:tc>
        <w:tc>
          <w:tcPr>
            <w:tcW w:w="0" w:type="dxa"/>
            <w:vAlign w:val="bottom"/>
          </w:tcPr>
          <w:p>
            <w:pPr>
              <w:spacing w:after="0"/>
              <w:rPr>
                <w:sz w:val="1"/>
                <w:szCs w:val="1"/>
                <w:color w:val="auto"/>
              </w:rPr>
            </w:pPr>
          </w:p>
        </w:tc>
      </w:tr>
      <w:tr>
        <w:trPr>
          <w:trHeight w:val="45"/>
        </w:trPr>
        <w:tc>
          <w:tcPr>
            <w:tcW w:w="400" w:type="dxa"/>
            <w:vAlign w:val="bottom"/>
            <w:tcBorders>
              <w:right w:val="single" w:sz="8" w:color="A6A6A6"/>
            </w:tcBorders>
          </w:tcPr>
          <w:p>
            <w:pPr>
              <w:spacing w:after="0"/>
              <w:rPr>
                <w:sz w:val="3"/>
                <w:szCs w:val="3"/>
                <w:color w:val="auto"/>
              </w:rPr>
            </w:pPr>
          </w:p>
        </w:tc>
        <w:tc>
          <w:tcPr>
            <w:tcW w:w="260" w:type="dxa"/>
            <w:vAlign w:val="bottom"/>
            <w:tcBorders>
              <w:right w:val="single" w:sz="8" w:color="A6A6A6"/>
            </w:tcBorders>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Borders>
              <w:right w:val="single" w:sz="8" w:color="A6A6A6"/>
            </w:tcBorders>
            <w:vMerge w:val="continue"/>
          </w:tcPr>
          <w:p>
            <w:pPr>
              <w:spacing w:after="0"/>
              <w:rPr>
                <w:sz w:val="3"/>
                <w:szCs w:val="3"/>
                <w:color w:val="auto"/>
              </w:rPr>
            </w:pPr>
          </w:p>
        </w:tc>
        <w:tc>
          <w:tcPr>
            <w:tcW w:w="2560" w:type="dxa"/>
            <w:vAlign w:val="bottom"/>
            <w:tcBorders>
              <w:right w:val="single" w:sz="8" w:color="A6A6A6"/>
            </w:tcBorders>
            <w:vMerge w:val="continue"/>
          </w:tcPr>
          <w:p>
            <w:pPr>
              <w:spacing w:after="0"/>
              <w:rPr>
                <w:sz w:val="3"/>
                <w:szCs w:val="3"/>
                <w:color w:val="auto"/>
              </w:rPr>
            </w:pPr>
          </w:p>
        </w:tc>
        <w:tc>
          <w:tcPr>
            <w:tcW w:w="760" w:type="dxa"/>
            <w:vAlign w:val="bottom"/>
            <w:tcBorders>
              <w:right w:val="single" w:sz="8" w:color="A6A6A6"/>
            </w:tcBorders>
            <w:vMerge w:val="continue"/>
          </w:tcPr>
          <w:p>
            <w:pPr>
              <w:spacing w:after="0"/>
              <w:rPr>
                <w:sz w:val="3"/>
                <w:szCs w:val="3"/>
                <w:color w:val="auto"/>
              </w:rPr>
            </w:pPr>
          </w:p>
        </w:tc>
        <w:tc>
          <w:tcPr>
            <w:tcW w:w="4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42"/>
        </w:trPr>
        <w:tc>
          <w:tcPr>
            <w:tcW w:w="400" w:type="dxa"/>
            <w:vAlign w:val="bottom"/>
            <w:tcBorders>
              <w:right w:val="single" w:sz="8" w:color="A6A6A6"/>
            </w:tcBorders>
          </w:tcPr>
          <w:p>
            <w:pPr>
              <w:spacing w:after="0"/>
              <w:rPr>
                <w:sz w:val="24"/>
                <w:szCs w:val="24"/>
                <w:color w:val="auto"/>
              </w:rPr>
            </w:pPr>
          </w:p>
        </w:tc>
        <w:tc>
          <w:tcPr>
            <w:tcW w:w="260" w:type="dxa"/>
            <w:vAlign w:val="bottom"/>
            <w:tcBorders>
              <w:bottom w:val="single" w:sz="8" w:color="A6A6A6"/>
              <w:right w:val="single" w:sz="8" w:color="A6A6A6"/>
            </w:tcBorders>
          </w:tcPr>
          <w:p>
            <w:pPr>
              <w:spacing w:after="0"/>
              <w:rPr>
                <w:sz w:val="24"/>
                <w:szCs w:val="24"/>
                <w:color w:val="auto"/>
              </w:rPr>
            </w:pPr>
          </w:p>
        </w:tc>
        <w:tc>
          <w:tcPr>
            <w:tcW w:w="20" w:type="dxa"/>
            <w:vAlign w:val="bottom"/>
            <w:tcBorders>
              <w:bottom w:val="single" w:sz="8" w:color="A6A6A6"/>
            </w:tcBorders>
          </w:tcPr>
          <w:p>
            <w:pPr>
              <w:spacing w:after="0"/>
              <w:rPr>
                <w:sz w:val="24"/>
                <w:szCs w:val="24"/>
                <w:color w:val="auto"/>
              </w:rPr>
            </w:pPr>
          </w:p>
        </w:tc>
        <w:tc>
          <w:tcPr>
            <w:tcW w:w="1260" w:type="dxa"/>
            <w:vAlign w:val="bottom"/>
            <w:tcBorders>
              <w:bottom w:val="single" w:sz="8" w:color="A6A6A6"/>
              <w:right w:val="single" w:sz="8" w:color="A6A6A6"/>
            </w:tcBorders>
          </w:tcPr>
          <w:p>
            <w:pPr>
              <w:spacing w:after="0"/>
              <w:rPr>
                <w:sz w:val="24"/>
                <w:szCs w:val="24"/>
                <w:color w:val="auto"/>
              </w:rPr>
            </w:pPr>
          </w:p>
        </w:tc>
        <w:tc>
          <w:tcPr>
            <w:tcW w:w="2560" w:type="dxa"/>
            <w:vAlign w:val="bottom"/>
            <w:tcBorders>
              <w:bottom w:val="single" w:sz="8" w:color="A6A6A6"/>
              <w:right w:val="single" w:sz="8" w:color="A6A6A6"/>
            </w:tcBorders>
          </w:tcPr>
          <w:p>
            <w:pPr>
              <w:spacing w:after="0"/>
              <w:rPr>
                <w:sz w:val="24"/>
                <w:szCs w:val="24"/>
                <w:color w:val="auto"/>
              </w:rPr>
            </w:pPr>
          </w:p>
        </w:tc>
        <w:tc>
          <w:tcPr>
            <w:tcW w:w="760" w:type="dxa"/>
            <w:vAlign w:val="bottom"/>
            <w:tcBorders>
              <w:bottom w:val="single" w:sz="8" w:color="A6A6A6"/>
              <w:right w:val="single" w:sz="8" w:color="A6A6A6"/>
            </w:tcBorders>
          </w:tcPr>
          <w:p>
            <w:pPr>
              <w:spacing w:after="0"/>
              <w:rPr>
                <w:sz w:val="24"/>
                <w:szCs w:val="24"/>
                <w:color w:val="auto"/>
              </w:rPr>
            </w:pPr>
          </w:p>
        </w:tc>
        <w:tc>
          <w:tcPr>
            <w:tcW w:w="4220" w:type="dxa"/>
            <w:vAlign w:val="bottom"/>
            <w:tcBorders>
              <w:bottom w:val="single" w:sz="8" w:color="A6A6A6"/>
            </w:tcBorders>
          </w:tcPr>
          <w:p>
            <w:pPr>
              <w:spacing w:after="0"/>
              <w:rPr>
                <w:sz w:val="24"/>
                <w:szCs w:val="24"/>
                <w:color w:val="auto"/>
              </w:rPr>
            </w:pPr>
          </w:p>
        </w:tc>
        <w:tc>
          <w:tcPr>
            <w:tcW w:w="48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9</w:t>
            </w:r>
          </w:p>
        </w:tc>
        <w:tc>
          <w:tcPr>
            <w:tcW w:w="20" w:type="dxa"/>
            <w:vAlign w:val="bottom"/>
          </w:tcPr>
          <w:p>
            <w:pPr>
              <w:spacing w:after="0"/>
              <w:rPr>
                <w:sz w:val="16"/>
                <w:szCs w:val="16"/>
                <w:color w:val="auto"/>
              </w:rPr>
            </w:pPr>
          </w:p>
        </w:tc>
        <w:tc>
          <w:tcPr>
            <w:tcW w:w="126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First ranking mortgage</w:t>
            </w:r>
          </w:p>
        </w:tc>
        <w:tc>
          <w:tcPr>
            <w:tcW w:w="25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Originally granted by</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4700" w:type="dxa"/>
            <w:vAlign w:val="bottom"/>
            <w:gridSpan w:val="2"/>
            <w:vMerge w:val="restart"/>
          </w:tcPr>
          <w:p>
            <w:pPr>
              <w:ind w:left="60"/>
              <w:spacing w:after="0"/>
              <w:rPr>
                <w:sz w:val="20"/>
                <w:szCs w:val="20"/>
                <w:color w:val="auto"/>
              </w:rPr>
            </w:pPr>
            <w:r>
              <w:rPr>
                <w:rFonts w:ascii="Arial" w:cs="Arial" w:eastAsia="Arial" w:hAnsi="Arial"/>
                <w:sz w:val="9"/>
                <w:szCs w:val="9"/>
                <w:color w:val="auto"/>
                <w:w w:val="98"/>
              </w:rPr>
              <w:t>The land and improvements known as 14 Edmondstone Street, Newmarket Queensland and described in certificate o</w:t>
            </w:r>
          </w:p>
        </w:tc>
        <w:tc>
          <w:tcPr>
            <w:tcW w:w="0" w:type="dxa"/>
            <w:vAlign w:val="bottom"/>
          </w:tcPr>
          <w:p>
            <w:pPr>
              <w:spacing w:after="0"/>
              <w:rPr>
                <w:sz w:val="1"/>
                <w:szCs w:val="1"/>
                <w:color w:val="auto"/>
              </w:rPr>
            </w:pPr>
          </w:p>
        </w:tc>
      </w:tr>
      <w:tr>
        <w:trPr>
          <w:trHeight w:val="45"/>
        </w:trPr>
        <w:tc>
          <w:tcPr>
            <w:tcW w:w="400" w:type="dxa"/>
            <w:vAlign w:val="bottom"/>
            <w:tcBorders>
              <w:right w:val="single" w:sz="8" w:color="A6A6A6"/>
            </w:tcBorders>
          </w:tcPr>
          <w:p>
            <w:pPr>
              <w:spacing w:after="0"/>
              <w:rPr>
                <w:sz w:val="3"/>
                <w:szCs w:val="3"/>
                <w:color w:val="auto"/>
              </w:rPr>
            </w:pPr>
          </w:p>
        </w:tc>
        <w:tc>
          <w:tcPr>
            <w:tcW w:w="260" w:type="dxa"/>
            <w:vAlign w:val="bottom"/>
            <w:tcBorders>
              <w:right w:val="single" w:sz="8" w:color="A6A6A6"/>
            </w:tcBorders>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Borders>
              <w:right w:val="single" w:sz="8" w:color="A6A6A6"/>
            </w:tcBorders>
            <w:vMerge w:val="continue"/>
          </w:tcPr>
          <w:p>
            <w:pPr>
              <w:spacing w:after="0"/>
              <w:rPr>
                <w:sz w:val="3"/>
                <w:szCs w:val="3"/>
                <w:color w:val="auto"/>
              </w:rPr>
            </w:pPr>
          </w:p>
        </w:tc>
        <w:tc>
          <w:tcPr>
            <w:tcW w:w="2560" w:type="dxa"/>
            <w:vAlign w:val="bottom"/>
            <w:tcBorders>
              <w:right w:val="single" w:sz="8" w:color="A6A6A6"/>
            </w:tcBorders>
            <w:vMerge w:val="continue"/>
          </w:tcPr>
          <w:p>
            <w:pPr>
              <w:spacing w:after="0"/>
              <w:rPr>
                <w:sz w:val="3"/>
                <w:szCs w:val="3"/>
                <w:color w:val="auto"/>
              </w:rPr>
            </w:pPr>
          </w:p>
        </w:tc>
        <w:tc>
          <w:tcPr>
            <w:tcW w:w="760" w:type="dxa"/>
            <w:vAlign w:val="bottom"/>
            <w:tcBorders>
              <w:right w:val="single" w:sz="8" w:color="A6A6A6"/>
            </w:tcBorders>
            <w:vMerge w:val="continue"/>
          </w:tcPr>
          <w:p>
            <w:pPr>
              <w:spacing w:after="0"/>
              <w:rPr>
                <w:sz w:val="3"/>
                <w:szCs w:val="3"/>
                <w:color w:val="auto"/>
              </w:rPr>
            </w:pPr>
          </w:p>
        </w:tc>
        <w:tc>
          <w:tcPr>
            <w:tcW w:w="4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400" w:type="dxa"/>
            <w:vAlign w:val="bottom"/>
            <w:tcBorders>
              <w:right w:val="single" w:sz="8" w:color="A6A6A6"/>
            </w:tcBorders>
          </w:tcPr>
          <w:p>
            <w:pPr>
              <w:spacing w:after="0"/>
              <w:rPr>
                <w:sz w:val="11"/>
                <w:szCs w:val="11"/>
                <w:color w:val="auto"/>
              </w:rPr>
            </w:pPr>
          </w:p>
        </w:tc>
        <w:tc>
          <w:tcPr>
            <w:tcW w:w="260" w:type="dxa"/>
            <w:vAlign w:val="bottom"/>
            <w:tcBorders>
              <w:right w:val="single" w:sz="8" w:color="A6A6A6"/>
            </w:tcBorders>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right w:val="single" w:sz="8" w:color="A6A6A6"/>
            </w:tcBorders>
          </w:tcPr>
          <w:p>
            <w:pPr>
              <w:spacing w:after="0"/>
              <w:rPr>
                <w:sz w:val="11"/>
                <w:szCs w:val="11"/>
                <w:color w:val="auto"/>
              </w:rPr>
            </w:pPr>
          </w:p>
        </w:tc>
        <w:tc>
          <w:tcPr>
            <w:tcW w:w="25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A.C.N. 143 633 096</w:t>
            </w:r>
          </w:p>
        </w:tc>
        <w:tc>
          <w:tcPr>
            <w:tcW w:w="760" w:type="dxa"/>
            <w:vAlign w:val="bottom"/>
            <w:tcBorders>
              <w:right w:val="single" w:sz="8" w:color="A6A6A6"/>
            </w:tcBorders>
          </w:tcPr>
          <w:p>
            <w:pPr>
              <w:spacing w:after="0"/>
              <w:rPr>
                <w:sz w:val="11"/>
                <w:szCs w:val="11"/>
                <w:color w:val="auto"/>
              </w:rPr>
            </w:pPr>
          </w:p>
        </w:tc>
        <w:tc>
          <w:tcPr>
            <w:tcW w:w="4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60" w:type="dxa"/>
            <w:vAlign w:val="bottom"/>
            <w:tcBorders>
              <w:right w:val="single" w:sz="8" w:color="A6A6A6"/>
            </w:tcBorders>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Borders>
              <w:right w:val="single" w:sz="8" w:color="A6A6A6"/>
            </w:tcBorders>
          </w:tcPr>
          <w:p>
            <w:pPr>
              <w:spacing w:after="0"/>
              <w:rPr>
                <w:sz w:val="9"/>
                <w:szCs w:val="9"/>
                <w:color w:val="auto"/>
              </w:rPr>
            </w:pPr>
          </w:p>
        </w:tc>
        <w:tc>
          <w:tcPr>
            <w:tcW w:w="25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Pty Ltd, but subsequently assumed by Newmarket Properties</w:t>
            </w:r>
          </w:p>
        </w:tc>
        <w:tc>
          <w:tcPr>
            <w:tcW w:w="760" w:type="dxa"/>
            <w:vAlign w:val="bottom"/>
            <w:tcBorders>
              <w:right w:val="single" w:sz="8" w:color="A6A6A6"/>
            </w:tcBorders>
          </w:tcPr>
          <w:p>
            <w:pPr>
              <w:spacing w:after="0"/>
              <w:rPr>
                <w:sz w:val="9"/>
                <w:szCs w:val="9"/>
                <w:color w:val="auto"/>
              </w:rPr>
            </w:pPr>
          </w:p>
        </w:tc>
        <w:tc>
          <w:tcPr>
            <w:tcW w:w="4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60" w:type="dxa"/>
            <w:vAlign w:val="bottom"/>
            <w:tcBorders>
              <w:right w:val="single" w:sz="8" w:color="A6A6A6"/>
            </w:tcBorders>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Borders>
              <w:right w:val="single" w:sz="8" w:color="A6A6A6"/>
            </w:tcBorders>
          </w:tcPr>
          <w:p>
            <w:pPr>
              <w:spacing w:after="0"/>
              <w:rPr>
                <w:sz w:val="9"/>
                <w:szCs w:val="9"/>
                <w:color w:val="auto"/>
              </w:rPr>
            </w:pPr>
          </w:p>
        </w:tc>
        <w:tc>
          <w:tcPr>
            <w:tcW w:w="25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#3 Pty Ltd</w:t>
            </w:r>
          </w:p>
        </w:tc>
        <w:tc>
          <w:tcPr>
            <w:tcW w:w="760" w:type="dxa"/>
            <w:vAlign w:val="bottom"/>
            <w:tcBorders>
              <w:right w:val="single" w:sz="8" w:color="A6A6A6"/>
            </w:tcBorders>
          </w:tcPr>
          <w:p>
            <w:pPr>
              <w:spacing w:after="0"/>
              <w:rPr>
                <w:sz w:val="9"/>
                <w:szCs w:val="9"/>
                <w:color w:val="auto"/>
              </w:rPr>
            </w:pPr>
          </w:p>
        </w:tc>
        <w:tc>
          <w:tcPr>
            <w:tcW w:w="4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400" w:type="dxa"/>
            <w:vAlign w:val="bottom"/>
            <w:tcBorders>
              <w:right w:val="single" w:sz="8" w:color="A6A6A6"/>
            </w:tcBorders>
          </w:tcPr>
          <w:p>
            <w:pPr>
              <w:spacing w:after="0"/>
              <w:rPr>
                <w:sz w:val="24"/>
                <w:szCs w:val="24"/>
                <w:color w:val="auto"/>
              </w:rPr>
            </w:pPr>
          </w:p>
        </w:tc>
        <w:tc>
          <w:tcPr>
            <w:tcW w:w="260" w:type="dxa"/>
            <w:vAlign w:val="bottom"/>
            <w:tcBorders>
              <w:bottom w:val="single" w:sz="8" w:color="A6A6A6"/>
              <w:right w:val="single" w:sz="8" w:color="A6A6A6"/>
            </w:tcBorders>
          </w:tcPr>
          <w:p>
            <w:pPr>
              <w:spacing w:after="0"/>
              <w:rPr>
                <w:sz w:val="24"/>
                <w:szCs w:val="24"/>
                <w:color w:val="auto"/>
              </w:rPr>
            </w:pPr>
          </w:p>
        </w:tc>
        <w:tc>
          <w:tcPr>
            <w:tcW w:w="20" w:type="dxa"/>
            <w:vAlign w:val="bottom"/>
            <w:tcBorders>
              <w:bottom w:val="single" w:sz="8" w:color="A6A6A6"/>
            </w:tcBorders>
          </w:tcPr>
          <w:p>
            <w:pPr>
              <w:spacing w:after="0"/>
              <w:rPr>
                <w:sz w:val="24"/>
                <w:szCs w:val="24"/>
                <w:color w:val="auto"/>
              </w:rPr>
            </w:pPr>
          </w:p>
        </w:tc>
        <w:tc>
          <w:tcPr>
            <w:tcW w:w="1260" w:type="dxa"/>
            <w:vAlign w:val="bottom"/>
            <w:tcBorders>
              <w:bottom w:val="single" w:sz="8" w:color="A6A6A6"/>
              <w:right w:val="single" w:sz="8" w:color="A6A6A6"/>
            </w:tcBorders>
          </w:tcPr>
          <w:p>
            <w:pPr>
              <w:spacing w:after="0"/>
              <w:rPr>
                <w:sz w:val="24"/>
                <w:szCs w:val="24"/>
                <w:color w:val="auto"/>
              </w:rPr>
            </w:pPr>
          </w:p>
        </w:tc>
        <w:tc>
          <w:tcPr>
            <w:tcW w:w="2560" w:type="dxa"/>
            <w:vAlign w:val="bottom"/>
            <w:tcBorders>
              <w:bottom w:val="single" w:sz="8" w:color="A6A6A6"/>
              <w:right w:val="single" w:sz="8" w:color="A6A6A6"/>
            </w:tcBorders>
          </w:tcPr>
          <w:p>
            <w:pPr>
              <w:spacing w:after="0"/>
              <w:rPr>
                <w:sz w:val="24"/>
                <w:szCs w:val="24"/>
                <w:color w:val="auto"/>
              </w:rPr>
            </w:pPr>
          </w:p>
        </w:tc>
        <w:tc>
          <w:tcPr>
            <w:tcW w:w="760" w:type="dxa"/>
            <w:vAlign w:val="bottom"/>
            <w:tcBorders>
              <w:bottom w:val="single" w:sz="8" w:color="A6A6A6"/>
              <w:right w:val="single" w:sz="8" w:color="A6A6A6"/>
            </w:tcBorders>
          </w:tcPr>
          <w:p>
            <w:pPr>
              <w:spacing w:after="0"/>
              <w:rPr>
                <w:sz w:val="24"/>
                <w:szCs w:val="24"/>
                <w:color w:val="auto"/>
              </w:rPr>
            </w:pPr>
          </w:p>
        </w:tc>
        <w:tc>
          <w:tcPr>
            <w:tcW w:w="4220" w:type="dxa"/>
            <w:vAlign w:val="bottom"/>
            <w:tcBorders>
              <w:bottom w:val="single" w:sz="8" w:color="A6A6A6"/>
            </w:tcBorders>
          </w:tcPr>
          <w:p>
            <w:pPr>
              <w:spacing w:after="0"/>
              <w:rPr>
                <w:sz w:val="24"/>
                <w:szCs w:val="24"/>
                <w:color w:val="auto"/>
              </w:rPr>
            </w:pPr>
          </w:p>
        </w:tc>
        <w:tc>
          <w:tcPr>
            <w:tcW w:w="48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10</w:t>
            </w:r>
          </w:p>
        </w:tc>
        <w:tc>
          <w:tcPr>
            <w:tcW w:w="20" w:type="dxa"/>
            <w:vAlign w:val="bottom"/>
          </w:tcPr>
          <w:p>
            <w:pPr>
              <w:spacing w:after="0"/>
              <w:rPr>
                <w:sz w:val="16"/>
                <w:szCs w:val="16"/>
                <w:color w:val="auto"/>
              </w:rPr>
            </w:pPr>
          </w:p>
        </w:tc>
        <w:tc>
          <w:tcPr>
            <w:tcW w:w="126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Guarantee and indemnity</w:t>
            </w:r>
          </w:p>
        </w:tc>
        <w:tc>
          <w:tcPr>
            <w:tcW w:w="256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Transaction Parties</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4700" w:type="dxa"/>
            <w:vAlign w:val="bottom"/>
            <w:gridSpan w:val="2"/>
            <w:vMerge w:val="restart"/>
          </w:tcPr>
          <w:p>
            <w:pPr>
              <w:ind w:left="40"/>
              <w:spacing w:after="0"/>
              <w:rPr>
                <w:sz w:val="20"/>
                <w:szCs w:val="20"/>
                <w:color w:val="auto"/>
              </w:rPr>
            </w:pPr>
            <w:r>
              <w:rPr>
                <w:rFonts w:ascii="Arial" w:cs="Arial" w:eastAsia="Arial" w:hAnsi="Arial"/>
                <w:sz w:val="9"/>
                <w:szCs w:val="9"/>
                <w:color w:val="auto"/>
              </w:rPr>
              <w:t xml:space="preserve">Set out in </w:t>
            </w:r>
            <w:r>
              <w:rPr>
                <w:rFonts w:ascii="Arial" w:cs="Arial" w:eastAsia="Arial" w:hAnsi="Arial"/>
                <w:sz w:val="9"/>
                <w:szCs w:val="9"/>
                <w:b w:val="1"/>
                <w:bCs w:val="1"/>
                <w:color w:val="auto"/>
              </w:rPr>
              <w:t>clause 16</w:t>
            </w: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51"/>
        </w:trPr>
        <w:tc>
          <w:tcPr>
            <w:tcW w:w="400" w:type="dxa"/>
            <w:vAlign w:val="bottom"/>
            <w:tcBorders>
              <w:right w:val="single" w:sz="8" w:color="A6A6A6"/>
            </w:tcBorders>
          </w:tcPr>
          <w:p>
            <w:pPr>
              <w:spacing w:after="0"/>
              <w:rPr>
                <w:sz w:val="4"/>
                <w:szCs w:val="4"/>
                <w:color w:val="auto"/>
              </w:rPr>
            </w:pPr>
          </w:p>
        </w:tc>
        <w:tc>
          <w:tcPr>
            <w:tcW w:w="260" w:type="dxa"/>
            <w:vAlign w:val="bottom"/>
            <w:tcBorders>
              <w:right w:val="single" w:sz="8" w:color="A6A6A6"/>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right w:val="single" w:sz="8" w:color="A6A6A6"/>
            </w:tcBorders>
            <w:vMerge w:val="continue"/>
          </w:tcPr>
          <w:p>
            <w:pPr>
              <w:spacing w:after="0"/>
              <w:rPr>
                <w:sz w:val="4"/>
                <w:szCs w:val="4"/>
                <w:color w:val="auto"/>
              </w:rPr>
            </w:pPr>
          </w:p>
        </w:tc>
        <w:tc>
          <w:tcPr>
            <w:tcW w:w="2560" w:type="dxa"/>
            <w:vAlign w:val="bottom"/>
            <w:tcBorders>
              <w:right w:val="single" w:sz="8" w:color="A6A6A6"/>
            </w:tcBorders>
            <w:vMerge w:val="continue"/>
          </w:tcPr>
          <w:p>
            <w:pPr>
              <w:spacing w:after="0"/>
              <w:rPr>
                <w:sz w:val="4"/>
                <w:szCs w:val="4"/>
                <w:color w:val="auto"/>
              </w:rPr>
            </w:pPr>
          </w:p>
        </w:tc>
        <w:tc>
          <w:tcPr>
            <w:tcW w:w="760" w:type="dxa"/>
            <w:vAlign w:val="bottom"/>
            <w:tcBorders>
              <w:right w:val="single" w:sz="8" w:color="A6A6A6"/>
            </w:tcBorders>
            <w:vMerge w:val="continue"/>
          </w:tcPr>
          <w:p>
            <w:pPr>
              <w:spacing w:after="0"/>
              <w:rPr>
                <w:sz w:val="4"/>
                <w:szCs w:val="4"/>
                <w:color w:val="auto"/>
              </w:rPr>
            </w:pPr>
          </w:p>
        </w:tc>
        <w:tc>
          <w:tcPr>
            <w:tcW w:w="4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400" w:type="dxa"/>
            <w:vAlign w:val="bottom"/>
            <w:tcBorders>
              <w:right w:val="single" w:sz="8" w:color="A6A6A6"/>
            </w:tcBorders>
          </w:tcPr>
          <w:p>
            <w:pPr>
              <w:spacing w:after="0"/>
              <w:rPr>
                <w:sz w:val="10"/>
                <w:szCs w:val="10"/>
                <w:color w:val="auto"/>
              </w:rPr>
            </w:pPr>
          </w:p>
        </w:tc>
        <w:tc>
          <w:tcPr>
            <w:tcW w:w="260" w:type="dxa"/>
            <w:vAlign w:val="bottom"/>
            <w:tcBorders>
              <w:bottom w:val="single" w:sz="8" w:color="A6A6A6"/>
              <w:right w:val="single" w:sz="8" w:color="A6A6A6"/>
            </w:tcBorders>
          </w:tcPr>
          <w:p>
            <w:pPr>
              <w:spacing w:after="0"/>
              <w:rPr>
                <w:sz w:val="10"/>
                <w:szCs w:val="10"/>
                <w:color w:val="auto"/>
              </w:rPr>
            </w:pPr>
          </w:p>
        </w:tc>
        <w:tc>
          <w:tcPr>
            <w:tcW w:w="20" w:type="dxa"/>
            <w:vAlign w:val="bottom"/>
            <w:tcBorders>
              <w:bottom w:val="single" w:sz="8" w:color="A6A6A6"/>
            </w:tcBorders>
          </w:tcPr>
          <w:p>
            <w:pPr>
              <w:spacing w:after="0"/>
              <w:rPr>
                <w:sz w:val="10"/>
                <w:szCs w:val="10"/>
                <w:color w:val="auto"/>
              </w:rPr>
            </w:pPr>
          </w:p>
        </w:tc>
        <w:tc>
          <w:tcPr>
            <w:tcW w:w="1260" w:type="dxa"/>
            <w:vAlign w:val="bottom"/>
            <w:tcBorders>
              <w:bottom w:val="single" w:sz="8" w:color="A6A6A6"/>
              <w:right w:val="single" w:sz="8" w:color="A6A6A6"/>
            </w:tcBorders>
          </w:tcPr>
          <w:p>
            <w:pPr>
              <w:spacing w:after="0"/>
              <w:rPr>
                <w:sz w:val="10"/>
                <w:szCs w:val="10"/>
                <w:color w:val="auto"/>
              </w:rPr>
            </w:pPr>
          </w:p>
        </w:tc>
        <w:tc>
          <w:tcPr>
            <w:tcW w:w="2560" w:type="dxa"/>
            <w:vAlign w:val="bottom"/>
            <w:tcBorders>
              <w:bottom w:val="single" w:sz="8" w:color="A6A6A6"/>
              <w:right w:val="single" w:sz="8" w:color="A6A6A6"/>
            </w:tcBorders>
          </w:tcPr>
          <w:p>
            <w:pPr>
              <w:spacing w:after="0"/>
              <w:rPr>
                <w:sz w:val="10"/>
                <w:szCs w:val="10"/>
                <w:color w:val="auto"/>
              </w:rPr>
            </w:pPr>
          </w:p>
        </w:tc>
        <w:tc>
          <w:tcPr>
            <w:tcW w:w="760" w:type="dxa"/>
            <w:vAlign w:val="bottom"/>
            <w:tcBorders>
              <w:bottom w:val="single" w:sz="8" w:color="A6A6A6"/>
              <w:right w:val="single" w:sz="8" w:color="A6A6A6"/>
            </w:tcBorders>
          </w:tcPr>
          <w:p>
            <w:pPr>
              <w:spacing w:after="0"/>
              <w:rPr>
                <w:sz w:val="10"/>
                <w:szCs w:val="10"/>
                <w:color w:val="auto"/>
              </w:rPr>
            </w:pPr>
          </w:p>
        </w:tc>
        <w:tc>
          <w:tcPr>
            <w:tcW w:w="4220" w:type="dxa"/>
            <w:vAlign w:val="bottom"/>
            <w:tcBorders>
              <w:bottom w:val="single" w:sz="8" w:color="A6A6A6"/>
            </w:tcBorders>
          </w:tcPr>
          <w:p>
            <w:pPr>
              <w:spacing w:after="0"/>
              <w:rPr>
                <w:sz w:val="10"/>
                <w:szCs w:val="10"/>
                <w:color w:val="auto"/>
              </w:rPr>
            </w:pPr>
          </w:p>
        </w:tc>
        <w:tc>
          <w:tcPr>
            <w:tcW w:w="480" w:type="dxa"/>
            <w:vAlign w:val="bottom"/>
            <w:tcBorders>
              <w:bottom w:val="single" w:sz="8" w:color="A6A6A6"/>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11</w:t>
            </w:r>
          </w:p>
        </w:tc>
        <w:tc>
          <w:tcPr>
            <w:tcW w:w="20" w:type="dxa"/>
            <w:vAlign w:val="bottom"/>
          </w:tcPr>
          <w:p>
            <w:pPr>
              <w:spacing w:after="0"/>
              <w:rPr>
                <w:sz w:val="16"/>
                <w:szCs w:val="16"/>
                <w:color w:val="auto"/>
              </w:rPr>
            </w:pPr>
          </w:p>
        </w:tc>
        <w:tc>
          <w:tcPr>
            <w:tcW w:w="126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Mortgage of lease</w:t>
            </w:r>
          </w:p>
        </w:tc>
        <w:tc>
          <w:tcPr>
            <w:tcW w:w="25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Reading Cinemas Pty Ltd</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4700" w:type="dxa"/>
            <w:vAlign w:val="bottom"/>
            <w:gridSpan w:val="2"/>
            <w:vMerge w:val="restart"/>
          </w:tcPr>
          <w:p>
            <w:pPr>
              <w:ind w:left="40"/>
              <w:spacing w:after="0"/>
              <w:rPr>
                <w:sz w:val="20"/>
                <w:szCs w:val="20"/>
                <w:color w:val="auto"/>
              </w:rPr>
            </w:pPr>
            <w:r>
              <w:rPr>
                <w:rFonts w:ascii="Arial" w:cs="Arial" w:eastAsia="Arial" w:hAnsi="Arial"/>
                <w:sz w:val="9"/>
                <w:szCs w:val="9"/>
                <w:color w:val="auto"/>
              </w:rPr>
              <w:t>The</w:t>
            </w:r>
          </w:p>
        </w:tc>
        <w:tc>
          <w:tcPr>
            <w:tcW w:w="0" w:type="dxa"/>
            <w:vAlign w:val="bottom"/>
          </w:tcPr>
          <w:p>
            <w:pPr>
              <w:spacing w:after="0"/>
              <w:rPr>
                <w:sz w:val="1"/>
                <w:szCs w:val="1"/>
                <w:color w:val="auto"/>
              </w:rPr>
            </w:pPr>
          </w:p>
        </w:tc>
      </w:tr>
      <w:tr>
        <w:trPr>
          <w:trHeight w:val="44"/>
        </w:trPr>
        <w:tc>
          <w:tcPr>
            <w:tcW w:w="400" w:type="dxa"/>
            <w:vAlign w:val="bottom"/>
            <w:tcBorders>
              <w:right w:val="single" w:sz="8" w:color="A6A6A6"/>
            </w:tcBorders>
          </w:tcPr>
          <w:p>
            <w:pPr>
              <w:spacing w:after="0"/>
              <w:rPr>
                <w:sz w:val="3"/>
                <w:szCs w:val="3"/>
                <w:color w:val="auto"/>
              </w:rPr>
            </w:pPr>
          </w:p>
        </w:tc>
        <w:tc>
          <w:tcPr>
            <w:tcW w:w="260" w:type="dxa"/>
            <w:vAlign w:val="bottom"/>
            <w:tcBorders>
              <w:right w:val="single" w:sz="8" w:color="A6A6A6"/>
            </w:tcBorders>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Borders>
              <w:right w:val="single" w:sz="8" w:color="A6A6A6"/>
            </w:tcBorders>
            <w:vMerge w:val="continue"/>
          </w:tcPr>
          <w:p>
            <w:pPr>
              <w:spacing w:after="0"/>
              <w:rPr>
                <w:sz w:val="3"/>
                <w:szCs w:val="3"/>
                <w:color w:val="auto"/>
              </w:rPr>
            </w:pPr>
          </w:p>
        </w:tc>
        <w:tc>
          <w:tcPr>
            <w:tcW w:w="2560" w:type="dxa"/>
            <w:vAlign w:val="bottom"/>
            <w:tcBorders>
              <w:right w:val="single" w:sz="8" w:color="A6A6A6"/>
            </w:tcBorders>
            <w:vMerge w:val="continue"/>
          </w:tcPr>
          <w:p>
            <w:pPr>
              <w:spacing w:after="0"/>
              <w:rPr>
                <w:sz w:val="3"/>
                <w:szCs w:val="3"/>
                <w:color w:val="auto"/>
              </w:rPr>
            </w:pPr>
          </w:p>
        </w:tc>
        <w:tc>
          <w:tcPr>
            <w:tcW w:w="760" w:type="dxa"/>
            <w:vAlign w:val="bottom"/>
            <w:tcBorders>
              <w:right w:val="single" w:sz="8" w:color="A6A6A6"/>
            </w:tcBorders>
            <w:vMerge w:val="continue"/>
          </w:tcPr>
          <w:p>
            <w:pPr>
              <w:spacing w:after="0"/>
              <w:rPr>
                <w:sz w:val="3"/>
                <w:szCs w:val="3"/>
                <w:color w:val="auto"/>
              </w:rPr>
            </w:pPr>
          </w:p>
        </w:tc>
        <w:tc>
          <w:tcPr>
            <w:tcW w:w="4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60" w:type="dxa"/>
            <w:vAlign w:val="bottom"/>
            <w:tcBorders>
              <w:right w:val="single" w:sz="8" w:color="A6A6A6"/>
            </w:tcBorders>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Borders>
              <w:right w:val="single" w:sz="8" w:color="A6A6A6"/>
            </w:tcBorders>
          </w:tcPr>
          <w:p>
            <w:pPr>
              <w:spacing w:after="0"/>
              <w:rPr>
                <w:sz w:val="9"/>
                <w:szCs w:val="9"/>
                <w:color w:val="auto"/>
              </w:rPr>
            </w:pPr>
          </w:p>
        </w:tc>
        <w:tc>
          <w:tcPr>
            <w:tcW w:w="2560" w:type="dxa"/>
            <w:vAlign w:val="bottom"/>
            <w:tcBorders>
              <w:right w:val="single" w:sz="8" w:color="A6A6A6"/>
            </w:tcBorders>
          </w:tcPr>
          <w:p>
            <w:pPr>
              <w:spacing w:after="0"/>
              <w:rPr>
                <w:sz w:val="9"/>
                <w:szCs w:val="9"/>
                <w:color w:val="auto"/>
              </w:rPr>
            </w:pPr>
          </w:p>
        </w:tc>
        <w:tc>
          <w:tcPr>
            <w:tcW w:w="760" w:type="dxa"/>
            <w:vAlign w:val="bottom"/>
            <w:tcBorders>
              <w:right w:val="single" w:sz="8" w:color="A6A6A6"/>
            </w:tcBorders>
          </w:tcPr>
          <w:p>
            <w:pPr>
              <w:spacing w:after="0"/>
              <w:rPr>
                <w:sz w:val="9"/>
                <w:szCs w:val="9"/>
                <w:color w:val="auto"/>
              </w:rPr>
            </w:pPr>
          </w:p>
        </w:tc>
        <w:tc>
          <w:tcPr>
            <w:tcW w:w="4700" w:type="dxa"/>
            <w:vAlign w:val="bottom"/>
            <w:gridSpan w:val="2"/>
          </w:tcPr>
          <w:p>
            <w:pPr>
              <w:ind w:left="40"/>
              <w:spacing w:after="0"/>
              <w:rPr>
                <w:sz w:val="20"/>
                <w:szCs w:val="20"/>
                <w:color w:val="auto"/>
              </w:rPr>
            </w:pPr>
            <w:r>
              <w:rPr>
                <w:rFonts w:ascii="Arial" w:cs="Arial" w:eastAsia="Arial" w:hAnsi="Arial"/>
                <w:sz w:val="9"/>
                <w:szCs w:val="9"/>
                <w:color w:val="auto"/>
              </w:rPr>
              <w:t>leasehold land improvements known as Reading Cinema Waurn Ponds, Corner Pioneer Road and Princes Highway,</w:t>
            </w: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260" w:type="dxa"/>
            <w:vAlign w:val="bottom"/>
            <w:tcBorders>
              <w:right w:val="single" w:sz="8" w:color="A6A6A6"/>
            </w:tcBorders>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Borders>
              <w:right w:val="single" w:sz="8" w:color="A6A6A6"/>
            </w:tcBorders>
          </w:tcPr>
          <w:p>
            <w:pPr>
              <w:spacing w:after="0"/>
              <w:rPr>
                <w:sz w:val="9"/>
                <w:szCs w:val="9"/>
                <w:color w:val="auto"/>
              </w:rPr>
            </w:pPr>
          </w:p>
        </w:tc>
        <w:tc>
          <w:tcPr>
            <w:tcW w:w="2560" w:type="dxa"/>
            <w:vAlign w:val="bottom"/>
            <w:tcBorders>
              <w:right w:val="single" w:sz="8" w:color="A6A6A6"/>
            </w:tcBorders>
          </w:tcPr>
          <w:p>
            <w:pPr>
              <w:spacing w:after="0"/>
              <w:rPr>
                <w:sz w:val="9"/>
                <w:szCs w:val="9"/>
                <w:color w:val="auto"/>
              </w:rPr>
            </w:pPr>
          </w:p>
        </w:tc>
        <w:tc>
          <w:tcPr>
            <w:tcW w:w="760" w:type="dxa"/>
            <w:vAlign w:val="bottom"/>
            <w:tcBorders>
              <w:right w:val="single" w:sz="8" w:color="A6A6A6"/>
            </w:tcBorders>
          </w:tcPr>
          <w:p>
            <w:pPr>
              <w:spacing w:after="0"/>
              <w:rPr>
                <w:sz w:val="9"/>
                <w:szCs w:val="9"/>
                <w:color w:val="auto"/>
              </w:rPr>
            </w:pPr>
          </w:p>
        </w:tc>
        <w:tc>
          <w:tcPr>
            <w:tcW w:w="4700" w:type="dxa"/>
            <w:vAlign w:val="bottom"/>
            <w:gridSpan w:val="2"/>
          </w:tcPr>
          <w:p>
            <w:pPr>
              <w:ind w:left="40"/>
              <w:spacing w:after="0"/>
              <w:rPr>
                <w:sz w:val="20"/>
                <w:szCs w:val="20"/>
                <w:color w:val="auto"/>
              </w:rPr>
            </w:pPr>
            <w:r>
              <w:rPr>
                <w:rFonts w:ascii="Arial" w:cs="Arial" w:eastAsia="Arial" w:hAnsi="Arial"/>
                <w:sz w:val="9"/>
                <w:szCs w:val="9"/>
                <w:color w:val="auto"/>
              </w:rPr>
              <w:t>title volume 10530 folio 739.</w:t>
            </w:r>
          </w:p>
        </w:tc>
        <w:tc>
          <w:tcPr>
            <w:tcW w:w="0" w:type="dxa"/>
            <w:vAlign w:val="bottom"/>
          </w:tcPr>
          <w:p>
            <w:pPr>
              <w:spacing w:after="0"/>
              <w:rPr>
                <w:sz w:val="1"/>
                <w:szCs w:val="1"/>
                <w:color w:val="auto"/>
              </w:rPr>
            </w:pPr>
          </w:p>
        </w:tc>
      </w:tr>
      <w:tr>
        <w:trPr>
          <w:trHeight w:val="447"/>
        </w:trPr>
        <w:tc>
          <w:tcPr>
            <w:tcW w:w="400" w:type="dxa"/>
            <w:vAlign w:val="bottom"/>
            <w:tcBorders>
              <w:right w:val="single" w:sz="8" w:color="A6A6A6"/>
            </w:tcBorders>
          </w:tcPr>
          <w:p>
            <w:pPr>
              <w:spacing w:after="0"/>
              <w:rPr>
                <w:sz w:val="24"/>
                <w:szCs w:val="24"/>
                <w:color w:val="auto"/>
              </w:rPr>
            </w:pPr>
          </w:p>
        </w:tc>
        <w:tc>
          <w:tcPr>
            <w:tcW w:w="260" w:type="dxa"/>
            <w:vAlign w:val="bottom"/>
            <w:tcBorders>
              <w:bottom w:val="single" w:sz="8" w:color="A6A6A6"/>
              <w:right w:val="single" w:sz="8" w:color="A6A6A6"/>
            </w:tcBorders>
          </w:tcPr>
          <w:p>
            <w:pPr>
              <w:spacing w:after="0"/>
              <w:rPr>
                <w:sz w:val="24"/>
                <w:szCs w:val="24"/>
                <w:color w:val="auto"/>
              </w:rPr>
            </w:pPr>
          </w:p>
        </w:tc>
        <w:tc>
          <w:tcPr>
            <w:tcW w:w="20" w:type="dxa"/>
            <w:vAlign w:val="bottom"/>
            <w:tcBorders>
              <w:bottom w:val="single" w:sz="8" w:color="A6A6A6"/>
            </w:tcBorders>
          </w:tcPr>
          <w:p>
            <w:pPr>
              <w:spacing w:after="0"/>
              <w:rPr>
                <w:sz w:val="24"/>
                <w:szCs w:val="24"/>
                <w:color w:val="auto"/>
              </w:rPr>
            </w:pPr>
          </w:p>
        </w:tc>
        <w:tc>
          <w:tcPr>
            <w:tcW w:w="1260" w:type="dxa"/>
            <w:vAlign w:val="bottom"/>
            <w:tcBorders>
              <w:bottom w:val="single" w:sz="8" w:color="A6A6A6"/>
              <w:right w:val="single" w:sz="8" w:color="A6A6A6"/>
            </w:tcBorders>
          </w:tcPr>
          <w:p>
            <w:pPr>
              <w:spacing w:after="0"/>
              <w:rPr>
                <w:sz w:val="24"/>
                <w:szCs w:val="24"/>
                <w:color w:val="auto"/>
              </w:rPr>
            </w:pPr>
          </w:p>
        </w:tc>
        <w:tc>
          <w:tcPr>
            <w:tcW w:w="2560" w:type="dxa"/>
            <w:vAlign w:val="bottom"/>
            <w:tcBorders>
              <w:bottom w:val="single" w:sz="8" w:color="A6A6A6"/>
              <w:right w:val="single" w:sz="8" w:color="A6A6A6"/>
            </w:tcBorders>
          </w:tcPr>
          <w:p>
            <w:pPr>
              <w:spacing w:after="0"/>
              <w:rPr>
                <w:sz w:val="24"/>
                <w:szCs w:val="24"/>
                <w:color w:val="auto"/>
              </w:rPr>
            </w:pPr>
          </w:p>
        </w:tc>
        <w:tc>
          <w:tcPr>
            <w:tcW w:w="760" w:type="dxa"/>
            <w:vAlign w:val="bottom"/>
            <w:tcBorders>
              <w:bottom w:val="single" w:sz="8" w:color="A6A6A6"/>
              <w:right w:val="single" w:sz="8" w:color="A6A6A6"/>
            </w:tcBorders>
          </w:tcPr>
          <w:p>
            <w:pPr>
              <w:spacing w:after="0"/>
              <w:rPr>
                <w:sz w:val="24"/>
                <w:szCs w:val="24"/>
                <w:color w:val="auto"/>
              </w:rPr>
            </w:pPr>
          </w:p>
        </w:tc>
        <w:tc>
          <w:tcPr>
            <w:tcW w:w="4220" w:type="dxa"/>
            <w:vAlign w:val="bottom"/>
            <w:tcBorders>
              <w:bottom w:val="single" w:sz="8" w:color="A6A6A6"/>
            </w:tcBorders>
          </w:tcPr>
          <w:p>
            <w:pPr>
              <w:spacing w:after="0"/>
              <w:rPr>
                <w:sz w:val="24"/>
                <w:szCs w:val="24"/>
                <w:color w:val="auto"/>
              </w:rPr>
            </w:pPr>
          </w:p>
        </w:tc>
        <w:tc>
          <w:tcPr>
            <w:tcW w:w="48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00" w:type="dxa"/>
            <w:vAlign w:val="bottom"/>
            <w:tcBorders>
              <w:right w:val="single" w:sz="8" w:color="A6A6A6"/>
            </w:tcBorders>
          </w:tcPr>
          <w:p>
            <w:pPr>
              <w:spacing w:after="0"/>
              <w:rPr>
                <w:sz w:val="15"/>
                <w:szCs w:val="15"/>
                <w:color w:val="auto"/>
              </w:rPr>
            </w:pPr>
          </w:p>
        </w:tc>
        <w:tc>
          <w:tcPr>
            <w:tcW w:w="2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12</w:t>
            </w:r>
          </w:p>
        </w:tc>
        <w:tc>
          <w:tcPr>
            <w:tcW w:w="20" w:type="dxa"/>
            <w:vAlign w:val="bottom"/>
          </w:tcPr>
          <w:p>
            <w:pPr>
              <w:spacing w:after="0"/>
              <w:rPr>
                <w:sz w:val="15"/>
                <w:szCs w:val="15"/>
                <w:color w:val="auto"/>
              </w:rPr>
            </w:pPr>
          </w:p>
        </w:tc>
        <w:tc>
          <w:tcPr>
            <w:tcW w:w="126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Deed of consent</w:t>
            </w:r>
          </w:p>
        </w:tc>
        <w:tc>
          <w:tcPr>
            <w:tcW w:w="25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Relevant landlords</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4700" w:type="dxa"/>
            <w:vAlign w:val="bottom"/>
            <w:gridSpan w:val="2"/>
          </w:tcPr>
          <w:p>
            <w:pPr>
              <w:ind w:left="20"/>
              <w:spacing w:after="0"/>
              <w:rPr>
                <w:sz w:val="20"/>
                <w:szCs w:val="20"/>
                <w:color w:val="auto"/>
              </w:rPr>
            </w:pPr>
            <w:r>
              <w:rPr>
                <w:rFonts w:ascii="Arial" w:cs="Arial" w:eastAsia="Arial" w:hAnsi="Arial"/>
                <w:sz w:val="9"/>
                <w:szCs w:val="9"/>
                <w:color w:val="auto"/>
                <w:w w:val="99"/>
              </w:rPr>
              <w:t>Deeds of consent landlords of leased cinema properties except for cinema properties located in Dubbo and Mt Gravatt</w:t>
            </w:r>
          </w:p>
        </w:tc>
        <w:tc>
          <w:tcPr>
            <w:tcW w:w="0" w:type="dxa"/>
            <w:vAlign w:val="bottom"/>
          </w:tcPr>
          <w:p>
            <w:pPr>
              <w:spacing w:after="0"/>
              <w:rPr>
                <w:sz w:val="1"/>
                <w:szCs w:val="1"/>
                <w:color w:val="auto"/>
              </w:rPr>
            </w:pPr>
          </w:p>
        </w:tc>
      </w:tr>
      <w:tr>
        <w:trPr>
          <w:trHeight w:val="60"/>
        </w:trPr>
        <w:tc>
          <w:tcPr>
            <w:tcW w:w="400" w:type="dxa"/>
            <w:vAlign w:val="bottom"/>
            <w:tcBorders>
              <w:right w:val="single" w:sz="8" w:color="A6A6A6"/>
            </w:tcBorders>
          </w:tcPr>
          <w:p>
            <w:pPr>
              <w:spacing w:after="0"/>
              <w:rPr>
                <w:sz w:val="5"/>
                <w:szCs w:val="5"/>
                <w:color w:val="auto"/>
              </w:rPr>
            </w:pPr>
          </w:p>
        </w:tc>
        <w:tc>
          <w:tcPr>
            <w:tcW w:w="260" w:type="dxa"/>
            <w:vAlign w:val="bottom"/>
            <w:tcBorders>
              <w:right w:val="single" w:sz="8" w:color="A6A6A6"/>
            </w:tcBorders>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Borders>
              <w:right w:val="single" w:sz="8" w:color="A6A6A6"/>
            </w:tcBorders>
            <w:vMerge w:val="continue"/>
          </w:tcPr>
          <w:p>
            <w:pPr>
              <w:spacing w:after="0"/>
              <w:rPr>
                <w:sz w:val="5"/>
                <w:szCs w:val="5"/>
                <w:color w:val="auto"/>
              </w:rPr>
            </w:pPr>
          </w:p>
        </w:tc>
        <w:tc>
          <w:tcPr>
            <w:tcW w:w="2560" w:type="dxa"/>
            <w:vAlign w:val="bottom"/>
            <w:tcBorders>
              <w:right w:val="single" w:sz="8" w:color="A6A6A6"/>
            </w:tcBorders>
            <w:vMerge w:val="continue"/>
          </w:tcPr>
          <w:p>
            <w:pPr>
              <w:spacing w:after="0"/>
              <w:rPr>
                <w:sz w:val="5"/>
                <w:szCs w:val="5"/>
                <w:color w:val="auto"/>
              </w:rPr>
            </w:pPr>
          </w:p>
        </w:tc>
        <w:tc>
          <w:tcPr>
            <w:tcW w:w="760" w:type="dxa"/>
            <w:vAlign w:val="bottom"/>
            <w:tcBorders>
              <w:right w:val="single" w:sz="8" w:color="A6A6A6"/>
            </w:tcBorders>
            <w:vMerge w:val="continue"/>
          </w:tcPr>
          <w:p>
            <w:pPr>
              <w:spacing w:after="0"/>
              <w:rPr>
                <w:sz w:val="5"/>
                <w:szCs w:val="5"/>
                <w:color w:val="auto"/>
              </w:rPr>
            </w:pPr>
          </w:p>
        </w:tc>
        <w:tc>
          <w:tcPr>
            <w:tcW w:w="4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7"/>
        </w:trPr>
        <w:tc>
          <w:tcPr>
            <w:tcW w:w="400" w:type="dxa"/>
            <w:vAlign w:val="bottom"/>
            <w:tcBorders>
              <w:right w:val="single" w:sz="8" w:color="A6A6A6"/>
            </w:tcBorders>
          </w:tcPr>
          <w:p>
            <w:pPr>
              <w:spacing w:after="0"/>
              <w:rPr>
                <w:sz w:val="24"/>
                <w:szCs w:val="24"/>
                <w:color w:val="auto"/>
              </w:rPr>
            </w:pPr>
          </w:p>
        </w:tc>
        <w:tc>
          <w:tcPr>
            <w:tcW w:w="260" w:type="dxa"/>
            <w:vAlign w:val="bottom"/>
            <w:tcBorders>
              <w:bottom w:val="single" w:sz="8" w:color="A6A6A6"/>
              <w:right w:val="single" w:sz="8" w:color="A6A6A6"/>
            </w:tcBorders>
          </w:tcPr>
          <w:p>
            <w:pPr>
              <w:spacing w:after="0"/>
              <w:rPr>
                <w:sz w:val="24"/>
                <w:szCs w:val="24"/>
                <w:color w:val="auto"/>
              </w:rPr>
            </w:pPr>
          </w:p>
        </w:tc>
        <w:tc>
          <w:tcPr>
            <w:tcW w:w="20" w:type="dxa"/>
            <w:vAlign w:val="bottom"/>
            <w:tcBorders>
              <w:bottom w:val="single" w:sz="8" w:color="A6A6A6"/>
            </w:tcBorders>
          </w:tcPr>
          <w:p>
            <w:pPr>
              <w:spacing w:after="0"/>
              <w:rPr>
                <w:sz w:val="24"/>
                <w:szCs w:val="24"/>
                <w:color w:val="auto"/>
              </w:rPr>
            </w:pPr>
          </w:p>
        </w:tc>
        <w:tc>
          <w:tcPr>
            <w:tcW w:w="1260" w:type="dxa"/>
            <w:vAlign w:val="bottom"/>
            <w:tcBorders>
              <w:bottom w:val="single" w:sz="8" w:color="A6A6A6"/>
              <w:right w:val="single" w:sz="8" w:color="A6A6A6"/>
            </w:tcBorders>
          </w:tcPr>
          <w:p>
            <w:pPr>
              <w:spacing w:after="0"/>
              <w:rPr>
                <w:sz w:val="24"/>
                <w:szCs w:val="24"/>
                <w:color w:val="auto"/>
              </w:rPr>
            </w:pPr>
          </w:p>
        </w:tc>
        <w:tc>
          <w:tcPr>
            <w:tcW w:w="2560" w:type="dxa"/>
            <w:vAlign w:val="bottom"/>
            <w:tcBorders>
              <w:bottom w:val="single" w:sz="8" w:color="A6A6A6"/>
              <w:right w:val="single" w:sz="8" w:color="A6A6A6"/>
            </w:tcBorders>
          </w:tcPr>
          <w:p>
            <w:pPr>
              <w:spacing w:after="0"/>
              <w:rPr>
                <w:sz w:val="24"/>
                <w:szCs w:val="24"/>
                <w:color w:val="auto"/>
              </w:rPr>
            </w:pPr>
          </w:p>
        </w:tc>
        <w:tc>
          <w:tcPr>
            <w:tcW w:w="760" w:type="dxa"/>
            <w:vAlign w:val="bottom"/>
            <w:tcBorders>
              <w:bottom w:val="single" w:sz="8" w:color="A6A6A6"/>
              <w:right w:val="single" w:sz="8" w:color="A6A6A6"/>
            </w:tcBorders>
          </w:tcPr>
          <w:p>
            <w:pPr>
              <w:spacing w:after="0"/>
              <w:rPr>
                <w:sz w:val="24"/>
                <w:szCs w:val="24"/>
                <w:color w:val="auto"/>
              </w:rPr>
            </w:pPr>
          </w:p>
        </w:tc>
        <w:tc>
          <w:tcPr>
            <w:tcW w:w="4220" w:type="dxa"/>
            <w:vAlign w:val="bottom"/>
            <w:tcBorders>
              <w:bottom w:val="single" w:sz="8" w:color="A6A6A6"/>
            </w:tcBorders>
          </w:tcPr>
          <w:p>
            <w:pPr>
              <w:spacing w:after="0"/>
              <w:rPr>
                <w:sz w:val="24"/>
                <w:szCs w:val="24"/>
                <w:color w:val="auto"/>
              </w:rPr>
            </w:pPr>
          </w:p>
        </w:tc>
        <w:tc>
          <w:tcPr>
            <w:tcW w:w="48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2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13</w:t>
            </w:r>
          </w:p>
        </w:tc>
        <w:tc>
          <w:tcPr>
            <w:tcW w:w="20" w:type="dxa"/>
            <w:vAlign w:val="bottom"/>
          </w:tcPr>
          <w:p>
            <w:pPr>
              <w:spacing w:after="0"/>
              <w:rPr>
                <w:sz w:val="16"/>
                <w:szCs w:val="16"/>
                <w:color w:val="auto"/>
              </w:rPr>
            </w:pPr>
          </w:p>
        </w:tc>
        <w:tc>
          <w:tcPr>
            <w:tcW w:w="1260" w:type="dxa"/>
            <w:vAlign w:val="bottom"/>
            <w:tcBorders>
              <w:right w:val="single" w:sz="8" w:color="A6A6A6"/>
            </w:tcBorders>
            <w:vMerge w:val="restart"/>
          </w:tcPr>
          <w:p>
            <w:pPr>
              <w:ind w:left="20"/>
              <w:spacing w:after="0"/>
              <w:rPr>
                <w:sz w:val="20"/>
                <w:szCs w:val="20"/>
                <w:color w:val="auto"/>
              </w:rPr>
            </w:pPr>
            <w:r>
              <w:rPr>
                <w:rFonts w:ascii="Arial" w:cs="Arial" w:eastAsia="Arial" w:hAnsi="Arial"/>
                <w:sz w:val="9"/>
                <w:szCs w:val="9"/>
                <w:color w:val="auto"/>
              </w:rPr>
              <w:t>Deed of subordination</w:t>
            </w:r>
          </w:p>
        </w:tc>
        <w:tc>
          <w:tcPr>
            <w:tcW w:w="25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Borrower</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4700" w:type="dxa"/>
            <w:vAlign w:val="bottom"/>
            <w:gridSpan w:val="2"/>
            <w:vMerge w:val="restart"/>
          </w:tcPr>
          <w:p>
            <w:pPr>
              <w:ind w:left="40"/>
              <w:spacing w:after="0"/>
              <w:rPr>
                <w:sz w:val="20"/>
                <w:szCs w:val="20"/>
                <w:color w:val="auto"/>
              </w:rPr>
            </w:pPr>
            <w:r>
              <w:rPr>
                <w:rFonts w:ascii="Arial" w:cs="Arial" w:eastAsia="Arial" w:hAnsi="Arial"/>
                <w:sz w:val="9"/>
                <w:szCs w:val="9"/>
                <w:color w:val="auto"/>
              </w:rPr>
              <w:t>Deed of subordination between the Borrower, Reading International Cinemas LLC and the Bank.</w:t>
            </w:r>
          </w:p>
        </w:tc>
        <w:tc>
          <w:tcPr>
            <w:tcW w:w="0" w:type="dxa"/>
            <w:vAlign w:val="bottom"/>
          </w:tcPr>
          <w:p>
            <w:pPr>
              <w:spacing w:after="0"/>
              <w:rPr>
                <w:sz w:val="1"/>
                <w:szCs w:val="1"/>
                <w:color w:val="auto"/>
              </w:rPr>
            </w:pPr>
          </w:p>
        </w:tc>
      </w:tr>
      <w:tr>
        <w:trPr>
          <w:trHeight w:val="45"/>
        </w:trPr>
        <w:tc>
          <w:tcPr>
            <w:tcW w:w="400" w:type="dxa"/>
            <w:vAlign w:val="bottom"/>
            <w:tcBorders>
              <w:right w:val="single" w:sz="8" w:color="A6A6A6"/>
            </w:tcBorders>
          </w:tcPr>
          <w:p>
            <w:pPr>
              <w:spacing w:after="0"/>
              <w:rPr>
                <w:sz w:val="3"/>
                <w:szCs w:val="3"/>
                <w:color w:val="auto"/>
              </w:rPr>
            </w:pPr>
          </w:p>
        </w:tc>
        <w:tc>
          <w:tcPr>
            <w:tcW w:w="260" w:type="dxa"/>
            <w:vAlign w:val="bottom"/>
            <w:tcBorders>
              <w:right w:val="single" w:sz="8" w:color="A6A6A6"/>
            </w:tcBorders>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Borders>
              <w:right w:val="single" w:sz="8" w:color="A6A6A6"/>
            </w:tcBorders>
            <w:vMerge w:val="continue"/>
          </w:tcPr>
          <w:p>
            <w:pPr>
              <w:spacing w:after="0"/>
              <w:rPr>
                <w:sz w:val="3"/>
                <w:szCs w:val="3"/>
                <w:color w:val="auto"/>
              </w:rPr>
            </w:pPr>
          </w:p>
        </w:tc>
        <w:tc>
          <w:tcPr>
            <w:tcW w:w="2560" w:type="dxa"/>
            <w:vAlign w:val="bottom"/>
            <w:tcBorders>
              <w:right w:val="single" w:sz="8" w:color="A6A6A6"/>
            </w:tcBorders>
            <w:vMerge w:val="continue"/>
          </w:tcPr>
          <w:p>
            <w:pPr>
              <w:spacing w:after="0"/>
              <w:rPr>
                <w:sz w:val="3"/>
                <w:szCs w:val="3"/>
                <w:color w:val="auto"/>
              </w:rPr>
            </w:pPr>
          </w:p>
        </w:tc>
        <w:tc>
          <w:tcPr>
            <w:tcW w:w="760" w:type="dxa"/>
            <w:vAlign w:val="bottom"/>
            <w:tcBorders>
              <w:right w:val="single" w:sz="8" w:color="A6A6A6"/>
            </w:tcBorders>
            <w:vMerge w:val="continue"/>
          </w:tcPr>
          <w:p>
            <w:pPr>
              <w:spacing w:after="0"/>
              <w:rPr>
                <w:sz w:val="3"/>
                <w:szCs w:val="3"/>
                <w:color w:val="auto"/>
              </w:rPr>
            </w:pPr>
          </w:p>
        </w:tc>
        <w:tc>
          <w:tcPr>
            <w:tcW w:w="4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00" w:type="dxa"/>
            <w:vAlign w:val="bottom"/>
            <w:tcBorders>
              <w:right w:val="single" w:sz="8" w:color="A6A6A6"/>
            </w:tcBorders>
          </w:tcPr>
          <w:p>
            <w:pPr>
              <w:spacing w:after="0"/>
              <w:rPr>
                <w:sz w:val="21"/>
                <w:szCs w:val="21"/>
                <w:color w:val="auto"/>
              </w:rPr>
            </w:pPr>
          </w:p>
        </w:tc>
        <w:tc>
          <w:tcPr>
            <w:tcW w:w="260" w:type="dxa"/>
            <w:vAlign w:val="bottom"/>
            <w:tcBorders>
              <w:right w:val="single" w:sz="8" w:color="A6A6A6"/>
            </w:tcBorders>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Borders>
              <w:right w:val="single" w:sz="8" w:color="A6A6A6"/>
            </w:tcBorders>
          </w:tcPr>
          <w:p>
            <w:pPr>
              <w:spacing w:after="0"/>
              <w:rPr>
                <w:sz w:val="21"/>
                <w:szCs w:val="21"/>
                <w:color w:val="auto"/>
              </w:rPr>
            </w:pPr>
          </w:p>
        </w:tc>
        <w:tc>
          <w:tcPr>
            <w:tcW w:w="256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Reading International Cinemas LLC</w:t>
            </w:r>
          </w:p>
        </w:tc>
        <w:tc>
          <w:tcPr>
            <w:tcW w:w="760" w:type="dxa"/>
            <w:vAlign w:val="bottom"/>
            <w:tcBorders>
              <w:right w:val="single" w:sz="8" w:color="A6A6A6"/>
            </w:tcBorders>
          </w:tcPr>
          <w:p>
            <w:pPr>
              <w:spacing w:after="0"/>
              <w:rPr>
                <w:sz w:val="21"/>
                <w:szCs w:val="21"/>
                <w:color w:val="auto"/>
              </w:rPr>
            </w:pPr>
          </w:p>
        </w:tc>
        <w:tc>
          <w:tcPr>
            <w:tcW w:w="4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400" w:type="dxa"/>
            <w:vAlign w:val="bottom"/>
            <w:tcBorders>
              <w:right w:val="single" w:sz="8" w:color="A6A6A6"/>
            </w:tcBorders>
          </w:tcPr>
          <w:p>
            <w:pPr>
              <w:spacing w:after="0"/>
              <w:rPr>
                <w:sz w:val="12"/>
                <w:szCs w:val="12"/>
                <w:color w:val="auto"/>
              </w:rPr>
            </w:pPr>
          </w:p>
        </w:tc>
        <w:tc>
          <w:tcPr>
            <w:tcW w:w="260" w:type="dxa"/>
            <w:vAlign w:val="bottom"/>
            <w:tcBorders>
              <w:bottom w:val="single" w:sz="8" w:color="A6A6A6"/>
              <w:right w:val="single" w:sz="8" w:color="A6A6A6"/>
            </w:tcBorders>
          </w:tcPr>
          <w:p>
            <w:pPr>
              <w:spacing w:after="0"/>
              <w:rPr>
                <w:sz w:val="12"/>
                <w:szCs w:val="12"/>
                <w:color w:val="auto"/>
              </w:rPr>
            </w:pPr>
          </w:p>
        </w:tc>
        <w:tc>
          <w:tcPr>
            <w:tcW w:w="1280" w:type="dxa"/>
            <w:vAlign w:val="bottom"/>
            <w:tcBorders>
              <w:bottom w:val="single" w:sz="8" w:color="A6A6A6"/>
              <w:right w:val="single" w:sz="8" w:color="A6A6A6"/>
            </w:tcBorders>
            <w:gridSpan w:val="2"/>
          </w:tcPr>
          <w:p>
            <w:pPr>
              <w:spacing w:after="0"/>
              <w:rPr>
                <w:sz w:val="12"/>
                <w:szCs w:val="12"/>
                <w:color w:val="auto"/>
              </w:rPr>
            </w:pPr>
          </w:p>
        </w:tc>
        <w:tc>
          <w:tcPr>
            <w:tcW w:w="2560" w:type="dxa"/>
            <w:vAlign w:val="bottom"/>
            <w:tcBorders>
              <w:bottom w:val="single" w:sz="8" w:color="A6A6A6"/>
              <w:right w:val="single" w:sz="8" w:color="A6A6A6"/>
            </w:tcBorders>
          </w:tcPr>
          <w:p>
            <w:pPr>
              <w:spacing w:after="0"/>
              <w:rPr>
                <w:sz w:val="12"/>
                <w:szCs w:val="12"/>
                <w:color w:val="auto"/>
              </w:rPr>
            </w:pPr>
          </w:p>
        </w:tc>
        <w:tc>
          <w:tcPr>
            <w:tcW w:w="760" w:type="dxa"/>
            <w:vAlign w:val="bottom"/>
            <w:tcBorders>
              <w:bottom w:val="single" w:sz="8" w:color="A6A6A6"/>
              <w:right w:val="single" w:sz="8" w:color="A6A6A6"/>
            </w:tcBorders>
          </w:tcPr>
          <w:p>
            <w:pPr>
              <w:spacing w:after="0"/>
              <w:rPr>
                <w:sz w:val="12"/>
                <w:szCs w:val="12"/>
                <w:color w:val="auto"/>
              </w:rPr>
            </w:pPr>
          </w:p>
        </w:tc>
        <w:tc>
          <w:tcPr>
            <w:tcW w:w="4220" w:type="dxa"/>
            <w:vAlign w:val="bottom"/>
            <w:tcBorders>
              <w:bottom w:val="single" w:sz="8" w:color="A6A6A6"/>
            </w:tcBorders>
          </w:tcPr>
          <w:p>
            <w:pPr>
              <w:spacing w:after="0"/>
              <w:rPr>
                <w:sz w:val="12"/>
                <w:szCs w:val="12"/>
                <w:color w:val="auto"/>
              </w:rPr>
            </w:pPr>
          </w:p>
        </w:tc>
        <w:tc>
          <w:tcPr>
            <w:tcW w:w="480" w:type="dxa"/>
            <w:vAlign w:val="bottom"/>
            <w:tcBorders>
              <w:bottom w:val="single" w:sz="8" w:color="A6A6A6"/>
            </w:tcBorders>
          </w:tcPr>
          <w:p>
            <w:pPr>
              <w:spacing w:after="0"/>
              <w:rPr>
                <w:sz w:val="12"/>
                <w:szCs w:val="12"/>
                <w:color w:val="auto"/>
              </w:rPr>
            </w:pPr>
          </w:p>
        </w:tc>
        <w:tc>
          <w:tcPr>
            <w:tcW w:w="0" w:type="dxa"/>
            <w:vAlign w:val="bottom"/>
          </w:tcPr>
          <w:p>
            <w:pPr>
              <w:spacing w:after="0"/>
              <w:rPr>
                <w:sz w:val="1"/>
                <w:szCs w:val="1"/>
                <w:color w:val="auto"/>
              </w:rPr>
            </w:pPr>
          </w:p>
        </w:tc>
      </w:tr>
      <w:tr>
        <w:trPr>
          <w:trHeight w:val="610"/>
        </w:trPr>
        <w:tc>
          <w:tcPr>
            <w:tcW w:w="680" w:type="dxa"/>
            <w:vAlign w:val="bottom"/>
            <w:tcBorders>
              <w:bottom w:val="single" w:sz="8" w:color="8BD8FF"/>
            </w:tcBorders>
            <w:gridSpan w:val="3"/>
          </w:tcPr>
          <w:p>
            <w:pPr>
              <w:spacing w:after="0"/>
              <w:rPr>
                <w:sz w:val="20"/>
                <w:szCs w:val="20"/>
                <w:color w:val="auto"/>
              </w:rPr>
            </w:pPr>
            <w:r>
              <w:rPr>
                <w:rFonts w:ascii="Arial" w:cs="Arial" w:eastAsia="Arial" w:hAnsi="Arial"/>
                <w:sz w:val="8"/>
                <w:szCs w:val="8"/>
                <w:color w:val="8BD8FF"/>
                <w:w w:val="98"/>
              </w:rPr>
              <w:t>3468-7174-2245v7</w:t>
            </w:r>
          </w:p>
        </w:tc>
        <w:tc>
          <w:tcPr>
            <w:tcW w:w="126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00" w:type="dxa"/>
            <w:vAlign w:val="bottom"/>
            <w:gridSpan w:val="2"/>
          </w:tcPr>
          <w:p>
            <w:pPr>
              <w:ind w:left="3900"/>
              <w:spacing w:after="0"/>
              <w:rPr>
                <w:sz w:val="20"/>
                <w:szCs w:val="20"/>
                <w:color w:val="auto"/>
              </w:rPr>
            </w:pPr>
            <w:r>
              <w:rPr>
                <w:rFonts w:ascii="Arial" w:cs="Arial" w:eastAsia="Arial" w:hAnsi="Arial"/>
                <w:sz w:val="8"/>
                <w:szCs w:val="8"/>
                <w:color w:val="auto"/>
              </w:rPr>
              <w:t>Page 83</w:t>
            </w:r>
          </w:p>
        </w:tc>
        <w:tc>
          <w:tcPr>
            <w:tcW w:w="0" w:type="dxa"/>
            <w:vAlign w:val="bottom"/>
          </w:tcPr>
          <w:p>
            <w:pPr>
              <w:spacing w:after="0"/>
              <w:rPr>
                <w:sz w:val="1"/>
                <w:szCs w:val="1"/>
                <w:color w:val="auto"/>
              </w:rPr>
            </w:pPr>
          </w:p>
        </w:tc>
      </w:tr>
      <w:tr>
        <w:trPr>
          <w:trHeight w:val="94"/>
        </w:trPr>
        <w:tc>
          <w:tcPr>
            <w:tcW w:w="680" w:type="dxa"/>
            <w:vAlign w:val="bottom"/>
            <w:gridSpan w:val="3"/>
          </w:tcPr>
          <w:p>
            <w:pPr>
              <w:spacing w:after="0"/>
              <w:rPr>
                <w:sz w:val="20"/>
                <w:szCs w:val="20"/>
                <w:color w:val="auto"/>
              </w:rPr>
            </w:pPr>
            <w:r>
              <w:rPr>
                <w:rFonts w:ascii="Arial" w:cs="Arial" w:eastAsia="Arial" w:hAnsi="Arial"/>
                <w:sz w:val="8"/>
                <w:szCs w:val="8"/>
                <w:color w:val="auto"/>
                <w:w w:val="99"/>
              </w:rPr>
              <w:t>Facility Agreement</w:t>
            </w:r>
          </w:p>
        </w:tc>
        <w:tc>
          <w:tcPr>
            <w:tcW w:w="12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0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1260" w:type="dxa"/>
            <w:vAlign w:val="bottom"/>
            <w:tcBorders>
              <w:bottom w:val="single" w:sz="8" w:color="EEEEEE"/>
            </w:tcBorders>
          </w:tcPr>
          <w:p>
            <w:pPr>
              <w:spacing w:after="0"/>
              <w:rPr>
                <w:sz w:val="18"/>
                <w:szCs w:val="18"/>
                <w:color w:val="auto"/>
              </w:rPr>
            </w:pPr>
          </w:p>
        </w:tc>
        <w:tc>
          <w:tcPr>
            <w:tcW w:w="2560" w:type="dxa"/>
            <w:vAlign w:val="bottom"/>
            <w:tcBorders>
              <w:bottom w:val="single" w:sz="8" w:color="EEEEEE"/>
            </w:tcBorders>
          </w:tcPr>
          <w:p>
            <w:pPr>
              <w:spacing w:after="0"/>
              <w:rPr>
                <w:sz w:val="18"/>
                <w:szCs w:val="18"/>
                <w:color w:val="auto"/>
              </w:rPr>
            </w:pPr>
          </w:p>
        </w:tc>
        <w:tc>
          <w:tcPr>
            <w:tcW w:w="760" w:type="dxa"/>
            <w:vAlign w:val="bottom"/>
            <w:tcBorders>
              <w:bottom w:val="single" w:sz="8" w:color="EEEEEE"/>
            </w:tcBorders>
          </w:tcPr>
          <w:p>
            <w:pPr>
              <w:spacing w:after="0"/>
              <w:rPr>
                <w:sz w:val="18"/>
                <w:szCs w:val="18"/>
                <w:color w:val="auto"/>
              </w:rPr>
            </w:pPr>
          </w:p>
        </w:tc>
        <w:tc>
          <w:tcPr>
            <w:tcW w:w="4220" w:type="dxa"/>
            <w:vAlign w:val="bottom"/>
            <w:tcBorders>
              <w:bottom w:val="single" w:sz="8" w:color="EEEEEE"/>
            </w:tcBorders>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960"/>
          </w:cols>
          <w:pgMar w:left="1360" w:top="677" w:right="580"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8"/>
        </w:trPr>
        <w:tc>
          <w:tcPr>
            <w:tcW w:w="400" w:type="dxa"/>
            <w:vAlign w:val="bottom"/>
            <w:tcBorders>
              <w:right w:val="single" w:sz="8" w:color="A6A6A6"/>
            </w:tcBorders>
          </w:tcPr>
          <w:p>
            <w:pPr>
              <w:spacing w:after="0"/>
              <w:rPr>
                <w:sz w:val="18"/>
                <w:szCs w:val="18"/>
                <w:color w:val="auto"/>
              </w:rPr>
            </w:pPr>
          </w:p>
        </w:tc>
        <w:tc>
          <w:tcPr>
            <w:tcW w:w="300" w:type="dxa"/>
            <w:vAlign w:val="bottom"/>
            <w:tcBorders>
              <w:right w:val="single" w:sz="8" w:color="A6A6A6"/>
            </w:tcBorders>
            <w:shd w:val="clear" w:color="auto" w:fill="12395C"/>
          </w:tcPr>
          <w:p>
            <w:pPr>
              <w:ind w:left="40"/>
              <w:spacing w:after="0"/>
              <w:rPr>
                <w:sz w:val="20"/>
                <w:szCs w:val="20"/>
                <w:color w:val="auto"/>
              </w:rPr>
            </w:pPr>
            <w:r>
              <w:rPr>
                <w:rFonts w:ascii="Arial" w:cs="Arial" w:eastAsia="Arial" w:hAnsi="Arial"/>
                <w:sz w:val="10"/>
                <w:szCs w:val="10"/>
                <w:b w:val="1"/>
                <w:bCs w:val="1"/>
                <w:color w:val="FFFFFF"/>
              </w:rPr>
              <w:t>Item</w:t>
            </w:r>
          </w:p>
        </w:tc>
        <w:tc>
          <w:tcPr>
            <w:tcW w:w="1080" w:type="dxa"/>
            <w:vAlign w:val="bottom"/>
            <w:tcBorders>
              <w:right w:val="single" w:sz="8" w:color="A6A6A6"/>
            </w:tcBorders>
            <w:shd w:val="clear" w:color="auto" w:fill="12395C"/>
          </w:tcPr>
          <w:p>
            <w:pPr>
              <w:ind w:left="40"/>
              <w:spacing w:after="0"/>
              <w:rPr>
                <w:sz w:val="20"/>
                <w:szCs w:val="20"/>
                <w:color w:val="auto"/>
              </w:rPr>
            </w:pPr>
            <w:r>
              <w:rPr>
                <w:rFonts w:ascii="Arial" w:cs="Arial" w:eastAsia="Arial" w:hAnsi="Arial"/>
                <w:sz w:val="10"/>
                <w:szCs w:val="10"/>
                <w:b w:val="1"/>
                <w:bCs w:val="1"/>
                <w:color w:val="FFFFFF"/>
              </w:rPr>
              <w:t>Description</w:t>
            </w:r>
          </w:p>
        </w:tc>
        <w:tc>
          <w:tcPr>
            <w:tcW w:w="1280" w:type="dxa"/>
            <w:vAlign w:val="bottom"/>
            <w:tcBorders>
              <w:right w:val="single" w:sz="8" w:color="A6A6A6"/>
            </w:tcBorders>
            <w:shd w:val="clear" w:color="auto" w:fill="12395C"/>
          </w:tcPr>
          <w:p>
            <w:pPr>
              <w:ind w:left="40"/>
              <w:spacing w:after="0"/>
              <w:rPr>
                <w:sz w:val="20"/>
                <w:szCs w:val="20"/>
                <w:color w:val="auto"/>
              </w:rPr>
            </w:pPr>
            <w:r>
              <w:rPr>
                <w:rFonts w:ascii="Arial" w:cs="Arial" w:eastAsia="Arial" w:hAnsi="Arial"/>
                <w:sz w:val="10"/>
                <w:szCs w:val="10"/>
                <w:b w:val="1"/>
                <w:bCs w:val="1"/>
                <w:color w:val="FFFFFF"/>
              </w:rPr>
              <w:t>Grantor</w:t>
            </w:r>
          </w:p>
        </w:tc>
        <w:tc>
          <w:tcPr>
            <w:tcW w:w="760" w:type="dxa"/>
            <w:vAlign w:val="bottom"/>
            <w:tcBorders>
              <w:right w:val="single" w:sz="8" w:color="A6A6A6"/>
            </w:tcBorders>
            <w:shd w:val="clear" w:color="auto" w:fill="12395C"/>
          </w:tcPr>
          <w:p>
            <w:pPr>
              <w:ind w:left="40"/>
              <w:spacing w:after="0"/>
              <w:rPr>
                <w:sz w:val="20"/>
                <w:szCs w:val="20"/>
                <w:color w:val="auto"/>
              </w:rPr>
            </w:pPr>
            <w:r>
              <w:rPr>
                <w:rFonts w:ascii="Arial" w:cs="Arial" w:eastAsia="Arial" w:hAnsi="Arial"/>
                <w:sz w:val="10"/>
                <w:szCs w:val="10"/>
                <w:b w:val="1"/>
                <w:bCs w:val="1"/>
                <w:color w:val="FFFFFF"/>
              </w:rPr>
              <w:t>Secured Party</w:t>
            </w:r>
          </w:p>
        </w:tc>
        <w:tc>
          <w:tcPr>
            <w:tcW w:w="3500" w:type="dxa"/>
            <w:vAlign w:val="bottom"/>
            <w:tcBorders>
              <w:right w:val="single" w:sz="8" w:color="A6A6A6"/>
            </w:tcBorders>
            <w:shd w:val="clear" w:color="auto" w:fill="12395C"/>
          </w:tcPr>
          <w:p>
            <w:pPr>
              <w:ind w:left="40"/>
              <w:spacing w:after="0"/>
              <w:rPr>
                <w:sz w:val="20"/>
                <w:szCs w:val="20"/>
                <w:color w:val="auto"/>
              </w:rPr>
            </w:pPr>
            <w:r>
              <w:rPr>
                <w:rFonts w:ascii="Arial" w:cs="Arial" w:eastAsia="Arial" w:hAnsi="Arial"/>
                <w:sz w:val="10"/>
                <w:szCs w:val="10"/>
                <w:b w:val="1"/>
                <w:bCs w:val="1"/>
                <w:color w:val="FFFFFF"/>
              </w:rPr>
              <w:t>Details</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0" w:type="dxa"/>
            <w:vAlign w:val="bottom"/>
            <w:tcBorders>
              <w:right w:val="single" w:sz="8" w:color="A6A6A6"/>
            </w:tcBorders>
          </w:tcPr>
          <w:p>
            <w:pPr>
              <w:spacing w:after="0"/>
              <w:rPr>
                <w:sz w:val="16"/>
                <w:szCs w:val="16"/>
                <w:color w:val="auto"/>
              </w:rPr>
            </w:pPr>
          </w:p>
        </w:tc>
        <w:tc>
          <w:tcPr>
            <w:tcW w:w="300" w:type="dxa"/>
            <w:vAlign w:val="bottom"/>
            <w:tcBorders>
              <w:right w:val="single" w:sz="8" w:color="A6A6A6"/>
            </w:tcBorders>
            <w:shd w:val="clear" w:color="auto" w:fill="12395C"/>
          </w:tcPr>
          <w:p>
            <w:pPr>
              <w:spacing w:after="0"/>
              <w:rPr>
                <w:sz w:val="16"/>
                <w:szCs w:val="16"/>
                <w:color w:val="auto"/>
              </w:rPr>
            </w:pPr>
          </w:p>
        </w:tc>
        <w:tc>
          <w:tcPr>
            <w:tcW w:w="1080" w:type="dxa"/>
            <w:vAlign w:val="bottom"/>
            <w:tcBorders>
              <w:right w:val="single" w:sz="8" w:color="A6A6A6"/>
            </w:tcBorders>
            <w:shd w:val="clear" w:color="auto" w:fill="12395C"/>
          </w:tcPr>
          <w:p>
            <w:pPr>
              <w:spacing w:after="0"/>
              <w:rPr>
                <w:sz w:val="16"/>
                <w:szCs w:val="16"/>
                <w:color w:val="auto"/>
              </w:rPr>
            </w:pPr>
          </w:p>
        </w:tc>
        <w:tc>
          <w:tcPr>
            <w:tcW w:w="1280" w:type="dxa"/>
            <w:vAlign w:val="bottom"/>
            <w:tcBorders>
              <w:right w:val="single" w:sz="8" w:color="A6A6A6"/>
            </w:tcBorders>
            <w:shd w:val="clear" w:color="auto" w:fill="12395C"/>
          </w:tcPr>
          <w:p>
            <w:pPr>
              <w:spacing w:after="0"/>
              <w:rPr>
                <w:sz w:val="16"/>
                <w:szCs w:val="16"/>
                <w:color w:val="auto"/>
              </w:rPr>
            </w:pPr>
          </w:p>
        </w:tc>
        <w:tc>
          <w:tcPr>
            <w:tcW w:w="760" w:type="dxa"/>
            <w:vAlign w:val="bottom"/>
            <w:tcBorders>
              <w:right w:val="single" w:sz="8" w:color="A6A6A6"/>
            </w:tcBorders>
            <w:shd w:val="clear" w:color="auto" w:fill="12395C"/>
          </w:tcPr>
          <w:p>
            <w:pPr>
              <w:spacing w:after="0"/>
              <w:rPr>
                <w:sz w:val="16"/>
                <w:szCs w:val="16"/>
                <w:color w:val="auto"/>
              </w:rPr>
            </w:pPr>
          </w:p>
        </w:tc>
        <w:tc>
          <w:tcPr>
            <w:tcW w:w="3500" w:type="dxa"/>
            <w:vAlign w:val="bottom"/>
            <w:tcBorders>
              <w:right w:val="single" w:sz="8" w:color="A6A6A6"/>
            </w:tcBorders>
            <w:shd w:val="clear" w:color="auto" w:fill="12395C"/>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 w:type="dxa"/>
            <w:vAlign w:val="bottom"/>
            <w:tcBorders>
              <w:right w:val="single" w:sz="8" w:color="A6A6A6"/>
            </w:tcBorders>
          </w:tcPr>
          <w:p>
            <w:pPr>
              <w:spacing w:after="0"/>
              <w:rPr>
                <w:sz w:val="17"/>
                <w:szCs w:val="17"/>
                <w:color w:val="auto"/>
              </w:rPr>
            </w:pPr>
          </w:p>
        </w:tc>
        <w:tc>
          <w:tcPr>
            <w:tcW w:w="30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14</w:t>
            </w:r>
          </w:p>
        </w:tc>
        <w:tc>
          <w:tcPr>
            <w:tcW w:w="10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First</w:t>
            </w:r>
          </w:p>
        </w:tc>
        <w:tc>
          <w:tcPr>
            <w:tcW w:w="12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Reading Cannon Park Pty Ltd</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350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land and improvements known as Cannon Park City Centre and Cannon</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400" w:type="dxa"/>
            <w:vAlign w:val="bottom"/>
            <w:tcBorders>
              <w:right w:val="single" w:sz="8" w:color="A6A6A6"/>
            </w:tcBorders>
          </w:tcPr>
          <w:p>
            <w:pPr>
              <w:spacing w:after="0"/>
              <w:rPr>
                <w:sz w:val="3"/>
                <w:szCs w:val="3"/>
                <w:color w:val="auto"/>
              </w:rPr>
            </w:pPr>
          </w:p>
        </w:tc>
        <w:tc>
          <w:tcPr>
            <w:tcW w:w="300" w:type="dxa"/>
            <w:vAlign w:val="bottom"/>
            <w:tcBorders>
              <w:right w:val="single" w:sz="8" w:color="A6A6A6"/>
            </w:tcBorders>
          </w:tcPr>
          <w:p>
            <w:pPr>
              <w:spacing w:after="0"/>
              <w:rPr>
                <w:sz w:val="3"/>
                <w:szCs w:val="3"/>
                <w:color w:val="auto"/>
              </w:rPr>
            </w:pPr>
          </w:p>
        </w:tc>
        <w:tc>
          <w:tcPr>
            <w:tcW w:w="1080" w:type="dxa"/>
            <w:vAlign w:val="bottom"/>
            <w:tcBorders>
              <w:right w:val="single" w:sz="8" w:color="A6A6A6"/>
            </w:tcBorders>
            <w:vMerge w:val="continue"/>
          </w:tcPr>
          <w:p>
            <w:pPr>
              <w:spacing w:after="0"/>
              <w:rPr>
                <w:sz w:val="3"/>
                <w:szCs w:val="3"/>
                <w:color w:val="auto"/>
              </w:rPr>
            </w:pPr>
          </w:p>
        </w:tc>
        <w:tc>
          <w:tcPr>
            <w:tcW w:w="1280" w:type="dxa"/>
            <w:vAlign w:val="bottom"/>
            <w:tcBorders>
              <w:right w:val="single" w:sz="8" w:color="A6A6A6"/>
            </w:tcBorders>
            <w:vMerge w:val="continue"/>
          </w:tcPr>
          <w:p>
            <w:pPr>
              <w:spacing w:after="0"/>
              <w:rPr>
                <w:sz w:val="3"/>
                <w:szCs w:val="3"/>
                <w:color w:val="auto"/>
              </w:rPr>
            </w:pPr>
          </w:p>
        </w:tc>
        <w:tc>
          <w:tcPr>
            <w:tcW w:w="760" w:type="dxa"/>
            <w:vAlign w:val="bottom"/>
            <w:tcBorders>
              <w:right w:val="single" w:sz="8" w:color="A6A6A6"/>
            </w:tcBorders>
            <w:vMerge w:val="continue"/>
          </w:tcPr>
          <w:p>
            <w:pPr>
              <w:spacing w:after="0"/>
              <w:rPr>
                <w:sz w:val="3"/>
                <w:szCs w:val="3"/>
                <w:color w:val="auto"/>
              </w:rPr>
            </w:pPr>
          </w:p>
        </w:tc>
        <w:tc>
          <w:tcPr>
            <w:tcW w:w="3500" w:type="dxa"/>
            <w:vAlign w:val="bottom"/>
            <w:tcBorders>
              <w:right w:val="single" w:sz="8" w:color="A6A6A6"/>
            </w:tcBorders>
            <w:vMerge w:val="continue"/>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300" w:type="dxa"/>
            <w:vAlign w:val="bottom"/>
            <w:tcBorders>
              <w:right w:val="single" w:sz="8" w:color="A6A6A6"/>
            </w:tcBorders>
          </w:tcPr>
          <w:p>
            <w:pPr>
              <w:spacing w:after="0"/>
              <w:rPr>
                <w:sz w:val="9"/>
                <w:szCs w:val="9"/>
                <w:color w:val="auto"/>
              </w:rPr>
            </w:pPr>
          </w:p>
        </w:tc>
        <w:tc>
          <w:tcPr>
            <w:tcW w:w="108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ranking mortgage</w:t>
            </w:r>
          </w:p>
        </w:tc>
        <w:tc>
          <w:tcPr>
            <w:tcW w:w="128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ACN 609 837</w:t>
            </w:r>
          </w:p>
        </w:tc>
        <w:tc>
          <w:tcPr>
            <w:tcW w:w="760" w:type="dxa"/>
            <w:vAlign w:val="bottom"/>
            <w:tcBorders>
              <w:right w:val="single" w:sz="8" w:color="A6A6A6"/>
            </w:tcBorders>
          </w:tcPr>
          <w:p>
            <w:pPr>
              <w:spacing w:after="0"/>
              <w:rPr>
                <w:sz w:val="9"/>
                <w:szCs w:val="9"/>
                <w:color w:val="auto"/>
              </w:rPr>
            </w:pPr>
          </w:p>
        </w:tc>
        <w:tc>
          <w:tcPr>
            <w:tcW w:w="350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Park Discount Centre, Corner</w:t>
            </w: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300" w:type="dxa"/>
            <w:vAlign w:val="bottom"/>
            <w:tcBorders>
              <w:right w:val="single" w:sz="8" w:color="A6A6A6"/>
            </w:tcBorders>
          </w:tcPr>
          <w:p>
            <w:pPr>
              <w:spacing w:after="0"/>
              <w:rPr>
                <w:sz w:val="9"/>
                <w:szCs w:val="9"/>
                <w:color w:val="auto"/>
              </w:rPr>
            </w:pPr>
          </w:p>
        </w:tc>
        <w:tc>
          <w:tcPr>
            <w:tcW w:w="1080" w:type="dxa"/>
            <w:vAlign w:val="bottom"/>
            <w:tcBorders>
              <w:right w:val="single" w:sz="8" w:color="A6A6A6"/>
            </w:tcBorders>
          </w:tcPr>
          <w:p>
            <w:pPr>
              <w:spacing w:after="0"/>
              <w:rPr>
                <w:sz w:val="9"/>
                <w:szCs w:val="9"/>
                <w:color w:val="auto"/>
              </w:rPr>
            </w:pPr>
          </w:p>
        </w:tc>
        <w:tc>
          <w:tcPr>
            <w:tcW w:w="128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569</w:t>
            </w:r>
          </w:p>
        </w:tc>
        <w:tc>
          <w:tcPr>
            <w:tcW w:w="760" w:type="dxa"/>
            <w:vAlign w:val="bottom"/>
            <w:tcBorders>
              <w:right w:val="single" w:sz="8" w:color="A6A6A6"/>
            </w:tcBorders>
          </w:tcPr>
          <w:p>
            <w:pPr>
              <w:spacing w:after="0"/>
              <w:rPr>
                <w:sz w:val="9"/>
                <w:szCs w:val="9"/>
                <w:color w:val="auto"/>
              </w:rPr>
            </w:pPr>
          </w:p>
        </w:tc>
        <w:tc>
          <w:tcPr>
            <w:tcW w:w="350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w w:val="99"/>
              </w:rPr>
              <w:t>Hervey Range Road and Pioneer Drive, Thurwingowa Central, Queensland, described</w:t>
            </w: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300" w:type="dxa"/>
            <w:vAlign w:val="bottom"/>
            <w:tcBorders>
              <w:right w:val="single" w:sz="8" w:color="A6A6A6"/>
            </w:tcBorders>
          </w:tcPr>
          <w:p>
            <w:pPr>
              <w:spacing w:after="0"/>
              <w:rPr>
                <w:sz w:val="9"/>
                <w:szCs w:val="9"/>
                <w:color w:val="auto"/>
              </w:rPr>
            </w:pPr>
          </w:p>
        </w:tc>
        <w:tc>
          <w:tcPr>
            <w:tcW w:w="1080" w:type="dxa"/>
            <w:vAlign w:val="bottom"/>
            <w:tcBorders>
              <w:right w:val="single" w:sz="8" w:color="A6A6A6"/>
            </w:tcBorders>
          </w:tcPr>
          <w:p>
            <w:pPr>
              <w:spacing w:after="0"/>
              <w:rPr>
                <w:sz w:val="9"/>
                <w:szCs w:val="9"/>
                <w:color w:val="auto"/>
              </w:rPr>
            </w:pPr>
          </w:p>
        </w:tc>
        <w:tc>
          <w:tcPr>
            <w:tcW w:w="1280" w:type="dxa"/>
            <w:vAlign w:val="bottom"/>
            <w:tcBorders>
              <w:right w:val="single" w:sz="8" w:color="A6A6A6"/>
            </w:tcBorders>
          </w:tcPr>
          <w:p>
            <w:pPr>
              <w:spacing w:after="0"/>
              <w:rPr>
                <w:sz w:val="9"/>
                <w:szCs w:val="9"/>
                <w:color w:val="auto"/>
              </w:rPr>
            </w:pPr>
          </w:p>
        </w:tc>
        <w:tc>
          <w:tcPr>
            <w:tcW w:w="760" w:type="dxa"/>
            <w:vAlign w:val="bottom"/>
            <w:tcBorders>
              <w:right w:val="single" w:sz="8" w:color="A6A6A6"/>
            </w:tcBorders>
          </w:tcPr>
          <w:p>
            <w:pPr>
              <w:spacing w:after="0"/>
              <w:rPr>
                <w:sz w:val="9"/>
                <w:szCs w:val="9"/>
                <w:color w:val="auto"/>
              </w:rPr>
            </w:pPr>
          </w:p>
        </w:tc>
        <w:tc>
          <w:tcPr>
            <w:tcW w:w="350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in title references 50442105,</w:t>
            </w: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300" w:type="dxa"/>
            <w:vAlign w:val="bottom"/>
            <w:tcBorders>
              <w:right w:val="single" w:sz="8" w:color="A6A6A6"/>
            </w:tcBorders>
          </w:tcPr>
          <w:p>
            <w:pPr>
              <w:spacing w:after="0"/>
              <w:rPr>
                <w:sz w:val="9"/>
                <w:szCs w:val="9"/>
                <w:color w:val="auto"/>
              </w:rPr>
            </w:pPr>
          </w:p>
        </w:tc>
        <w:tc>
          <w:tcPr>
            <w:tcW w:w="1080" w:type="dxa"/>
            <w:vAlign w:val="bottom"/>
            <w:tcBorders>
              <w:right w:val="single" w:sz="8" w:color="A6A6A6"/>
            </w:tcBorders>
          </w:tcPr>
          <w:p>
            <w:pPr>
              <w:spacing w:after="0"/>
              <w:rPr>
                <w:sz w:val="9"/>
                <w:szCs w:val="9"/>
                <w:color w:val="auto"/>
              </w:rPr>
            </w:pPr>
          </w:p>
        </w:tc>
        <w:tc>
          <w:tcPr>
            <w:tcW w:w="1280" w:type="dxa"/>
            <w:vAlign w:val="bottom"/>
            <w:tcBorders>
              <w:right w:val="single" w:sz="8" w:color="A6A6A6"/>
            </w:tcBorders>
          </w:tcPr>
          <w:p>
            <w:pPr>
              <w:spacing w:after="0"/>
              <w:rPr>
                <w:sz w:val="9"/>
                <w:szCs w:val="9"/>
                <w:color w:val="auto"/>
              </w:rPr>
            </w:pPr>
          </w:p>
        </w:tc>
        <w:tc>
          <w:tcPr>
            <w:tcW w:w="760" w:type="dxa"/>
            <w:vAlign w:val="bottom"/>
            <w:tcBorders>
              <w:right w:val="single" w:sz="8" w:color="A6A6A6"/>
            </w:tcBorders>
          </w:tcPr>
          <w:p>
            <w:pPr>
              <w:spacing w:after="0"/>
              <w:rPr>
                <w:sz w:val="9"/>
                <w:szCs w:val="9"/>
                <w:color w:val="auto"/>
              </w:rPr>
            </w:pPr>
          </w:p>
        </w:tc>
        <w:tc>
          <w:tcPr>
            <w:tcW w:w="350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50442106 and 51155321.</w:t>
            </w: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2"/>
        </w:trPr>
        <w:tc>
          <w:tcPr>
            <w:tcW w:w="400" w:type="dxa"/>
            <w:vAlign w:val="bottom"/>
            <w:tcBorders>
              <w:right w:val="single" w:sz="8" w:color="A6A6A6"/>
            </w:tcBorders>
          </w:tcPr>
          <w:p>
            <w:pPr>
              <w:spacing w:after="0"/>
              <w:rPr>
                <w:sz w:val="24"/>
                <w:szCs w:val="24"/>
                <w:color w:val="auto"/>
              </w:rPr>
            </w:pPr>
          </w:p>
        </w:tc>
        <w:tc>
          <w:tcPr>
            <w:tcW w:w="300" w:type="dxa"/>
            <w:vAlign w:val="bottom"/>
            <w:tcBorders>
              <w:bottom w:val="single" w:sz="8" w:color="A6A6A6"/>
              <w:right w:val="single" w:sz="8" w:color="A6A6A6"/>
            </w:tcBorders>
          </w:tcPr>
          <w:p>
            <w:pPr>
              <w:spacing w:after="0"/>
              <w:rPr>
                <w:sz w:val="24"/>
                <w:szCs w:val="24"/>
                <w:color w:val="auto"/>
              </w:rPr>
            </w:pPr>
          </w:p>
        </w:tc>
        <w:tc>
          <w:tcPr>
            <w:tcW w:w="1080" w:type="dxa"/>
            <w:vAlign w:val="bottom"/>
            <w:tcBorders>
              <w:bottom w:val="single" w:sz="8" w:color="A6A6A6"/>
              <w:right w:val="single" w:sz="8" w:color="A6A6A6"/>
            </w:tcBorders>
          </w:tcPr>
          <w:p>
            <w:pPr>
              <w:spacing w:after="0"/>
              <w:rPr>
                <w:sz w:val="24"/>
                <w:szCs w:val="24"/>
                <w:color w:val="auto"/>
              </w:rPr>
            </w:pPr>
          </w:p>
        </w:tc>
        <w:tc>
          <w:tcPr>
            <w:tcW w:w="1280" w:type="dxa"/>
            <w:vAlign w:val="bottom"/>
            <w:tcBorders>
              <w:bottom w:val="single" w:sz="8" w:color="A6A6A6"/>
              <w:right w:val="single" w:sz="8" w:color="A6A6A6"/>
            </w:tcBorders>
          </w:tcPr>
          <w:p>
            <w:pPr>
              <w:spacing w:after="0"/>
              <w:rPr>
                <w:sz w:val="24"/>
                <w:szCs w:val="24"/>
                <w:color w:val="auto"/>
              </w:rPr>
            </w:pPr>
          </w:p>
        </w:tc>
        <w:tc>
          <w:tcPr>
            <w:tcW w:w="760" w:type="dxa"/>
            <w:vAlign w:val="bottom"/>
            <w:tcBorders>
              <w:bottom w:val="single" w:sz="8" w:color="A6A6A6"/>
              <w:right w:val="single" w:sz="8" w:color="A6A6A6"/>
            </w:tcBorders>
          </w:tcPr>
          <w:p>
            <w:pPr>
              <w:spacing w:after="0"/>
              <w:rPr>
                <w:sz w:val="24"/>
                <w:szCs w:val="24"/>
                <w:color w:val="auto"/>
              </w:rPr>
            </w:pPr>
          </w:p>
        </w:tc>
        <w:tc>
          <w:tcPr>
            <w:tcW w:w="3500" w:type="dxa"/>
            <w:vAlign w:val="bottom"/>
            <w:tcBorders>
              <w:bottom w:val="single" w:sz="8" w:color="A6A6A6"/>
              <w:right w:val="single" w:sz="8" w:color="A6A6A6"/>
            </w:tcBorders>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Borders>
              <w:right w:val="single" w:sz="8" w:color="A6A6A6"/>
            </w:tcBorders>
          </w:tcPr>
          <w:p>
            <w:pPr>
              <w:spacing w:after="0"/>
              <w:rPr>
                <w:sz w:val="16"/>
                <w:szCs w:val="16"/>
                <w:color w:val="auto"/>
              </w:rPr>
            </w:pPr>
          </w:p>
        </w:tc>
        <w:tc>
          <w:tcPr>
            <w:tcW w:w="30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15</w:t>
            </w:r>
          </w:p>
        </w:tc>
        <w:tc>
          <w:tcPr>
            <w:tcW w:w="10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First</w:t>
            </w:r>
          </w:p>
        </w:tc>
        <w:tc>
          <w:tcPr>
            <w:tcW w:w="128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Hotel Newmarket Pty Ltd</w:t>
            </w:r>
          </w:p>
        </w:tc>
        <w:tc>
          <w:tcPr>
            <w:tcW w:w="76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Bank</w:t>
            </w:r>
          </w:p>
        </w:tc>
        <w:tc>
          <w:tcPr>
            <w:tcW w:w="3500" w:type="dxa"/>
            <w:vAlign w:val="bottom"/>
            <w:tcBorders>
              <w:right w:val="single" w:sz="8" w:color="A6A6A6"/>
            </w:tcBorders>
            <w:vMerge w:val="restart"/>
          </w:tcPr>
          <w:p>
            <w:pPr>
              <w:ind w:left="40"/>
              <w:spacing w:after="0"/>
              <w:rPr>
                <w:sz w:val="20"/>
                <w:szCs w:val="20"/>
                <w:color w:val="auto"/>
              </w:rPr>
            </w:pPr>
            <w:r>
              <w:rPr>
                <w:rFonts w:ascii="Arial" w:cs="Arial" w:eastAsia="Arial" w:hAnsi="Arial"/>
                <w:sz w:val="9"/>
                <w:szCs w:val="9"/>
                <w:color w:val="auto"/>
              </w:rPr>
              <w:t>The land and improvements</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00" w:type="dxa"/>
            <w:vAlign w:val="bottom"/>
            <w:tcBorders>
              <w:right w:val="single" w:sz="8" w:color="A6A6A6"/>
            </w:tcBorders>
          </w:tcPr>
          <w:p>
            <w:pPr>
              <w:spacing w:after="0"/>
              <w:rPr>
                <w:sz w:val="3"/>
                <w:szCs w:val="3"/>
                <w:color w:val="auto"/>
              </w:rPr>
            </w:pPr>
          </w:p>
        </w:tc>
        <w:tc>
          <w:tcPr>
            <w:tcW w:w="300" w:type="dxa"/>
            <w:vAlign w:val="bottom"/>
            <w:tcBorders>
              <w:right w:val="single" w:sz="8" w:color="A6A6A6"/>
            </w:tcBorders>
          </w:tcPr>
          <w:p>
            <w:pPr>
              <w:spacing w:after="0"/>
              <w:rPr>
                <w:sz w:val="3"/>
                <w:szCs w:val="3"/>
                <w:color w:val="auto"/>
              </w:rPr>
            </w:pPr>
          </w:p>
        </w:tc>
        <w:tc>
          <w:tcPr>
            <w:tcW w:w="1080" w:type="dxa"/>
            <w:vAlign w:val="bottom"/>
            <w:tcBorders>
              <w:right w:val="single" w:sz="8" w:color="A6A6A6"/>
            </w:tcBorders>
            <w:vMerge w:val="continue"/>
          </w:tcPr>
          <w:p>
            <w:pPr>
              <w:spacing w:after="0"/>
              <w:rPr>
                <w:sz w:val="3"/>
                <w:szCs w:val="3"/>
                <w:color w:val="auto"/>
              </w:rPr>
            </w:pPr>
          </w:p>
        </w:tc>
        <w:tc>
          <w:tcPr>
            <w:tcW w:w="1280" w:type="dxa"/>
            <w:vAlign w:val="bottom"/>
            <w:tcBorders>
              <w:right w:val="single" w:sz="8" w:color="A6A6A6"/>
            </w:tcBorders>
            <w:vMerge w:val="continue"/>
          </w:tcPr>
          <w:p>
            <w:pPr>
              <w:spacing w:after="0"/>
              <w:rPr>
                <w:sz w:val="3"/>
                <w:szCs w:val="3"/>
                <w:color w:val="auto"/>
              </w:rPr>
            </w:pPr>
          </w:p>
        </w:tc>
        <w:tc>
          <w:tcPr>
            <w:tcW w:w="760" w:type="dxa"/>
            <w:vAlign w:val="bottom"/>
            <w:tcBorders>
              <w:right w:val="single" w:sz="8" w:color="A6A6A6"/>
            </w:tcBorders>
            <w:vMerge w:val="continue"/>
          </w:tcPr>
          <w:p>
            <w:pPr>
              <w:spacing w:after="0"/>
              <w:rPr>
                <w:sz w:val="3"/>
                <w:szCs w:val="3"/>
                <w:color w:val="auto"/>
              </w:rPr>
            </w:pPr>
          </w:p>
        </w:tc>
        <w:tc>
          <w:tcPr>
            <w:tcW w:w="3500" w:type="dxa"/>
            <w:vAlign w:val="bottom"/>
            <w:tcBorders>
              <w:right w:val="single" w:sz="8" w:color="A6A6A6"/>
            </w:tcBorders>
            <w:vMerge w:val="continue"/>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300" w:type="dxa"/>
            <w:vAlign w:val="bottom"/>
            <w:tcBorders>
              <w:right w:val="single" w:sz="8" w:color="A6A6A6"/>
            </w:tcBorders>
          </w:tcPr>
          <w:p>
            <w:pPr>
              <w:spacing w:after="0"/>
              <w:rPr>
                <w:sz w:val="9"/>
                <w:szCs w:val="9"/>
                <w:color w:val="auto"/>
              </w:rPr>
            </w:pPr>
          </w:p>
        </w:tc>
        <w:tc>
          <w:tcPr>
            <w:tcW w:w="108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ranking mortgage</w:t>
            </w:r>
          </w:p>
        </w:tc>
        <w:tc>
          <w:tcPr>
            <w:tcW w:w="128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ACN 094 367 969</w:t>
            </w:r>
          </w:p>
        </w:tc>
        <w:tc>
          <w:tcPr>
            <w:tcW w:w="760" w:type="dxa"/>
            <w:vAlign w:val="bottom"/>
            <w:tcBorders>
              <w:right w:val="single" w:sz="8" w:color="A6A6A6"/>
            </w:tcBorders>
          </w:tcPr>
          <w:p>
            <w:pPr>
              <w:spacing w:after="0"/>
              <w:rPr>
                <w:sz w:val="9"/>
                <w:szCs w:val="9"/>
                <w:color w:val="auto"/>
              </w:rPr>
            </w:pPr>
          </w:p>
        </w:tc>
        <w:tc>
          <w:tcPr>
            <w:tcW w:w="350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known as 16 Edmondstone Street, Newstead, Queensland, described in</w:t>
            </w: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 w:type="dxa"/>
            <w:vAlign w:val="bottom"/>
            <w:tcBorders>
              <w:right w:val="single" w:sz="8" w:color="A6A6A6"/>
            </w:tcBorders>
          </w:tcPr>
          <w:p>
            <w:pPr>
              <w:spacing w:after="0"/>
              <w:rPr>
                <w:sz w:val="9"/>
                <w:szCs w:val="9"/>
                <w:color w:val="auto"/>
              </w:rPr>
            </w:pPr>
          </w:p>
        </w:tc>
        <w:tc>
          <w:tcPr>
            <w:tcW w:w="300" w:type="dxa"/>
            <w:vAlign w:val="bottom"/>
            <w:tcBorders>
              <w:right w:val="single" w:sz="8" w:color="A6A6A6"/>
            </w:tcBorders>
          </w:tcPr>
          <w:p>
            <w:pPr>
              <w:spacing w:after="0"/>
              <w:rPr>
                <w:sz w:val="9"/>
                <w:szCs w:val="9"/>
                <w:color w:val="auto"/>
              </w:rPr>
            </w:pPr>
          </w:p>
        </w:tc>
        <w:tc>
          <w:tcPr>
            <w:tcW w:w="1080" w:type="dxa"/>
            <w:vAlign w:val="bottom"/>
            <w:tcBorders>
              <w:right w:val="single" w:sz="8" w:color="A6A6A6"/>
            </w:tcBorders>
          </w:tcPr>
          <w:p>
            <w:pPr>
              <w:spacing w:after="0"/>
              <w:rPr>
                <w:sz w:val="9"/>
                <w:szCs w:val="9"/>
                <w:color w:val="auto"/>
              </w:rPr>
            </w:pPr>
          </w:p>
        </w:tc>
        <w:tc>
          <w:tcPr>
            <w:tcW w:w="1280" w:type="dxa"/>
            <w:vAlign w:val="bottom"/>
            <w:tcBorders>
              <w:right w:val="single" w:sz="8" w:color="A6A6A6"/>
            </w:tcBorders>
          </w:tcPr>
          <w:p>
            <w:pPr>
              <w:spacing w:after="0"/>
              <w:rPr>
                <w:sz w:val="9"/>
                <w:szCs w:val="9"/>
                <w:color w:val="auto"/>
              </w:rPr>
            </w:pPr>
          </w:p>
        </w:tc>
        <w:tc>
          <w:tcPr>
            <w:tcW w:w="760" w:type="dxa"/>
            <w:vAlign w:val="bottom"/>
            <w:tcBorders>
              <w:right w:val="single" w:sz="8" w:color="A6A6A6"/>
            </w:tcBorders>
          </w:tcPr>
          <w:p>
            <w:pPr>
              <w:spacing w:after="0"/>
              <w:rPr>
                <w:sz w:val="9"/>
                <w:szCs w:val="9"/>
                <w:color w:val="auto"/>
              </w:rPr>
            </w:pPr>
          </w:p>
        </w:tc>
        <w:tc>
          <w:tcPr>
            <w:tcW w:w="3500" w:type="dxa"/>
            <w:vAlign w:val="bottom"/>
            <w:tcBorders>
              <w:right w:val="single" w:sz="8" w:color="A6A6A6"/>
            </w:tcBorders>
          </w:tcPr>
          <w:p>
            <w:pPr>
              <w:ind w:left="40"/>
              <w:spacing w:after="0"/>
              <w:rPr>
                <w:sz w:val="20"/>
                <w:szCs w:val="20"/>
                <w:color w:val="auto"/>
              </w:rPr>
            </w:pPr>
            <w:r>
              <w:rPr>
                <w:rFonts w:ascii="Arial" w:cs="Arial" w:eastAsia="Arial" w:hAnsi="Arial"/>
                <w:sz w:val="9"/>
                <w:szCs w:val="9"/>
                <w:color w:val="auto"/>
              </w:rPr>
              <w:t>title reference 17441054.</w:t>
            </w: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400" w:type="dxa"/>
            <w:vAlign w:val="bottom"/>
            <w:tcBorders>
              <w:right w:val="single" w:sz="8" w:color="A6A6A6"/>
            </w:tcBorders>
          </w:tcPr>
          <w:p>
            <w:pPr>
              <w:spacing w:after="0"/>
              <w:rPr>
                <w:sz w:val="15"/>
                <w:szCs w:val="15"/>
                <w:color w:val="auto"/>
              </w:rPr>
            </w:pPr>
          </w:p>
        </w:tc>
        <w:tc>
          <w:tcPr>
            <w:tcW w:w="300" w:type="dxa"/>
            <w:vAlign w:val="bottom"/>
            <w:tcBorders>
              <w:bottom w:val="single" w:sz="8" w:color="A6A6A6"/>
              <w:right w:val="single" w:sz="8" w:color="A6A6A6"/>
            </w:tcBorders>
          </w:tcPr>
          <w:p>
            <w:pPr>
              <w:spacing w:after="0"/>
              <w:rPr>
                <w:sz w:val="15"/>
                <w:szCs w:val="15"/>
                <w:color w:val="auto"/>
              </w:rPr>
            </w:pPr>
          </w:p>
        </w:tc>
        <w:tc>
          <w:tcPr>
            <w:tcW w:w="1080" w:type="dxa"/>
            <w:vAlign w:val="bottom"/>
            <w:tcBorders>
              <w:bottom w:val="single" w:sz="8" w:color="A6A6A6"/>
              <w:right w:val="single" w:sz="8" w:color="A6A6A6"/>
            </w:tcBorders>
          </w:tcPr>
          <w:p>
            <w:pPr>
              <w:spacing w:after="0"/>
              <w:rPr>
                <w:sz w:val="15"/>
                <w:szCs w:val="15"/>
                <w:color w:val="auto"/>
              </w:rPr>
            </w:pPr>
          </w:p>
        </w:tc>
        <w:tc>
          <w:tcPr>
            <w:tcW w:w="1280" w:type="dxa"/>
            <w:vAlign w:val="bottom"/>
            <w:tcBorders>
              <w:bottom w:val="single" w:sz="8" w:color="A6A6A6"/>
              <w:right w:val="single" w:sz="8" w:color="A6A6A6"/>
            </w:tcBorders>
          </w:tcPr>
          <w:p>
            <w:pPr>
              <w:spacing w:after="0"/>
              <w:rPr>
                <w:sz w:val="15"/>
                <w:szCs w:val="15"/>
                <w:color w:val="auto"/>
              </w:rPr>
            </w:pPr>
          </w:p>
        </w:tc>
        <w:tc>
          <w:tcPr>
            <w:tcW w:w="760" w:type="dxa"/>
            <w:vAlign w:val="bottom"/>
            <w:tcBorders>
              <w:bottom w:val="single" w:sz="8" w:color="A6A6A6"/>
              <w:right w:val="single" w:sz="8" w:color="A6A6A6"/>
            </w:tcBorders>
          </w:tcPr>
          <w:p>
            <w:pPr>
              <w:spacing w:after="0"/>
              <w:rPr>
                <w:sz w:val="15"/>
                <w:szCs w:val="15"/>
                <w:color w:val="auto"/>
              </w:rPr>
            </w:pPr>
          </w:p>
        </w:tc>
        <w:tc>
          <w:tcPr>
            <w:tcW w:w="3500" w:type="dxa"/>
            <w:vAlign w:val="bottom"/>
            <w:tcBorders>
              <w:bottom w:val="single" w:sz="8" w:color="A6A6A6"/>
              <w:right w:val="single" w:sz="8" w:color="A6A6A6"/>
            </w:tcBorders>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700" w:type="dxa"/>
            <w:vAlign w:val="bottom"/>
            <w:tcBorders>
              <w:bottom w:val="single" w:sz="8" w:color="8BD8FF"/>
            </w:tcBorders>
            <w:gridSpan w:val="2"/>
          </w:tcPr>
          <w:p>
            <w:pPr>
              <w:spacing w:after="0"/>
              <w:rPr>
                <w:sz w:val="20"/>
                <w:szCs w:val="20"/>
                <w:color w:val="auto"/>
              </w:rPr>
            </w:pPr>
            <w:r>
              <w:rPr>
                <w:rFonts w:ascii="Arial" w:cs="Arial" w:eastAsia="Arial" w:hAnsi="Arial"/>
                <w:sz w:val="8"/>
                <w:szCs w:val="8"/>
                <w:color w:val="8BD8FF"/>
                <w:w w:val="98"/>
              </w:rPr>
              <w:t>3468-7174-2245v7</w:t>
            </w:r>
          </w:p>
        </w:tc>
        <w:tc>
          <w:tcPr>
            <w:tcW w:w="10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60" w:type="dxa"/>
            <w:vAlign w:val="bottom"/>
          </w:tcPr>
          <w:p>
            <w:pPr>
              <w:ind w:left="1640"/>
              <w:spacing w:after="0"/>
              <w:rPr>
                <w:sz w:val="20"/>
                <w:szCs w:val="20"/>
                <w:color w:val="auto"/>
              </w:rPr>
            </w:pPr>
            <w:r>
              <w:rPr>
                <w:rFonts w:ascii="Arial" w:cs="Arial" w:eastAsia="Arial" w:hAnsi="Arial"/>
                <w:sz w:val="8"/>
                <w:szCs w:val="8"/>
                <w:color w:val="auto"/>
              </w:rPr>
              <w:t>Page 84</w:t>
            </w:r>
          </w:p>
        </w:tc>
        <w:tc>
          <w:tcPr>
            <w:tcW w:w="0" w:type="dxa"/>
            <w:vAlign w:val="bottom"/>
          </w:tcPr>
          <w:p>
            <w:pPr>
              <w:spacing w:after="0"/>
              <w:rPr>
                <w:sz w:val="1"/>
                <w:szCs w:val="1"/>
                <w:color w:val="auto"/>
              </w:rPr>
            </w:pPr>
          </w:p>
        </w:tc>
      </w:tr>
      <w:tr>
        <w:trPr>
          <w:trHeight w:val="94"/>
        </w:trPr>
        <w:tc>
          <w:tcPr>
            <w:tcW w:w="700" w:type="dxa"/>
            <w:vAlign w:val="bottom"/>
            <w:gridSpan w:val="2"/>
          </w:tcPr>
          <w:p>
            <w:pPr>
              <w:spacing w:after="0"/>
              <w:rPr>
                <w:sz w:val="20"/>
                <w:szCs w:val="20"/>
                <w:color w:val="auto"/>
              </w:rPr>
            </w:pPr>
            <w:r>
              <w:rPr>
                <w:rFonts w:ascii="Arial" w:cs="Arial" w:eastAsia="Arial" w:hAnsi="Arial"/>
                <w:sz w:val="8"/>
                <w:szCs w:val="8"/>
                <w:color w:val="auto"/>
                <w:w w:val="99"/>
              </w:rPr>
              <w:t>Facility Agreement</w:t>
            </w:r>
          </w:p>
        </w:tc>
        <w:tc>
          <w:tcPr>
            <w:tcW w:w="10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0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1080" w:type="dxa"/>
            <w:vAlign w:val="bottom"/>
            <w:tcBorders>
              <w:bottom w:val="single" w:sz="8" w:color="EEEEEE"/>
            </w:tcBorders>
          </w:tcPr>
          <w:p>
            <w:pPr>
              <w:spacing w:after="0"/>
              <w:rPr>
                <w:sz w:val="18"/>
                <w:szCs w:val="18"/>
                <w:color w:val="auto"/>
              </w:rPr>
            </w:pPr>
          </w:p>
        </w:tc>
        <w:tc>
          <w:tcPr>
            <w:tcW w:w="1280" w:type="dxa"/>
            <w:vAlign w:val="bottom"/>
            <w:tcBorders>
              <w:bottom w:val="single" w:sz="8" w:color="EEEEEE"/>
            </w:tcBorders>
          </w:tcPr>
          <w:p>
            <w:pPr>
              <w:spacing w:after="0"/>
              <w:rPr>
                <w:sz w:val="18"/>
                <w:szCs w:val="18"/>
                <w:color w:val="auto"/>
              </w:rPr>
            </w:pPr>
          </w:p>
        </w:tc>
        <w:tc>
          <w:tcPr>
            <w:tcW w:w="760" w:type="dxa"/>
            <w:vAlign w:val="bottom"/>
            <w:tcBorders>
              <w:bottom w:val="single" w:sz="8" w:color="EEEEEE"/>
            </w:tcBorders>
          </w:tcPr>
          <w:p>
            <w:pPr>
              <w:spacing w:after="0"/>
              <w:rPr>
                <w:sz w:val="18"/>
                <w:szCs w:val="18"/>
                <w:color w:val="auto"/>
              </w:rPr>
            </w:pPr>
          </w:p>
        </w:tc>
        <w:tc>
          <w:tcPr>
            <w:tcW w:w="3500" w:type="dxa"/>
            <w:vAlign w:val="bottom"/>
            <w:tcBorders>
              <w:bottom w:val="single" w:sz="8" w:color="EEEEEE"/>
            </w:tcBorders>
          </w:tcPr>
          <w:p>
            <w:pPr>
              <w:spacing w:after="0"/>
              <w:rPr>
                <w:sz w:val="18"/>
                <w:szCs w:val="18"/>
                <w:color w:val="auto"/>
              </w:rPr>
            </w:pPr>
          </w:p>
        </w:tc>
        <w:tc>
          <w:tcPr>
            <w:tcW w:w="196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1375"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21375" cy="40005"/>
                    </a:xfrm>
                    <a:prstGeom prst="rect">
                      <a:avLst/>
                    </a:prstGeom>
                    <a:noFill/>
                  </pic:spPr>
                </pic:pic>
              </a:graphicData>
            </a:graphic>
          </wp:anchor>
        </w:drawing>
      </w:r>
    </w:p>
    <w:p>
      <w:pPr>
        <w:sectPr>
          <w:pgSz w:w="11900" w:h="16840" w:orient="portrait"/>
          <w:cols w:equalWidth="0" w:num="1">
            <w:col w:w="9280"/>
          </w:cols>
          <w:pgMar w:left="1360" w:top="697" w:right="1260" w:bottom="1440" w:gutter="0" w:footer="0" w:header="0"/>
        </w:sectPr>
      </w:pPr>
    </w:p>
    <w:bookmarkStart w:id="152" w:name="page153"/>
    <w:bookmarkEnd w:id="152"/>
    <w:p>
      <w:pPr>
        <w:ind w:left="400"/>
        <w:spacing w:after="0"/>
        <w:rPr>
          <w:sz w:val="20"/>
          <w:szCs w:val="20"/>
          <w:color w:val="auto"/>
        </w:rPr>
      </w:pPr>
      <w:r>
        <w:rPr>
          <w:rFonts w:ascii="Arial" w:cs="Arial" w:eastAsia="Arial" w:hAnsi="Arial"/>
          <w:sz w:val="16"/>
          <w:szCs w:val="16"/>
          <w:color w:val="auto"/>
        </w:rPr>
        <w:t>Not used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4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120" w:type="dxa"/>
            <w:vAlign w:val="bottom"/>
          </w:tcPr>
          <w:p>
            <w:pPr>
              <w:ind w:left="3800"/>
              <w:spacing w:after="0"/>
              <w:rPr>
                <w:sz w:val="20"/>
                <w:szCs w:val="20"/>
                <w:color w:val="auto"/>
              </w:rPr>
            </w:pPr>
            <w:r>
              <w:rPr>
                <w:rFonts w:ascii="Arial" w:cs="Arial" w:eastAsia="Arial" w:hAnsi="Arial"/>
                <w:sz w:val="8"/>
                <w:szCs w:val="8"/>
                <w:color w:val="auto"/>
              </w:rPr>
              <w:t>Page 85</w:t>
            </w:r>
          </w:p>
        </w:tc>
      </w:tr>
      <w:tr>
        <w:trPr>
          <w:trHeight w:val="94"/>
        </w:trPr>
        <w:tc>
          <w:tcPr>
            <w:tcW w:w="516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12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480" w:type="dxa"/>
            <w:vAlign w:val="bottom"/>
            <w:tcBorders>
              <w:bottom w:val="single" w:sz="8" w:color="EEEEEE"/>
            </w:tcBorders>
          </w:tcPr>
          <w:p>
            <w:pPr>
              <w:spacing w:after="0"/>
              <w:rPr>
                <w:sz w:val="18"/>
                <w:szCs w:val="18"/>
                <w:color w:val="auto"/>
              </w:rPr>
            </w:pPr>
          </w:p>
        </w:tc>
        <w:tc>
          <w:tcPr>
            <w:tcW w:w="41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926455"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26455" cy="40005"/>
                    </a:xfrm>
                    <a:prstGeom prst="rect">
                      <a:avLst/>
                    </a:prstGeom>
                    <a:noFill/>
                  </pic:spPr>
                </pic:pic>
              </a:graphicData>
            </a:graphic>
          </wp:anchor>
        </w:drawing>
      </w:r>
    </w:p>
    <w:p>
      <w:pPr>
        <w:sectPr>
          <w:pgSz w:w="11900" w:h="16840" w:orient="portrait"/>
          <w:cols w:equalWidth="0" w:num="1">
            <w:col w:w="9280"/>
          </w:cols>
          <w:pgMar w:left="1360" w:top="807" w:right="1260" w:bottom="1440" w:gutter="0" w:footer="0" w:header="0"/>
        </w:sectPr>
      </w:pPr>
    </w:p>
    <w:bookmarkStart w:id="153" w:name="page154"/>
    <w:bookmarkEnd w:id="153"/>
    <w:p>
      <w:pPr>
        <w:ind w:left="400"/>
        <w:spacing w:after="0"/>
        <w:rPr>
          <w:sz w:val="20"/>
          <w:szCs w:val="20"/>
          <w:color w:val="auto"/>
        </w:rPr>
      </w:pPr>
      <w:r>
        <w:rPr>
          <w:rFonts w:ascii="Arial" w:cs="Arial" w:eastAsia="Arial" w:hAnsi="Arial"/>
          <w:sz w:val="16"/>
          <w:szCs w:val="16"/>
          <w:color w:val="auto"/>
        </w:rPr>
        <w:t>Not used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20" w:type="dxa"/>
            <w:vAlign w:val="bottom"/>
          </w:tcPr>
          <w:p>
            <w:pPr>
              <w:ind w:left="3900"/>
              <w:spacing w:after="0"/>
              <w:rPr>
                <w:sz w:val="20"/>
                <w:szCs w:val="20"/>
                <w:color w:val="auto"/>
              </w:rPr>
            </w:pPr>
            <w:r>
              <w:rPr>
                <w:rFonts w:ascii="Arial" w:cs="Arial" w:eastAsia="Arial" w:hAnsi="Arial"/>
                <w:sz w:val="8"/>
                <w:szCs w:val="8"/>
                <w:color w:val="auto"/>
              </w:rPr>
              <w:t>Page 86</w:t>
            </w:r>
          </w:p>
        </w:tc>
      </w:tr>
      <w:tr>
        <w:trPr>
          <w:trHeight w:val="94"/>
        </w:trPr>
        <w:tc>
          <w:tcPr>
            <w:tcW w:w="526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2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80" w:type="dxa"/>
            <w:vAlign w:val="bottom"/>
            <w:tcBorders>
              <w:bottom w:val="single" w:sz="8" w:color="EEEEEE"/>
            </w:tcBorders>
          </w:tcPr>
          <w:p>
            <w:pPr>
              <w:spacing w:after="0"/>
              <w:rPr>
                <w:sz w:val="18"/>
                <w:szCs w:val="18"/>
                <w:color w:val="auto"/>
              </w:rPr>
            </w:pPr>
          </w:p>
        </w:tc>
        <w:tc>
          <w:tcPr>
            <w:tcW w:w="42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807" w:right="1060" w:bottom="1440" w:gutter="0" w:footer="0" w:header="0"/>
        </w:sectPr>
      </w:pPr>
    </w:p>
    <w:bookmarkStart w:id="154" w:name="page155"/>
    <w:bookmarkEnd w:id="154"/>
    <w:p>
      <w:pPr>
        <w:ind w:left="400"/>
        <w:spacing w:after="0"/>
        <w:rPr>
          <w:sz w:val="20"/>
          <w:szCs w:val="20"/>
          <w:color w:val="auto"/>
        </w:rPr>
      </w:pPr>
      <w:r>
        <w:rPr>
          <w:rFonts w:ascii="Arial" w:cs="Arial" w:eastAsia="Arial" w:hAnsi="Arial"/>
          <w:sz w:val="16"/>
          <w:szCs w:val="16"/>
          <w:color w:val="auto"/>
        </w:rPr>
        <w:t>Verification Certificate</w:t>
      </w:r>
    </w:p>
    <w:p>
      <w:pPr>
        <w:spacing w:after="0" w:line="200" w:lineRule="exact"/>
        <w:rPr>
          <w:sz w:val="20"/>
          <w:szCs w:val="20"/>
          <w:color w:val="auto"/>
        </w:rPr>
      </w:pPr>
    </w:p>
    <w:p>
      <w:pPr>
        <w:spacing w:after="0" w:line="280" w:lineRule="exact"/>
        <w:rPr>
          <w:sz w:val="20"/>
          <w:szCs w:val="20"/>
          <w:color w:val="auto"/>
        </w:rPr>
      </w:pPr>
    </w:p>
    <w:tbl>
      <w:tblPr>
        <w:tblLayout w:type="fixed"/>
        <w:tblInd w:w="400" w:type="dxa"/>
        <w:tblCellMar>
          <w:top w:w="0" w:type="dxa"/>
          <w:left w:w="0" w:type="dxa"/>
          <w:bottom w:w="0" w:type="dxa"/>
          <w:right w:w="0" w:type="dxa"/>
        </w:tblCellMar>
      </w:tblPr>
      <w:tr>
        <w:trPr>
          <w:trHeight w:val="126"/>
        </w:trPr>
        <w:tc>
          <w:tcPr>
            <w:tcW w:w="380" w:type="dxa"/>
            <w:vAlign w:val="bottom"/>
          </w:tcPr>
          <w:p>
            <w:pPr>
              <w:spacing w:after="0"/>
              <w:rPr>
                <w:sz w:val="20"/>
                <w:szCs w:val="20"/>
                <w:color w:val="auto"/>
              </w:rPr>
            </w:pPr>
            <w:r>
              <w:rPr>
                <w:rFonts w:ascii="Arial" w:cs="Arial" w:eastAsia="Arial" w:hAnsi="Arial"/>
                <w:sz w:val="11"/>
                <w:szCs w:val="11"/>
                <w:color w:val="auto"/>
              </w:rPr>
              <w:t>To:</w:t>
            </w:r>
          </w:p>
        </w:tc>
        <w:tc>
          <w:tcPr>
            <w:tcW w:w="1980" w:type="dxa"/>
            <w:vAlign w:val="bottom"/>
          </w:tcPr>
          <w:p>
            <w:pPr>
              <w:ind w:left="100"/>
              <w:spacing w:after="0"/>
              <w:rPr>
                <w:sz w:val="20"/>
                <w:szCs w:val="20"/>
                <w:color w:val="auto"/>
              </w:rPr>
            </w:pPr>
            <w:r>
              <w:rPr>
                <w:rFonts w:ascii="Arial" w:cs="Arial" w:eastAsia="Arial" w:hAnsi="Arial"/>
                <w:sz w:val="11"/>
                <w:szCs w:val="11"/>
                <w:color w:val="auto"/>
              </w:rPr>
              <w:t>National Australia Bank Limited Level</w:t>
            </w:r>
          </w:p>
        </w:tc>
        <w:tc>
          <w:tcPr>
            <w:tcW w:w="140" w:type="dxa"/>
            <w:vAlign w:val="bottom"/>
          </w:tcPr>
          <w:p>
            <w:pPr>
              <w:jc w:val="right"/>
              <w:spacing w:after="0"/>
              <w:rPr>
                <w:sz w:val="20"/>
                <w:szCs w:val="20"/>
                <w:color w:val="auto"/>
              </w:rPr>
            </w:pPr>
            <w:r>
              <w:rPr>
                <w:rFonts w:ascii="Arial" w:cs="Arial" w:eastAsia="Arial" w:hAnsi="Arial"/>
                <w:sz w:val="11"/>
                <w:szCs w:val="11"/>
                <w:color w:val="B5082D"/>
                <w:strike w:val="1"/>
                <w:w w:val="81"/>
              </w:rPr>
              <w:t>28</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2D96D2"/>
                <w:w w:val="91"/>
              </w:rPr>
              <w:t>17</w:t>
            </w:r>
            <w:r>
              <w:rPr>
                <w:rFonts w:ascii="Arial" w:cs="Arial" w:eastAsia="Arial" w:hAnsi="Arial"/>
                <w:sz w:val="11"/>
                <w:szCs w:val="11"/>
                <w:color w:val="000000"/>
                <w:w w:val="91"/>
              </w:rPr>
              <w:t>,</w:t>
            </w:r>
          </w:p>
        </w:tc>
        <w:tc>
          <w:tcPr>
            <w:tcW w:w="220" w:type="dxa"/>
            <w:vAlign w:val="bottom"/>
          </w:tcPr>
          <w:p>
            <w:pPr>
              <w:jc w:val="right"/>
              <w:spacing w:after="0"/>
              <w:rPr>
                <w:sz w:val="20"/>
                <w:szCs w:val="20"/>
                <w:color w:val="auto"/>
              </w:rPr>
            </w:pPr>
            <w:r>
              <w:rPr>
                <w:rFonts w:ascii="Arial" w:cs="Arial" w:eastAsia="Arial" w:hAnsi="Arial"/>
                <w:sz w:val="11"/>
                <w:szCs w:val="11"/>
                <w:color w:val="B5082D"/>
                <w:strike w:val="1"/>
                <w:w w:val="86"/>
              </w:rPr>
              <w:t>500</w:t>
            </w:r>
          </w:p>
        </w:tc>
        <w:tc>
          <w:tcPr>
            <w:tcW w:w="5100" w:type="dxa"/>
            <w:vAlign w:val="bottom"/>
            <w:gridSpan w:val="2"/>
          </w:tcPr>
          <w:p>
            <w:pPr>
              <w:spacing w:after="0"/>
              <w:rPr>
                <w:sz w:val="20"/>
                <w:szCs w:val="20"/>
                <w:color w:val="auto"/>
              </w:rPr>
            </w:pPr>
            <w:r>
              <w:rPr>
                <w:rFonts w:ascii="Arial" w:cs="Arial" w:eastAsia="Arial" w:hAnsi="Arial"/>
                <w:sz w:val="11"/>
                <w:szCs w:val="11"/>
                <w:color w:val="2D96D2"/>
              </w:rPr>
              <w:t xml:space="preserve">395 </w:t>
            </w:r>
            <w:r>
              <w:rPr>
                <w:rFonts w:ascii="Arial" w:cs="Arial" w:eastAsia="Arial" w:hAnsi="Arial"/>
                <w:sz w:val="11"/>
                <w:szCs w:val="11"/>
                <w:color w:val="000000"/>
              </w:rPr>
              <w:t>Bourke Street Melbourne VIC 3000</w:t>
            </w:r>
          </w:p>
        </w:tc>
      </w:tr>
      <w:tr>
        <w:trPr>
          <w:trHeight w:val="387"/>
        </w:trPr>
        <w:tc>
          <w:tcPr>
            <w:tcW w:w="380" w:type="dxa"/>
            <w:vAlign w:val="bottom"/>
          </w:tcPr>
          <w:p>
            <w:pPr>
              <w:spacing w:after="0"/>
              <w:rPr>
                <w:sz w:val="20"/>
                <w:szCs w:val="20"/>
                <w:color w:val="auto"/>
              </w:rPr>
            </w:pPr>
            <w:r>
              <w:rPr>
                <w:rFonts w:ascii="Arial" w:cs="Arial" w:eastAsia="Arial" w:hAnsi="Arial"/>
                <w:sz w:val="11"/>
                <w:szCs w:val="11"/>
                <w:color w:val="auto"/>
              </w:rPr>
              <w:t>[date]</w:t>
            </w: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2D96D2"/>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2D96D2"/>
            </w:tcBorders>
          </w:tcPr>
          <w:p>
            <w:pPr>
              <w:spacing w:after="0"/>
              <w:rPr>
                <w:sz w:val="24"/>
                <w:szCs w:val="24"/>
                <w:color w:val="auto"/>
              </w:rPr>
            </w:pPr>
          </w:p>
        </w:tc>
        <w:tc>
          <w:tcPr>
            <w:tcW w:w="4880" w:type="dxa"/>
            <w:vAlign w:val="bottom"/>
          </w:tcPr>
          <w:p>
            <w:pPr>
              <w:spacing w:after="0"/>
              <w:rPr>
                <w:sz w:val="24"/>
                <w:szCs w:val="24"/>
                <w:color w:val="auto"/>
              </w:rPr>
            </w:pPr>
          </w:p>
        </w:tc>
      </w:tr>
      <w:tr>
        <w:trPr>
          <w:trHeight w:val="400"/>
        </w:trPr>
        <w:tc>
          <w:tcPr>
            <w:tcW w:w="8000" w:type="dxa"/>
            <w:vAlign w:val="bottom"/>
            <w:gridSpan w:val="8"/>
          </w:tcPr>
          <w:p>
            <w:pPr>
              <w:spacing w:after="0"/>
              <w:rPr>
                <w:sz w:val="20"/>
                <w:szCs w:val="20"/>
                <w:color w:val="auto"/>
              </w:rPr>
            </w:pPr>
            <w:r>
              <w:rPr>
                <w:rFonts w:ascii="Arial" w:cs="Arial" w:eastAsia="Arial" w:hAnsi="Arial"/>
                <w:sz w:val="11"/>
                <w:szCs w:val="11"/>
                <w:b w:val="1"/>
                <w:bCs w:val="1"/>
                <w:color w:val="auto"/>
              </w:rPr>
              <w:t>Reading Entertainment Australia Pty Ltd Facility Agreement</w:t>
            </w:r>
          </w:p>
        </w:tc>
      </w:tr>
      <w:tr>
        <w:trPr>
          <w:trHeight w:val="149"/>
        </w:trPr>
        <w:tc>
          <w:tcPr>
            <w:tcW w:w="380" w:type="dxa"/>
            <w:vAlign w:val="bottom"/>
          </w:tcPr>
          <w:p>
            <w:pPr>
              <w:spacing w:after="0"/>
              <w:rPr>
                <w:sz w:val="20"/>
                <w:szCs w:val="20"/>
                <w:color w:val="auto"/>
              </w:rPr>
            </w:pPr>
            <w:r>
              <w:rPr>
                <w:rFonts w:ascii="Arial" w:cs="Arial" w:eastAsia="Arial" w:hAnsi="Arial"/>
                <w:sz w:val="11"/>
                <w:szCs w:val="11"/>
                <w:color w:val="auto"/>
              </w:rPr>
              <w:t>I, [</w:t>
            </w:r>
          </w:p>
        </w:tc>
        <w:tc>
          <w:tcPr>
            <w:tcW w:w="7620" w:type="dxa"/>
            <w:vAlign w:val="bottom"/>
            <w:gridSpan w:val="7"/>
          </w:tcPr>
          <w:p>
            <w:pPr>
              <w:ind w:left="540"/>
              <w:spacing w:after="0"/>
              <w:rPr>
                <w:sz w:val="20"/>
                <w:szCs w:val="20"/>
                <w:color w:val="auto"/>
              </w:rPr>
            </w:pPr>
            <w:r>
              <w:rPr>
                <w:rFonts w:ascii="Arial" w:cs="Arial" w:eastAsia="Arial" w:hAnsi="Arial"/>
                <w:sz w:val="11"/>
                <w:szCs w:val="11"/>
                <w:color w:val="auto"/>
              </w:rPr>
              <w:t>] being the person whose name and signature appear at the bottom of this document, am a Director of the company named at the bottom of this</w:t>
            </w:r>
          </w:p>
        </w:tc>
      </w:tr>
    </w:tbl>
    <w:p>
      <w:pPr>
        <w:ind w:left="400"/>
        <w:spacing w:after="0" w:line="227" w:lineRule="auto"/>
        <w:rPr>
          <w:sz w:val="20"/>
          <w:szCs w:val="20"/>
          <w:color w:val="auto"/>
        </w:rPr>
      </w:pPr>
      <w:r>
        <w:rPr>
          <w:rFonts w:ascii="Arial" w:cs="Arial" w:eastAsia="Arial" w:hAnsi="Arial"/>
          <w:sz w:val="11"/>
          <w:szCs w:val="11"/>
          <w:color w:val="auto"/>
        </w:rPr>
        <w:t>document (</w:t>
      </w:r>
      <w:r>
        <w:rPr>
          <w:rFonts w:ascii="Arial" w:cs="Arial" w:eastAsia="Arial" w:hAnsi="Arial"/>
          <w:sz w:val="11"/>
          <w:szCs w:val="11"/>
          <w:b w:val="1"/>
          <w:bCs w:val="1"/>
          <w:color w:val="auto"/>
        </w:rPr>
        <w:t>Transaction Party</w:t>
      </w:r>
      <w:r>
        <w:rPr>
          <w:rFonts w:ascii="Arial" w:cs="Arial" w:eastAsia="Arial" w:hAnsi="Arial"/>
          <w:sz w:val="11"/>
          <w:szCs w:val="11"/>
          <w:color w:val="auto"/>
        </w:rPr>
        <w:t>) refer to the Corporate Markets Loan &amp; Bank Guarantee Facility Agreement dated on or about the date of this</w:t>
      </w:r>
    </w:p>
    <w:p>
      <w:pPr>
        <w:ind w:left="400"/>
        <w:spacing w:after="0"/>
        <w:rPr>
          <w:sz w:val="20"/>
          <w:szCs w:val="20"/>
          <w:color w:val="auto"/>
        </w:rPr>
      </w:pPr>
      <w:r>
        <w:rPr>
          <w:rFonts w:ascii="Arial" w:cs="Arial" w:eastAsia="Arial" w:hAnsi="Arial"/>
          <w:sz w:val="11"/>
          <w:szCs w:val="11"/>
          <w:color w:val="auto"/>
        </w:rPr>
        <w:t>document between, amongst others, Reading Entertainment Australia Pty Ltd as Borrower and National Australia Bank Limited as Bank (</w:t>
      </w:r>
      <w:r>
        <w:rPr>
          <w:rFonts w:ascii="Arial" w:cs="Arial" w:eastAsia="Arial" w:hAnsi="Arial"/>
          <w:sz w:val="11"/>
          <w:szCs w:val="11"/>
          <w:b w:val="1"/>
          <w:bCs w:val="1"/>
          <w:color w:val="auto"/>
        </w:rPr>
        <w:t>Facility Agreement</w:t>
      </w:r>
      <w:r>
        <w:rPr>
          <w:rFonts w:ascii="Arial" w:cs="Arial" w:eastAsia="Arial" w:hAnsi="Arial"/>
          <w:sz w:val="11"/>
          <w:szCs w:val="11"/>
          <w:color w:val="auto"/>
        </w:rPr>
        <w:t>) and certify as follows:</w:t>
      </w:r>
    </w:p>
    <w:p>
      <w:pPr>
        <w:spacing w:after="0" w:line="47" w:lineRule="exact"/>
        <w:rPr>
          <w:sz w:val="20"/>
          <w:szCs w:val="20"/>
          <w:color w:val="auto"/>
        </w:rPr>
      </w:pPr>
    </w:p>
    <w:p>
      <w:pPr>
        <w:ind w:left="800" w:hanging="405"/>
        <w:spacing w:after="0"/>
        <w:tabs>
          <w:tab w:leader="none" w:pos="800" w:val="left"/>
        </w:tabs>
        <w:numPr>
          <w:ilvl w:val="0"/>
          <w:numId w:val="245"/>
        </w:numPr>
        <w:rPr>
          <w:rFonts w:ascii="Arial" w:cs="Arial" w:eastAsia="Arial" w:hAnsi="Arial"/>
          <w:sz w:val="11"/>
          <w:szCs w:val="11"/>
          <w:b w:val="1"/>
          <w:bCs w:val="1"/>
          <w:color w:val="auto"/>
        </w:rPr>
      </w:pPr>
      <w:r>
        <w:rPr>
          <w:rFonts w:ascii="Arial" w:cs="Arial" w:eastAsia="Arial" w:hAnsi="Arial"/>
          <w:sz w:val="11"/>
          <w:szCs w:val="11"/>
          <w:b w:val="1"/>
          <w:bCs w:val="1"/>
          <w:color w:val="auto"/>
        </w:rPr>
        <w:t>Certificate of incorporation</w:t>
      </w:r>
    </w:p>
    <w:p>
      <w:pPr>
        <w:spacing w:after="0" w:line="74" w:lineRule="exact"/>
        <w:rPr>
          <w:rFonts w:ascii="Arial" w:cs="Arial" w:eastAsia="Arial" w:hAnsi="Arial"/>
          <w:sz w:val="11"/>
          <w:szCs w:val="11"/>
          <w:b w:val="1"/>
          <w:bCs w:val="1"/>
          <w:color w:val="auto"/>
        </w:rPr>
      </w:pPr>
    </w:p>
    <w:p>
      <w:pPr>
        <w:ind w:left="820" w:right="340"/>
        <w:spacing w:after="0" w:line="256" w:lineRule="auto"/>
        <w:rPr>
          <w:rFonts w:ascii="Arial" w:cs="Arial" w:eastAsia="Arial" w:hAnsi="Arial"/>
          <w:sz w:val="11"/>
          <w:szCs w:val="11"/>
          <w:b w:val="1"/>
          <w:bCs w:val="1"/>
          <w:color w:val="auto"/>
        </w:rPr>
      </w:pPr>
      <w:r>
        <w:rPr>
          <w:rFonts w:ascii="Arial" w:cs="Arial" w:eastAsia="Arial" w:hAnsi="Arial"/>
          <w:sz w:val="11"/>
          <w:szCs w:val="11"/>
          <w:color w:val="auto"/>
        </w:rPr>
        <w:t>A copy of the certificate of incorporation/registration and any certificate of change of name of the Transaction Party is attached and marked A. The copy is true, complete and up-to-date and there have been no amendments or variations since the date of the copy.</w:t>
      </w:r>
    </w:p>
    <w:p>
      <w:pPr>
        <w:spacing w:after="0" w:line="84" w:lineRule="exact"/>
        <w:rPr>
          <w:sz w:val="20"/>
          <w:szCs w:val="20"/>
          <w:color w:val="auto"/>
        </w:rPr>
      </w:pPr>
    </w:p>
    <w:p>
      <w:pPr>
        <w:ind w:left="800" w:hanging="405"/>
        <w:spacing w:after="0"/>
        <w:tabs>
          <w:tab w:leader="none" w:pos="800" w:val="left"/>
        </w:tabs>
        <w:numPr>
          <w:ilvl w:val="0"/>
          <w:numId w:val="246"/>
        </w:numPr>
        <w:rPr>
          <w:rFonts w:ascii="Arial" w:cs="Arial" w:eastAsia="Arial" w:hAnsi="Arial"/>
          <w:sz w:val="11"/>
          <w:szCs w:val="11"/>
          <w:b w:val="1"/>
          <w:bCs w:val="1"/>
          <w:color w:val="auto"/>
        </w:rPr>
      </w:pPr>
      <w:r>
        <w:rPr>
          <w:rFonts w:ascii="Arial" w:cs="Arial" w:eastAsia="Arial" w:hAnsi="Arial"/>
          <w:sz w:val="11"/>
          <w:szCs w:val="11"/>
          <w:b w:val="1"/>
          <w:bCs w:val="1"/>
          <w:color w:val="auto"/>
        </w:rPr>
        <w:t>Extract of minutes of meeting of directors</w:t>
      </w:r>
    </w:p>
    <w:p>
      <w:pPr>
        <w:spacing w:after="0" w:line="75" w:lineRule="exact"/>
        <w:rPr>
          <w:sz w:val="20"/>
          <w:szCs w:val="20"/>
          <w:color w:val="auto"/>
        </w:rPr>
      </w:pPr>
    </w:p>
    <w:p>
      <w:pPr>
        <w:jc w:val="both"/>
        <w:ind w:left="840" w:right="280"/>
        <w:spacing w:after="0" w:line="242" w:lineRule="auto"/>
        <w:rPr>
          <w:sz w:val="20"/>
          <w:szCs w:val="20"/>
          <w:color w:val="auto"/>
        </w:rPr>
      </w:pPr>
      <w:r>
        <w:rPr>
          <w:rFonts w:ascii="Arial" w:cs="Arial" w:eastAsia="Arial" w:hAnsi="Arial"/>
          <w:sz w:val="11"/>
          <w:szCs w:val="11"/>
          <w:color w:val="auto"/>
        </w:rPr>
        <w:t>A true and correct extract of minutes of meeting of directors of the Transaction Party duly convened and held on the date mentioned in the extract is attached and marked B. The resolutions set out in the extract were duly approved, remain in full force and effect and have not been rescinded, amended, modified or revoked. The resolutions confirm that the Transaction Party derives a corporate benefit from the Transaction Documents.</w:t>
      </w:r>
    </w:p>
    <w:p>
      <w:pPr>
        <w:spacing w:after="0" w:line="99" w:lineRule="exact"/>
        <w:rPr>
          <w:sz w:val="20"/>
          <w:szCs w:val="20"/>
          <w:color w:val="auto"/>
        </w:rPr>
      </w:pPr>
    </w:p>
    <w:p>
      <w:pPr>
        <w:ind w:left="800" w:hanging="405"/>
        <w:spacing w:after="0"/>
        <w:tabs>
          <w:tab w:leader="none" w:pos="800" w:val="left"/>
        </w:tabs>
        <w:numPr>
          <w:ilvl w:val="0"/>
          <w:numId w:val="247"/>
        </w:numPr>
        <w:rPr>
          <w:rFonts w:ascii="Arial" w:cs="Arial" w:eastAsia="Arial" w:hAnsi="Arial"/>
          <w:sz w:val="11"/>
          <w:szCs w:val="11"/>
          <w:b w:val="1"/>
          <w:bCs w:val="1"/>
          <w:color w:val="auto"/>
        </w:rPr>
      </w:pPr>
      <w:r>
        <w:rPr>
          <w:rFonts w:ascii="Arial" w:cs="Arial" w:eastAsia="Arial" w:hAnsi="Arial"/>
          <w:sz w:val="11"/>
          <w:szCs w:val="11"/>
          <w:b w:val="1"/>
          <w:bCs w:val="1"/>
          <w:color w:val="auto"/>
        </w:rPr>
        <w:t>Power of attorney</w:t>
      </w:r>
    </w:p>
    <w:p>
      <w:pPr>
        <w:spacing w:after="0" w:line="71" w:lineRule="exact"/>
        <w:rPr>
          <w:sz w:val="20"/>
          <w:szCs w:val="20"/>
          <w:color w:val="auto"/>
        </w:rPr>
      </w:pPr>
    </w:p>
    <w:p>
      <w:pPr>
        <w:ind w:left="840" w:right="440"/>
        <w:spacing w:after="0" w:line="264"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If applicable</w:t>
      </w:r>
      <w:r>
        <w:rPr>
          <w:rFonts w:ascii="Arial" w:cs="Arial" w:eastAsia="Arial" w:hAnsi="Arial"/>
          <w:sz w:val="11"/>
          <w:szCs w:val="11"/>
          <w:color w:val="auto"/>
        </w:rPr>
        <w:t>: An original power of attorney of the Transaction Party dated [</w:t>
      </w:r>
      <w:r>
        <w:rPr>
          <w:rFonts w:ascii="Arial" w:cs="Arial" w:eastAsia="Arial" w:hAnsi="Arial"/>
          <w:sz w:val="11"/>
          <w:szCs w:val="11"/>
          <w:i w:val="1"/>
          <w:iCs w:val="1"/>
          <w:color w:val="auto"/>
        </w:rPr>
        <w:t>date</w:t>
      </w:r>
      <w:r>
        <w:rPr>
          <w:rFonts w:ascii="Arial" w:cs="Arial" w:eastAsia="Arial" w:hAnsi="Arial"/>
          <w:sz w:val="11"/>
          <w:szCs w:val="11"/>
          <w:color w:val="auto"/>
        </w:rPr>
        <w:t>] appointing attorneys in respect of the Transaction Documents is attached and marked C. This power of attorney remains in full force and has not been revoked.]</w:t>
      </w:r>
    </w:p>
    <w:p>
      <w:pPr>
        <w:spacing w:after="0" w:line="80" w:lineRule="exact"/>
        <w:rPr>
          <w:sz w:val="20"/>
          <w:szCs w:val="20"/>
          <w:color w:val="auto"/>
        </w:rPr>
      </w:pPr>
    </w:p>
    <w:p>
      <w:pPr>
        <w:ind w:left="800" w:hanging="405"/>
        <w:spacing w:after="0"/>
        <w:tabs>
          <w:tab w:leader="none" w:pos="800" w:val="left"/>
        </w:tabs>
        <w:numPr>
          <w:ilvl w:val="0"/>
          <w:numId w:val="248"/>
        </w:numPr>
        <w:rPr>
          <w:rFonts w:ascii="Arial" w:cs="Arial" w:eastAsia="Arial" w:hAnsi="Arial"/>
          <w:sz w:val="11"/>
          <w:szCs w:val="11"/>
          <w:b w:val="1"/>
          <w:bCs w:val="1"/>
          <w:color w:val="auto"/>
        </w:rPr>
      </w:pPr>
      <w:r>
        <w:rPr>
          <w:rFonts w:ascii="Arial" w:cs="Arial" w:eastAsia="Arial" w:hAnsi="Arial"/>
          <w:sz w:val="11"/>
          <w:szCs w:val="11"/>
          <w:b w:val="1"/>
          <w:bCs w:val="1"/>
          <w:color w:val="auto"/>
        </w:rPr>
        <w:t>Specimen signatures</w:t>
      </w:r>
    </w:p>
    <w:p>
      <w:pPr>
        <w:spacing w:after="0" w:line="63" w:lineRule="exact"/>
        <w:rPr>
          <w:rFonts w:ascii="Arial" w:cs="Arial" w:eastAsia="Arial" w:hAnsi="Arial"/>
          <w:sz w:val="11"/>
          <w:szCs w:val="11"/>
          <w:b w:val="1"/>
          <w:bCs w:val="1"/>
          <w:color w:val="auto"/>
        </w:rPr>
      </w:pPr>
    </w:p>
    <w:p>
      <w:pPr>
        <w:ind w:left="1200" w:right="1180" w:hanging="190"/>
        <w:spacing w:after="0" w:line="264" w:lineRule="auto"/>
        <w:tabs>
          <w:tab w:leader="none" w:pos="1200" w:val="left"/>
        </w:tabs>
        <w:numPr>
          <w:ilvl w:val="1"/>
          <w:numId w:val="248"/>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i w:val="1"/>
          <w:iCs w:val="1"/>
          <w:color w:val="auto"/>
        </w:rPr>
        <w:t>In the case of the Borrower, insert</w:t>
      </w:r>
      <w:r>
        <w:rPr>
          <w:rFonts w:ascii="Arial" w:cs="Arial" w:eastAsia="Arial" w:hAnsi="Arial"/>
          <w:sz w:val="11"/>
          <w:szCs w:val="11"/>
          <w:color w:val="auto"/>
        </w:rPr>
        <w:t>: The following are the signatures of the persons appointed as Authorised Representatives of the Transaction Party for the purposes of the Transaction Documents.]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20" w:type="dxa"/>
            <w:vAlign w:val="bottom"/>
          </w:tcPr>
          <w:p>
            <w:pPr>
              <w:ind w:left="3900"/>
              <w:spacing w:after="0"/>
              <w:rPr>
                <w:sz w:val="20"/>
                <w:szCs w:val="20"/>
                <w:color w:val="auto"/>
              </w:rPr>
            </w:pPr>
            <w:r>
              <w:rPr>
                <w:rFonts w:ascii="Arial" w:cs="Arial" w:eastAsia="Arial" w:hAnsi="Arial"/>
                <w:sz w:val="8"/>
                <w:szCs w:val="8"/>
                <w:color w:val="auto"/>
              </w:rPr>
              <w:t>Page 87</w:t>
            </w:r>
          </w:p>
        </w:tc>
      </w:tr>
      <w:tr>
        <w:trPr>
          <w:trHeight w:val="94"/>
        </w:trPr>
        <w:tc>
          <w:tcPr>
            <w:tcW w:w="526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2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80" w:type="dxa"/>
            <w:vAlign w:val="bottom"/>
            <w:tcBorders>
              <w:bottom w:val="single" w:sz="8" w:color="EEEEEE"/>
            </w:tcBorders>
          </w:tcPr>
          <w:p>
            <w:pPr>
              <w:spacing w:after="0"/>
              <w:rPr>
                <w:sz w:val="18"/>
                <w:szCs w:val="18"/>
                <w:color w:val="auto"/>
              </w:rPr>
            </w:pPr>
          </w:p>
        </w:tc>
        <w:tc>
          <w:tcPr>
            <w:tcW w:w="42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807" w:right="1060" w:bottom="1440" w:gutter="0" w:footer="0" w:header="0"/>
        </w:sectPr>
      </w:pPr>
    </w:p>
    <w:bookmarkStart w:id="155" w:name="page156"/>
    <w:bookmarkEnd w:id="155"/>
    <w:p>
      <w:pPr>
        <w:ind w:left="1200" w:right="1040" w:hanging="190"/>
        <w:spacing w:after="0" w:line="264" w:lineRule="auto"/>
        <w:tabs>
          <w:tab w:leader="none" w:pos="1200" w:val="left"/>
        </w:tabs>
        <w:numPr>
          <w:ilvl w:val="0"/>
          <w:numId w:val="249"/>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i w:val="1"/>
          <w:iCs w:val="1"/>
          <w:color w:val="auto"/>
        </w:rPr>
        <w:t>In the case of any other Transaction Party insert</w:t>
      </w:r>
      <w:r>
        <w:rPr>
          <w:rFonts w:ascii="Arial" w:cs="Arial" w:eastAsia="Arial" w:hAnsi="Arial"/>
          <w:sz w:val="11"/>
          <w:szCs w:val="11"/>
          <w:color w:val="auto"/>
        </w:rPr>
        <w:t>: The signatures of the persons appointed as Authorised Representatives of the Transaction Party for the purposes of the Transaction Documents are set out in the Verification Certificate provided by the Borrower.]</w:t>
      </w:r>
    </w:p>
    <w:p>
      <w:pPr>
        <w:spacing w:after="0" w:line="23" w:lineRule="exact"/>
        <w:rPr>
          <w:rFonts w:ascii="Arial" w:cs="Arial" w:eastAsia="Arial" w:hAnsi="Arial"/>
          <w:sz w:val="11"/>
          <w:szCs w:val="11"/>
          <w:color w:val="auto"/>
        </w:rPr>
      </w:pPr>
    </w:p>
    <w:p>
      <w:pPr>
        <w:ind w:left="1200" w:hanging="190"/>
        <w:spacing w:after="0"/>
        <w:tabs>
          <w:tab w:leader="none" w:pos="1200" w:val="left"/>
        </w:tabs>
        <w:numPr>
          <w:ilvl w:val="0"/>
          <w:numId w:val="249"/>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i w:val="1"/>
          <w:iCs w:val="1"/>
          <w:color w:val="auto"/>
        </w:rPr>
        <w:t>In the case of the Borrower, insert</w:t>
      </w:r>
      <w:r>
        <w:rPr>
          <w:rFonts w:ascii="Arial" w:cs="Arial" w:eastAsia="Arial" w:hAnsi="Arial"/>
          <w:sz w:val="11"/>
          <w:szCs w:val="11"/>
          <w:color w:val="auto"/>
        </w:rPr>
        <w:t>:</w:t>
      </w:r>
    </w:p>
    <w:p>
      <w:pPr>
        <w:spacing w:after="0" w:line="253"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Authorised Representatives</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10"/>
          <w:szCs w:val="10"/>
          <w:color w:val="auto"/>
        </w:rPr>
        <w:t>Signature Name: Title:</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0"/>
          <w:szCs w:val="10"/>
          <w:color w:val="auto"/>
        </w:rPr>
        <w:t>Signature Name: Title:</w:t>
      </w:r>
    </w:p>
    <w:p>
      <w:pPr>
        <w:spacing w:after="0" w:line="13" w:lineRule="exact"/>
        <w:rPr>
          <w:sz w:val="20"/>
          <w:szCs w:val="20"/>
          <w:color w:val="auto"/>
        </w:rPr>
      </w:pPr>
    </w:p>
    <w:p>
      <w:pPr>
        <w:ind w:left="880"/>
        <w:spacing w:after="0"/>
        <w:rPr>
          <w:sz w:val="20"/>
          <w:szCs w:val="20"/>
          <w:color w:val="auto"/>
        </w:rPr>
      </w:pPr>
      <w:r>
        <w:rPr>
          <w:rFonts w:ascii="Arial" w:cs="Arial" w:eastAsia="Arial" w:hAnsi="Arial"/>
          <w:sz w:val="10"/>
          <w:szCs w:val="10"/>
          <w:color w:val="auto"/>
        </w:rPr>
        <w:t>Signature Name: Title: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20" w:type="dxa"/>
            <w:vAlign w:val="bottom"/>
          </w:tcPr>
          <w:p>
            <w:pPr>
              <w:ind w:left="3900"/>
              <w:spacing w:after="0"/>
              <w:rPr>
                <w:sz w:val="20"/>
                <w:szCs w:val="20"/>
                <w:color w:val="auto"/>
              </w:rPr>
            </w:pPr>
            <w:r>
              <w:rPr>
                <w:rFonts w:ascii="Arial" w:cs="Arial" w:eastAsia="Arial" w:hAnsi="Arial"/>
                <w:sz w:val="8"/>
                <w:szCs w:val="8"/>
                <w:color w:val="auto"/>
              </w:rPr>
              <w:t>Page 89</w:t>
            </w:r>
          </w:p>
        </w:tc>
      </w:tr>
      <w:tr>
        <w:trPr>
          <w:trHeight w:val="94"/>
        </w:trPr>
        <w:tc>
          <w:tcPr>
            <w:tcW w:w="526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2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80" w:type="dxa"/>
            <w:vAlign w:val="bottom"/>
            <w:tcBorders>
              <w:bottom w:val="single" w:sz="8" w:color="EEEEEE"/>
            </w:tcBorders>
          </w:tcPr>
          <w:p>
            <w:pPr>
              <w:spacing w:after="0"/>
              <w:rPr>
                <w:sz w:val="18"/>
                <w:szCs w:val="18"/>
                <w:color w:val="auto"/>
              </w:rPr>
            </w:pPr>
          </w:p>
        </w:tc>
        <w:tc>
          <w:tcPr>
            <w:tcW w:w="42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673" w:right="1060" w:bottom="1440" w:gutter="0" w:footer="0" w:header="0"/>
        </w:sectPr>
      </w:pPr>
    </w:p>
    <w:bookmarkStart w:id="156" w:name="page157"/>
    <w:bookmarkEnd w:id="156"/>
    <w:p>
      <w:pPr>
        <w:ind w:left="800" w:hanging="405"/>
        <w:spacing w:after="0"/>
        <w:tabs>
          <w:tab w:leader="none" w:pos="800" w:val="left"/>
        </w:tabs>
        <w:numPr>
          <w:ilvl w:val="0"/>
          <w:numId w:val="250"/>
        </w:numPr>
        <w:rPr>
          <w:rFonts w:ascii="Arial" w:cs="Arial" w:eastAsia="Arial" w:hAnsi="Arial"/>
          <w:sz w:val="11"/>
          <w:szCs w:val="11"/>
          <w:b w:val="1"/>
          <w:bCs w:val="1"/>
          <w:color w:val="auto"/>
        </w:rPr>
      </w:pPr>
      <w:r>
        <w:rPr>
          <w:rFonts w:ascii="Arial" w:cs="Arial" w:eastAsia="Arial" w:hAnsi="Arial"/>
          <w:sz w:val="11"/>
          <w:szCs w:val="11"/>
          <w:b w:val="1"/>
          <w:bCs w:val="1"/>
          <w:color w:val="auto"/>
        </w:rPr>
        <w:t>Solvency declaration</w:t>
      </w:r>
    </w:p>
    <w:p>
      <w:pPr>
        <w:spacing w:after="0" w:line="74" w:lineRule="exact"/>
        <w:rPr>
          <w:rFonts w:ascii="Arial" w:cs="Arial" w:eastAsia="Arial" w:hAnsi="Arial"/>
          <w:sz w:val="11"/>
          <w:szCs w:val="11"/>
          <w:b w:val="1"/>
          <w:bCs w:val="1"/>
          <w:color w:val="auto"/>
        </w:rPr>
      </w:pPr>
    </w:p>
    <w:p>
      <w:pPr>
        <w:ind w:left="1240" w:right="900" w:hanging="425"/>
        <w:spacing w:after="0" w:line="235" w:lineRule="auto"/>
        <w:tabs>
          <w:tab w:leader="none" w:pos="1240" w:val="left"/>
        </w:tabs>
        <w:numPr>
          <w:ilvl w:val="1"/>
          <w:numId w:val="250"/>
        </w:numPr>
        <w:rPr>
          <w:rFonts w:ascii="Arial" w:cs="Arial" w:eastAsia="Arial" w:hAnsi="Arial"/>
          <w:sz w:val="11"/>
          <w:szCs w:val="11"/>
          <w:color w:val="auto"/>
        </w:rPr>
      </w:pPr>
      <w:r>
        <w:rPr>
          <w:rFonts w:ascii="Arial" w:cs="Arial" w:eastAsia="Arial" w:hAnsi="Arial"/>
          <w:sz w:val="11"/>
          <w:szCs w:val="11"/>
          <w:color w:val="auto"/>
        </w:rPr>
        <w:t>As at the date of execution of each Transaction Document the Transaction Party is solvent (as defined in section 95A(1) of the Corporations Act) and will not become insolvent (as defined in section 95A(2) of the Corporations Act) by entering into and complying with its obligations</w:t>
      </w:r>
    </w:p>
    <w:p>
      <w:pPr>
        <w:ind w:left="1240"/>
        <w:spacing w:after="0"/>
        <w:rPr>
          <w:rFonts w:ascii="Arial" w:cs="Arial" w:eastAsia="Arial" w:hAnsi="Arial"/>
          <w:sz w:val="11"/>
          <w:szCs w:val="11"/>
          <w:color w:val="auto"/>
        </w:rPr>
      </w:pPr>
      <w:r>
        <w:rPr>
          <w:rFonts w:ascii="Arial" w:cs="Arial" w:eastAsia="Arial" w:hAnsi="Arial"/>
          <w:sz w:val="11"/>
          <w:szCs w:val="11"/>
          <w:color w:val="auto"/>
        </w:rPr>
        <w:t>under each Transaction Document to which it is expressed to be a party.</w:t>
      </w:r>
    </w:p>
    <w:p>
      <w:pPr>
        <w:spacing w:after="0" w:line="38" w:lineRule="exact"/>
        <w:rPr>
          <w:rFonts w:ascii="Arial" w:cs="Arial" w:eastAsia="Arial" w:hAnsi="Arial"/>
          <w:sz w:val="11"/>
          <w:szCs w:val="11"/>
          <w:color w:val="auto"/>
        </w:rPr>
      </w:pPr>
    </w:p>
    <w:p>
      <w:pPr>
        <w:ind w:left="1240" w:right="1120" w:hanging="425"/>
        <w:spacing w:after="0" w:line="256" w:lineRule="auto"/>
        <w:tabs>
          <w:tab w:leader="none" w:pos="1240" w:val="left"/>
        </w:tabs>
        <w:numPr>
          <w:ilvl w:val="1"/>
          <w:numId w:val="250"/>
        </w:numPr>
        <w:rPr>
          <w:rFonts w:ascii="Arial" w:cs="Arial" w:eastAsia="Arial" w:hAnsi="Arial"/>
          <w:sz w:val="11"/>
          <w:szCs w:val="11"/>
          <w:color w:val="auto"/>
        </w:rPr>
      </w:pPr>
      <w:r>
        <w:rPr>
          <w:rFonts w:ascii="Arial" w:cs="Arial" w:eastAsia="Arial" w:hAnsi="Arial"/>
          <w:sz w:val="11"/>
          <w:szCs w:val="11"/>
          <w:color w:val="auto"/>
        </w:rPr>
        <w:t>To the best of my knowledge, no application or order has been made, no proceedings have been commenced, no resolutions have been passed or proposed in a notice of meeting and no other steps have been taken for:</w:t>
      </w:r>
    </w:p>
    <w:p>
      <w:pPr>
        <w:spacing w:after="0" w:line="22" w:lineRule="exact"/>
        <w:rPr>
          <w:rFonts w:ascii="Arial" w:cs="Arial" w:eastAsia="Arial" w:hAnsi="Arial"/>
          <w:sz w:val="11"/>
          <w:szCs w:val="11"/>
          <w:color w:val="auto"/>
        </w:rPr>
      </w:pPr>
    </w:p>
    <w:p>
      <w:pPr>
        <w:ind w:left="1400" w:hanging="285"/>
        <w:spacing w:after="0"/>
        <w:tabs>
          <w:tab w:leader="none" w:pos="1400" w:val="left"/>
        </w:tabs>
        <w:numPr>
          <w:ilvl w:val="2"/>
          <w:numId w:val="250"/>
        </w:numPr>
        <w:rPr>
          <w:rFonts w:ascii="Arial" w:cs="Arial" w:eastAsia="Arial" w:hAnsi="Arial"/>
          <w:sz w:val="11"/>
          <w:szCs w:val="11"/>
          <w:color w:val="auto"/>
        </w:rPr>
      </w:pPr>
      <w:r>
        <w:rPr>
          <w:rFonts w:ascii="Arial" w:cs="Arial" w:eastAsia="Arial" w:hAnsi="Arial"/>
          <w:sz w:val="11"/>
          <w:szCs w:val="11"/>
          <w:color w:val="auto"/>
        </w:rPr>
        <w:t>the winding up, dissolution or administration of the Transaction Party; or</w:t>
      </w:r>
    </w:p>
    <w:p>
      <w:pPr>
        <w:spacing w:after="0" w:line="46" w:lineRule="exact"/>
        <w:rPr>
          <w:rFonts w:ascii="Arial" w:cs="Arial" w:eastAsia="Arial" w:hAnsi="Arial"/>
          <w:sz w:val="11"/>
          <w:szCs w:val="11"/>
          <w:color w:val="auto"/>
        </w:rPr>
      </w:pPr>
    </w:p>
    <w:p>
      <w:pPr>
        <w:ind w:left="1400" w:hanging="285"/>
        <w:spacing w:after="0"/>
        <w:tabs>
          <w:tab w:leader="none" w:pos="1400" w:val="left"/>
        </w:tabs>
        <w:numPr>
          <w:ilvl w:val="2"/>
          <w:numId w:val="250"/>
        </w:numPr>
        <w:rPr>
          <w:rFonts w:ascii="Arial" w:cs="Arial" w:eastAsia="Arial" w:hAnsi="Arial"/>
          <w:sz w:val="11"/>
          <w:szCs w:val="11"/>
          <w:color w:val="auto"/>
        </w:rPr>
      </w:pPr>
      <w:r>
        <w:rPr>
          <w:rFonts w:ascii="Arial" w:cs="Arial" w:eastAsia="Arial" w:hAnsi="Arial"/>
          <w:sz w:val="11"/>
          <w:szCs w:val="11"/>
          <w:color w:val="auto"/>
        </w:rPr>
        <w:t>the Transaction Party entering into an arrangement, compromise or composition with or assignment of the benefit of its creditors or a class of them.</w:t>
      </w:r>
    </w:p>
    <w:p>
      <w:pPr>
        <w:spacing w:after="0" w:line="108" w:lineRule="exact"/>
        <w:rPr>
          <w:sz w:val="20"/>
          <w:szCs w:val="20"/>
          <w:color w:val="auto"/>
        </w:rPr>
      </w:pPr>
    </w:p>
    <w:p>
      <w:pPr>
        <w:ind w:left="800" w:hanging="405"/>
        <w:spacing w:after="0"/>
        <w:tabs>
          <w:tab w:leader="none" w:pos="800" w:val="left"/>
        </w:tabs>
        <w:numPr>
          <w:ilvl w:val="0"/>
          <w:numId w:val="251"/>
        </w:numPr>
        <w:rPr>
          <w:rFonts w:ascii="Arial" w:cs="Arial" w:eastAsia="Arial" w:hAnsi="Arial"/>
          <w:sz w:val="11"/>
          <w:szCs w:val="11"/>
          <w:b w:val="1"/>
          <w:bCs w:val="1"/>
          <w:color w:val="auto"/>
        </w:rPr>
      </w:pPr>
      <w:r>
        <w:rPr>
          <w:rFonts w:ascii="Arial" w:cs="Arial" w:eastAsia="Arial" w:hAnsi="Arial"/>
          <w:sz w:val="11"/>
          <w:szCs w:val="11"/>
          <w:b w:val="1"/>
          <w:bCs w:val="1"/>
          <w:color w:val="auto"/>
        </w:rPr>
        <w:t>Trust deed</w:t>
      </w:r>
    </w:p>
    <w:p>
      <w:pPr>
        <w:spacing w:after="0" w:line="70" w:lineRule="exact"/>
        <w:rPr>
          <w:rFonts w:ascii="Arial" w:cs="Arial" w:eastAsia="Arial" w:hAnsi="Arial"/>
          <w:sz w:val="11"/>
          <w:szCs w:val="11"/>
          <w:b w:val="1"/>
          <w:bCs w:val="1"/>
          <w:color w:val="auto"/>
        </w:rPr>
      </w:pPr>
    </w:p>
    <w:p>
      <w:pPr>
        <w:ind w:left="820" w:right="460"/>
        <w:spacing w:after="0" w:line="264" w:lineRule="auto"/>
        <w:rPr>
          <w:rFonts w:ascii="Arial" w:cs="Arial" w:eastAsia="Arial" w:hAnsi="Arial"/>
          <w:sz w:val="11"/>
          <w:szCs w:val="11"/>
          <w:b w:val="1"/>
          <w:bCs w:val="1"/>
          <w:color w:val="auto"/>
        </w:rPr>
      </w:pPr>
      <w:r>
        <w:rPr>
          <w:rFonts w:ascii="Arial" w:cs="Arial" w:eastAsia="Arial" w:hAnsi="Arial"/>
          <w:sz w:val="11"/>
          <w:szCs w:val="11"/>
          <w:color w:val="auto"/>
        </w:rPr>
        <w:t>[</w:t>
      </w:r>
      <w:r>
        <w:rPr>
          <w:rFonts w:ascii="Arial" w:cs="Arial" w:eastAsia="Arial" w:hAnsi="Arial"/>
          <w:sz w:val="11"/>
          <w:szCs w:val="11"/>
          <w:i w:val="1"/>
          <w:iCs w:val="1"/>
          <w:color w:val="auto"/>
        </w:rPr>
        <w:t>If applicable</w:t>
      </w:r>
      <w:r>
        <w:rPr>
          <w:rFonts w:ascii="Arial" w:cs="Arial" w:eastAsia="Arial" w:hAnsi="Arial"/>
          <w:sz w:val="11"/>
          <w:szCs w:val="11"/>
          <w:color w:val="auto"/>
        </w:rPr>
        <w:t>: A copy of the Trust Deed of the Trust of which the Transaction Party is sole trustee is attached and marked D. The copy is true, complete and up-to-date and there have been no amendments or variations since the date of the copy.]</w:t>
      </w:r>
    </w:p>
    <w:p>
      <w:pPr>
        <w:spacing w:after="0" w:line="80" w:lineRule="exact"/>
        <w:rPr>
          <w:sz w:val="20"/>
          <w:szCs w:val="20"/>
          <w:color w:val="auto"/>
        </w:rPr>
      </w:pPr>
    </w:p>
    <w:p>
      <w:pPr>
        <w:ind w:left="800" w:hanging="405"/>
        <w:spacing w:after="0"/>
        <w:tabs>
          <w:tab w:leader="none" w:pos="800" w:val="left"/>
        </w:tabs>
        <w:numPr>
          <w:ilvl w:val="0"/>
          <w:numId w:val="252"/>
        </w:numPr>
        <w:rPr>
          <w:rFonts w:ascii="Arial" w:cs="Arial" w:eastAsia="Arial" w:hAnsi="Arial"/>
          <w:sz w:val="11"/>
          <w:szCs w:val="11"/>
          <w:b w:val="1"/>
          <w:bCs w:val="1"/>
          <w:color w:val="auto"/>
        </w:rPr>
      </w:pPr>
      <w:r>
        <w:rPr>
          <w:rFonts w:ascii="Arial" w:cs="Arial" w:eastAsia="Arial" w:hAnsi="Arial"/>
          <w:sz w:val="11"/>
          <w:szCs w:val="11"/>
          <w:b w:val="1"/>
          <w:bCs w:val="1"/>
          <w:color w:val="auto"/>
        </w:rPr>
        <w:t>Definitions</w:t>
      </w:r>
    </w:p>
    <w:p>
      <w:pPr>
        <w:spacing w:after="0" w:line="75" w:lineRule="exact"/>
        <w:rPr>
          <w:sz w:val="20"/>
          <w:szCs w:val="20"/>
          <w:color w:val="auto"/>
        </w:rPr>
      </w:pPr>
    </w:p>
    <w:p>
      <w:pPr>
        <w:ind w:left="840" w:right="500"/>
        <w:spacing w:after="0" w:line="256" w:lineRule="auto"/>
        <w:rPr>
          <w:sz w:val="20"/>
          <w:szCs w:val="20"/>
          <w:color w:val="auto"/>
        </w:rPr>
      </w:pPr>
      <w:r>
        <w:rPr>
          <w:rFonts w:ascii="Arial" w:cs="Arial" w:eastAsia="Arial" w:hAnsi="Arial"/>
          <w:sz w:val="11"/>
          <w:szCs w:val="11"/>
          <w:color w:val="auto"/>
        </w:rPr>
        <w:t>Terms given a defined or specific meaning in the Facility Agreement and not separately defined in this certificate have the same meaning in this document unless the context requires otherwise.</w:t>
      </w:r>
    </w:p>
    <w:p>
      <w:pPr>
        <w:spacing w:after="0" w:line="342" w:lineRule="exact"/>
        <w:rPr>
          <w:sz w:val="20"/>
          <w:szCs w:val="20"/>
          <w:color w:val="auto"/>
        </w:rPr>
      </w:pPr>
    </w:p>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Name of person</w:t>
      </w:r>
      <w:r>
        <w:rPr>
          <w:rFonts w:ascii="Arial" w:cs="Arial" w:eastAsia="Arial" w:hAnsi="Arial"/>
          <w:sz w:val="11"/>
          <w:szCs w:val="11"/>
          <w:color w:val="auto"/>
        </w:rPr>
        <w:t>] who is a</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1"/>
          <w:szCs w:val="11"/>
          <w:color w:val="auto"/>
        </w:rPr>
        <w:t>Director of [</w:t>
      </w:r>
      <w:r>
        <w:rPr>
          <w:rFonts w:ascii="Arial" w:cs="Arial" w:eastAsia="Arial" w:hAnsi="Arial"/>
          <w:sz w:val="11"/>
          <w:szCs w:val="11"/>
          <w:i w:val="1"/>
          <w:iCs w:val="1"/>
          <w:color w:val="auto"/>
        </w:rPr>
        <w:t>name of Transaction Party</w:t>
      </w:r>
      <w:r>
        <w:rPr>
          <w:rFonts w:ascii="Arial" w:cs="Arial" w:eastAsia="Arial" w:hAnsi="Arial"/>
          <w:sz w:val="11"/>
          <w:szCs w:val="11"/>
          <w:color w:val="auto"/>
        </w:rPr>
        <w:t>]</w:t>
      </w:r>
    </w:p>
    <w:p>
      <w:pPr>
        <w:spacing w:after="0" w:line="259" w:lineRule="exact"/>
        <w:rPr>
          <w:sz w:val="20"/>
          <w:szCs w:val="20"/>
          <w:color w:val="auto"/>
        </w:rPr>
      </w:pPr>
    </w:p>
    <w:p>
      <w:pPr>
        <w:ind w:left="400"/>
        <w:spacing w:after="0"/>
        <w:rPr>
          <w:sz w:val="20"/>
          <w:szCs w:val="20"/>
          <w:color w:val="auto"/>
        </w:rPr>
      </w:pPr>
      <w:r>
        <w:rPr>
          <w:rFonts w:ascii="Arial" w:cs="Arial" w:eastAsia="Arial" w:hAnsi="Arial"/>
          <w:sz w:val="11"/>
          <w:szCs w:val="11"/>
          <w:color w:val="auto"/>
        </w:rPr>
        <w:t>Date: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20" w:type="dxa"/>
            <w:vAlign w:val="bottom"/>
          </w:tcPr>
          <w:p>
            <w:pPr>
              <w:ind w:left="3900"/>
              <w:spacing w:after="0"/>
              <w:rPr>
                <w:sz w:val="20"/>
                <w:szCs w:val="20"/>
                <w:color w:val="auto"/>
              </w:rPr>
            </w:pPr>
            <w:r>
              <w:rPr>
                <w:rFonts w:ascii="Arial" w:cs="Arial" w:eastAsia="Arial" w:hAnsi="Arial"/>
                <w:sz w:val="8"/>
                <w:szCs w:val="8"/>
                <w:color w:val="auto"/>
              </w:rPr>
              <w:t>Page 90</w:t>
            </w:r>
          </w:p>
        </w:tc>
      </w:tr>
      <w:tr>
        <w:trPr>
          <w:trHeight w:val="94"/>
        </w:trPr>
        <w:tc>
          <w:tcPr>
            <w:tcW w:w="526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2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80" w:type="dxa"/>
            <w:vAlign w:val="bottom"/>
            <w:tcBorders>
              <w:bottom w:val="single" w:sz="8" w:color="EEEEEE"/>
            </w:tcBorders>
          </w:tcPr>
          <w:p>
            <w:pPr>
              <w:spacing w:after="0"/>
              <w:rPr>
                <w:sz w:val="18"/>
                <w:szCs w:val="18"/>
                <w:color w:val="auto"/>
              </w:rPr>
            </w:pPr>
          </w:p>
        </w:tc>
        <w:tc>
          <w:tcPr>
            <w:tcW w:w="42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866" w:right="1060" w:bottom="1440" w:gutter="0" w:footer="0" w:header="0"/>
        </w:sectPr>
      </w:pPr>
    </w:p>
    <w:bookmarkStart w:id="157" w:name="page158"/>
    <w:bookmarkEnd w:id="157"/>
    <w:p>
      <w:pPr>
        <w:ind w:left="400"/>
        <w:spacing w:after="0"/>
        <w:rPr>
          <w:sz w:val="20"/>
          <w:szCs w:val="20"/>
          <w:color w:val="auto"/>
        </w:rPr>
      </w:pPr>
      <w:r>
        <w:rPr>
          <w:rFonts w:ascii="Arial" w:cs="Arial" w:eastAsia="Arial" w:hAnsi="Arial"/>
          <w:sz w:val="16"/>
          <w:szCs w:val="16"/>
          <w:color w:val="auto"/>
        </w:rPr>
        <w:t>Funding Notice</w:t>
      </w:r>
    </w:p>
    <w:p>
      <w:pPr>
        <w:spacing w:after="0" w:line="200" w:lineRule="exact"/>
        <w:rPr>
          <w:sz w:val="20"/>
          <w:szCs w:val="20"/>
          <w:color w:val="auto"/>
        </w:rPr>
      </w:pPr>
    </w:p>
    <w:p>
      <w:pPr>
        <w:spacing w:after="0" w:line="280" w:lineRule="exact"/>
        <w:rPr>
          <w:sz w:val="20"/>
          <w:szCs w:val="20"/>
          <w:color w:val="auto"/>
        </w:rPr>
      </w:pPr>
    </w:p>
    <w:tbl>
      <w:tblPr>
        <w:tblLayout w:type="fixed"/>
        <w:tblInd w:w="400" w:type="dxa"/>
        <w:tblCellMar>
          <w:top w:w="0" w:type="dxa"/>
          <w:left w:w="0" w:type="dxa"/>
          <w:bottom w:w="0" w:type="dxa"/>
          <w:right w:w="0" w:type="dxa"/>
        </w:tblCellMar>
      </w:tblPr>
      <w:tr>
        <w:trPr>
          <w:trHeight w:val="126"/>
        </w:trPr>
        <w:tc>
          <w:tcPr>
            <w:tcW w:w="380" w:type="dxa"/>
            <w:vAlign w:val="bottom"/>
          </w:tcPr>
          <w:p>
            <w:pPr>
              <w:ind w:left="20"/>
              <w:spacing w:after="0"/>
              <w:rPr>
                <w:sz w:val="20"/>
                <w:szCs w:val="20"/>
                <w:color w:val="auto"/>
              </w:rPr>
            </w:pPr>
            <w:r>
              <w:rPr>
                <w:rFonts w:ascii="Arial" w:cs="Arial" w:eastAsia="Arial" w:hAnsi="Arial"/>
                <w:sz w:val="11"/>
                <w:szCs w:val="11"/>
                <w:color w:val="auto"/>
              </w:rPr>
              <w:t>To:</w:t>
            </w:r>
          </w:p>
        </w:tc>
        <w:tc>
          <w:tcPr>
            <w:tcW w:w="2000" w:type="dxa"/>
            <w:vAlign w:val="bottom"/>
          </w:tcPr>
          <w:p>
            <w:pPr>
              <w:ind w:left="120"/>
              <w:spacing w:after="0"/>
              <w:rPr>
                <w:sz w:val="20"/>
                <w:szCs w:val="20"/>
                <w:color w:val="auto"/>
              </w:rPr>
            </w:pPr>
            <w:r>
              <w:rPr>
                <w:rFonts w:ascii="Arial" w:cs="Arial" w:eastAsia="Arial" w:hAnsi="Arial"/>
                <w:sz w:val="11"/>
                <w:szCs w:val="11"/>
                <w:color w:val="auto"/>
              </w:rPr>
              <w:t>National Australia Bank Limited Level</w:t>
            </w:r>
          </w:p>
        </w:tc>
        <w:tc>
          <w:tcPr>
            <w:tcW w:w="120" w:type="dxa"/>
            <w:vAlign w:val="bottom"/>
          </w:tcPr>
          <w:p>
            <w:pPr>
              <w:jc w:val="right"/>
              <w:spacing w:after="0"/>
              <w:rPr>
                <w:sz w:val="20"/>
                <w:szCs w:val="20"/>
                <w:color w:val="auto"/>
              </w:rPr>
            </w:pPr>
            <w:r>
              <w:rPr>
                <w:rFonts w:ascii="Arial" w:cs="Arial" w:eastAsia="Arial" w:hAnsi="Arial"/>
                <w:sz w:val="11"/>
                <w:szCs w:val="11"/>
                <w:color w:val="B5082D"/>
                <w:strike w:val="1"/>
                <w:w w:val="81"/>
              </w:rPr>
              <w:t>28</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2D96D2"/>
                <w:w w:val="91"/>
              </w:rPr>
              <w:t>17</w:t>
            </w:r>
            <w:r>
              <w:rPr>
                <w:rFonts w:ascii="Arial" w:cs="Arial" w:eastAsia="Arial" w:hAnsi="Arial"/>
                <w:sz w:val="11"/>
                <w:szCs w:val="11"/>
                <w:color w:val="000000"/>
                <w:w w:val="91"/>
              </w:rPr>
              <w:t>,</w:t>
            </w:r>
          </w:p>
        </w:tc>
        <w:tc>
          <w:tcPr>
            <w:tcW w:w="220" w:type="dxa"/>
            <w:vAlign w:val="bottom"/>
          </w:tcPr>
          <w:p>
            <w:pPr>
              <w:jc w:val="right"/>
              <w:spacing w:after="0"/>
              <w:rPr>
                <w:sz w:val="20"/>
                <w:szCs w:val="20"/>
                <w:color w:val="auto"/>
              </w:rPr>
            </w:pPr>
            <w:r>
              <w:rPr>
                <w:rFonts w:ascii="Arial" w:cs="Arial" w:eastAsia="Arial" w:hAnsi="Arial"/>
                <w:sz w:val="11"/>
                <w:szCs w:val="11"/>
                <w:color w:val="B5082D"/>
                <w:strike w:val="1"/>
                <w:w w:val="97"/>
              </w:rPr>
              <w:t>500</w:t>
            </w:r>
          </w:p>
        </w:tc>
        <w:tc>
          <w:tcPr>
            <w:tcW w:w="1960" w:type="dxa"/>
            <w:vAlign w:val="bottom"/>
            <w:gridSpan w:val="2"/>
          </w:tcPr>
          <w:p>
            <w:pPr>
              <w:spacing w:after="0"/>
              <w:rPr>
                <w:sz w:val="20"/>
                <w:szCs w:val="20"/>
                <w:color w:val="auto"/>
              </w:rPr>
            </w:pPr>
            <w:r>
              <w:rPr>
                <w:rFonts w:ascii="Arial" w:cs="Arial" w:eastAsia="Arial" w:hAnsi="Arial"/>
                <w:sz w:val="11"/>
                <w:szCs w:val="11"/>
                <w:color w:val="2D96D2"/>
              </w:rPr>
              <w:t xml:space="preserve">395 </w:t>
            </w:r>
            <w:r>
              <w:rPr>
                <w:rFonts w:ascii="Arial" w:cs="Arial" w:eastAsia="Arial" w:hAnsi="Arial"/>
                <w:sz w:val="11"/>
                <w:szCs w:val="11"/>
                <w:color w:val="000000"/>
              </w:rPr>
              <w:t>Bourke Street Melbourne VIC 3000</w:t>
            </w:r>
          </w:p>
        </w:tc>
      </w:tr>
      <w:tr>
        <w:trPr>
          <w:trHeight w:val="319"/>
        </w:trPr>
        <w:tc>
          <w:tcPr>
            <w:tcW w:w="380" w:type="dxa"/>
            <w:vAlign w:val="bottom"/>
          </w:tcPr>
          <w:p>
            <w:pPr>
              <w:spacing w:after="0"/>
              <w:rPr>
                <w:sz w:val="20"/>
                <w:szCs w:val="20"/>
                <w:color w:val="auto"/>
              </w:rPr>
            </w:pPr>
            <w:r>
              <w:rPr>
                <w:rFonts w:ascii="Arial" w:cs="Arial" w:eastAsia="Arial" w:hAnsi="Arial"/>
                <w:sz w:val="11"/>
                <w:szCs w:val="11"/>
                <w:color w:val="auto"/>
              </w:rPr>
              <w:t>[date]</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2D96D2"/>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2D96D2"/>
            </w:tcBorders>
          </w:tcPr>
          <w:p>
            <w:pPr>
              <w:spacing w:after="0"/>
              <w:rPr>
                <w:sz w:val="24"/>
                <w:szCs w:val="24"/>
                <w:color w:val="auto"/>
              </w:rPr>
            </w:pPr>
          </w:p>
        </w:tc>
        <w:tc>
          <w:tcPr>
            <w:tcW w:w="1740" w:type="dxa"/>
            <w:vAlign w:val="bottom"/>
          </w:tcPr>
          <w:p>
            <w:pPr>
              <w:spacing w:after="0"/>
              <w:rPr>
                <w:sz w:val="24"/>
                <w:szCs w:val="24"/>
                <w:color w:val="auto"/>
              </w:rPr>
            </w:pPr>
          </w:p>
        </w:tc>
      </w:tr>
    </w:tbl>
    <w:p>
      <w:pPr>
        <w:spacing w:after="0" w:line="190"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Reading Entertainment Australia Pty Ltd Facility Agreement</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1"/>
          <w:szCs w:val="11"/>
          <w:color w:val="auto"/>
        </w:rPr>
        <w:t>I refer to the Corporate Markets Loan &amp; Bank Guarantee Facility Agreement dated [</w:t>
      </w:r>
      <w:r>
        <w:rPr>
          <w:rFonts w:ascii="Arial" w:cs="Arial" w:eastAsia="Arial" w:hAnsi="Arial"/>
          <w:sz w:val="11"/>
          <w:szCs w:val="11"/>
          <w:i w:val="1"/>
          <w:iCs w:val="1"/>
          <w:color w:val="auto"/>
        </w:rPr>
        <w:t>insert date</w:t>
      </w:r>
      <w:r>
        <w:rPr>
          <w:rFonts w:ascii="Arial" w:cs="Arial" w:eastAsia="Arial" w:hAnsi="Arial"/>
          <w:sz w:val="11"/>
          <w:szCs w:val="11"/>
          <w:color w:val="auto"/>
        </w:rPr>
        <w:t>] between, amongst others, Reading Entertainment Australia Pty</w:t>
      </w:r>
    </w:p>
    <w:p>
      <w:pPr>
        <w:spacing w:after="0" w:line="6" w:lineRule="exact"/>
        <w:rPr>
          <w:sz w:val="20"/>
          <w:szCs w:val="20"/>
          <w:color w:val="auto"/>
        </w:rPr>
      </w:pPr>
    </w:p>
    <w:p>
      <w:pPr>
        <w:ind w:left="400" w:right="540"/>
        <w:spacing w:after="0" w:line="241" w:lineRule="auto"/>
        <w:rPr>
          <w:sz w:val="20"/>
          <w:szCs w:val="20"/>
          <w:color w:val="auto"/>
        </w:rPr>
      </w:pPr>
      <w:r>
        <w:rPr>
          <w:rFonts w:ascii="Arial" w:cs="Arial" w:eastAsia="Arial" w:hAnsi="Arial"/>
          <w:sz w:val="11"/>
          <w:szCs w:val="11"/>
          <w:color w:val="auto"/>
        </w:rPr>
        <w:t>Ltd as Borrower and National Australia Bank Limited as Bank (</w:t>
      </w:r>
      <w:r>
        <w:rPr>
          <w:rFonts w:ascii="Arial" w:cs="Arial" w:eastAsia="Arial" w:hAnsi="Arial"/>
          <w:sz w:val="11"/>
          <w:szCs w:val="11"/>
          <w:b w:val="1"/>
          <w:bCs w:val="1"/>
          <w:color w:val="auto"/>
        </w:rPr>
        <w:t>Facility Agreement</w:t>
      </w:r>
      <w:r>
        <w:rPr>
          <w:rFonts w:ascii="Arial" w:cs="Arial" w:eastAsia="Arial" w:hAnsi="Arial"/>
          <w:sz w:val="11"/>
          <w:szCs w:val="11"/>
          <w:color w:val="auto"/>
        </w:rPr>
        <w:t>). A term which has a defined meaning in the Facility Agreement has the same meaning in this Funding Notice.</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Borrower requires an Advance/a Drawing details of which are as follows:</w:t>
      </w:r>
    </w:p>
    <w:p>
      <w:pPr>
        <w:spacing w:after="0" w:line="84" w:lineRule="exact"/>
        <w:rPr>
          <w:sz w:val="20"/>
          <w:szCs w:val="20"/>
          <w:color w:val="auto"/>
        </w:rPr>
      </w:pPr>
    </w:p>
    <w:p>
      <w:pPr>
        <w:ind w:left="400"/>
        <w:spacing w:after="0"/>
        <w:tabs>
          <w:tab w:leader="none" w:pos="820" w:val="left"/>
          <w:tab w:leader="none" w:pos="3020" w:val="left"/>
        </w:tabs>
        <w:rPr>
          <w:sz w:val="20"/>
          <w:szCs w:val="20"/>
          <w:color w:val="auto"/>
        </w:rPr>
      </w:pPr>
      <w:r>
        <w:rPr>
          <w:rFonts w:ascii="Arial" w:cs="Arial" w:eastAsia="Arial" w:hAnsi="Arial"/>
          <w:sz w:val="11"/>
          <w:szCs w:val="11"/>
          <w:color w:val="auto"/>
        </w:rPr>
        <w:t>(a)</w:t>
      </w:r>
      <w:r>
        <w:rPr>
          <w:sz w:val="20"/>
          <w:szCs w:val="20"/>
          <w:color w:val="auto"/>
        </w:rPr>
        <w:tab/>
      </w:r>
      <w:r>
        <w:rPr>
          <w:rFonts w:ascii="Arial" w:cs="Arial" w:eastAsia="Arial" w:hAnsi="Arial"/>
          <w:sz w:val="11"/>
          <w:szCs w:val="11"/>
          <w:color w:val="auto"/>
        </w:rPr>
        <w:t>the Funding Date is [</w:t>
      </w:r>
      <w:r>
        <w:rPr>
          <w:sz w:val="20"/>
          <w:szCs w:val="20"/>
          <w:color w:val="auto"/>
        </w:rPr>
        <w:tab/>
      </w:r>
      <w:r>
        <w:rPr>
          <w:rFonts w:ascii="Arial" w:cs="Arial" w:eastAsia="Arial" w:hAnsi="Arial"/>
          <w:sz w:val="10"/>
          <w:szCs w:val="10"/>
          <w:color w:val="auto"/>
        </w:rPr>
        <w:t>];</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[either]</w:t>
      </w:r>
    </w:p>
    <w:p>
      <w:pPr>
        <w:spacing w:after="0" w:line="83" w:lineRule="exact"/>
        <w:rPr>
          <w:sz w:val="20"/>
          <w:szCs w:val="20"/>
          <w:color w:val="auto"/>
        </w:rPr>
      </w:pPr>
    </w:p>
    <w:p>
      <w:pPr>
        <w:ind w:left="820" w:hanging="425"/>
        <w:spacing w:after="0"/>
        <w:tabs>
          <w:tab w:leader="none" w:pos="820" w:val="left"/>
        </w:tabs>
        <w:numPr>
          <w:ilvl w:val="0"/>
          <w:numId w:val="253"/>
        </w:numPr>
        <w:rPr>
          <w:rFonts w:ascii="Arial" w:cs="Arial" w:eastAsia="Arial" w:hAnsi="Arial"/>
          <w:sz w:val="11"/>
          <w:szCs w:val="11"/>
          <w:color w:val="auto"/>
        </w:rPr>
      </w:pPr>
      <w:r>
        <w:rPr>
          <w:rFonts w:ascii="Arial" w:cs="Arial" w:eastAsia="Arial" w:hAnsi="Arial"/>
          <w:sz w:val="11"/>
          <w:szCs w:val="11"/>
          <w:color w:val="auto"/>
        </w:rPr>
        <w:t>the amount of the Advance</w:t>
      </w:r>
    </w:p>
    <w:p>
      <w:pPr>
        <w:sectPr>
          <w:pgSz w:w="11900" w:h="16840" w:orient="portrait"/>
          <w:cols w:equalWidth="0" w:num="1">
            <w:col w:w="9480"/>
          </w:cols>
          <w:pgMar w:left="1360" w:top="807" w:right="1060" w:bottom="1440" w:gutter="0" w:footer="0" w:header="0"/>
        </w:sectPr>
      </w:pPr>
    </w:p>
    <w:p>
      <w:pPr>
        <w:spacing w:after="0" w:line="5" w:lineRule="exact"/>
        <w:rPr>
          <w:sz w:val="20"/>
          <w:szCs w:val="20"/>
          <w:color w:val="auto"/>
        </w:rPr>
      </w:pPr>
    </w:p>
    <w:p>
      <w:pPr>
        <w:ind w:left="820"/>
        <w:spacing w:after="0"/>
        <w:rPr>
          <w:sz w:val="20"/>
          <w:szCs w:val="20"/>
          <w:color w:val="auto"/>
        </w:rPr>
      </w:pPr>
      <w:r>
        <w:rPr>
          <w:rFonts w:ascii="Arial" w:cs="Arial" w:eastAsia="Arial" w:hAnsi="Arial"/>
          <w:sz w:val="9"/>
          <w:szCs w:val="9"/>
          <w:color w:val="auto"/>
        </w:rPr>
        <w:t>is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7"/>
          <w:szCs w:val="7"/>
          <w:color w:val="auto"/>
        </w:rPr>
        <w:t>];</w:t>
      </w:r>
    </w:p>
    <w:p>
      <w:pPr>
        <w:spacing w:after="0" w:line="57" w:lineRule="exact"/>
        <w:rPr>
          <w:sz w:val="20"/>
          <w:szCs w:val="20"/>
          <w:color w:val="auto"/>
        </w:rPr>
      </w:pPr>
    </w:p>
    <w:p>
      <w:pPr>
        <w:sectPr>
          <w:pgSz w:w="11900" w:h="16840" w:orient="portrait"/>
          <w:cols w:equalWidth="0" w:num="2">
            <w:col w:w="1740" w:space="720"/>
            <w:col w:w="7020"/>
          </w:cols>
          <w:pgMar w:left="1360" w:top="807" w:right="1060" w:bottom="1440" w:gutter="0" w:footer="0" w:header="0"/>
          <w:type w:val="continuous"/>
        </w:sectPr>
      </w:pPr>
    </w:p>
    <w:p>
      <w:pPr>
        <w:ind w:left="400"/>
        <w:spacing w:after="0"/>
        <w:tabs>
          <w:tab w:leader="none" w:pos="800" w:val="left"/>
          <w:tab w:leader="none" w:pos="3680" w:val="left"/>
        </w:tabs>
        <w:rPr>
          <w:sz w:val="20"/>
          <w:szCs w:val="20"/>
          <w:color w:val="auto"/>
        </w:rPr>
      </w:pPr>
      <w:r>
        <w:rPr>
          <w:rFonts w:ascii="Arial" w:cs="Arial" w:eastAsia="Arial" w:hAnsi="Arial"/>
          <w:sz w:val="11"/>
          <w:szCs w:val="11"/>
          <w:color w:val="auto"/>
        </w:rPr>
        <w:t>(c)</w:t>
      </w:r>
      <w:r>
        <w:rPr>
          <w:sz w:val="20"/>
          <w:szCs w:val="20"/>
          <w:color w:val="auto"/>
        </w:rPr>
        <w:tab/>
      </w:r>
      <w:r>
        <w:rPr>
          <w:rFonts w:ascii="Arial" w:cs="Arial" w:eastAsia="Arial" w:hAnsi="Arial"/>
          <w:sz w:val="11"/>
          <w:szCs w:val="11"/>
          <w:color w:val="auto"/>
        </w:rPr>
        <w:t>the duration of the first Pricing Period for the Advance is [</w:t>
      </w:r>
      <w:r>
        <w:rPr>
          <w:sz w:val="20"/>
          <w:szCs w:val="20"/>
          <w:color w:val="auto"/>
        </w:rPr>
        <w:tab/>
      </w:r>
      <w:r>
        <w:rPr>
          <w:rFonts w:ascii="Arial" w:cs="Arial" w:eastAsia="Arial" w:hAnsi="Arial"/>
          <w:sz w:val="9"/>
          <w:szCs w:val="9"/>
          <w:color w:val="auto"/>
        </w:rPr>
        <w:t>];</w:t>
      </w:r>
    </w:p>
    <w:p>
      <w:pPr>
        <w:sectPr>
          <w:pgSz w:w="11900" w:h="16840" w:orient="portrait"/>
          <w:cols w:equalWidth="0" w:num="1">
            <w:col w:w="9480"/>
          </w:cols>
          <w:pgMar w:left="1360" w:top="807" w:right="1060" w:bottom="1440" w:gutter="0" w:footer="0" w:header="0"/>
          <w:type w:val="continuous"/>
        </w:sectPr>
      </w:pPr>
    </w:p>
    <w:p>
      <w:pPr>
        <w:spacing w:after="0" w:line="63"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[or]</w:t>
      </w:r>
    </w:p>
    <w:p>
      <w:pPr>
        <w:spacing w:after="0" w:line="66" w:lineRule="exact"/>
        <w:rPr>
          <w:sz w:val="20"/>
          <w:szCs w:val="20"/>
          <w:color w:val="auto"/>
        </w:rPr>
      </w:pPr>
    </w:p>
    <w:p>
      <w:pPr>
        <w:ind w:left="840" w:hanging="437"/>
        <w:spacing w:after="0"/>
        <w:tabs>
          <w:tab w:leader="none" w:pos="840" w:val="left"/>
        </w:tabs>
        <w:numPr>
          <w:ilvl w:val="0"/>
          <w:numId w:val="254"/>
        </w:numPr>
        <w:rPr>
          <w:rFonts w:ascii="Arial" w:cs="Arial" w:eastAsia="Arial" w:hAnsi="Arial"/>
          <w:sz w:val="11"/>
          <w:szCs w:val="11"/>
          <w:color w:val="auto"/>
        </w:rPr>
      </w:pPr>
      <w:r>
        <w:rPr>
          <w:rFonts w:ascii="Arial" w:cs="Arial" w:eastAsia="Arial" w:hAnsi="Arial"/>
          <w:sz w:val="11"/>
          <w:szCs w:val="11"/>
          <w:color w:val="auto"/>
        </w:rPr>
        <w:t>the Beneficiary, Face Value and Expiry Date of each Bank Guarantee is:</w:t>
      </w:r>
    </w:p>
    <w:p>
      <w:pPr>
        <w:spacing w:after="0" w:line="61" w:lineRule="exact"/>
        <w:rPr>
          <w:sz w:val="20"/>
          <w:szCs w:val="20"/>
          <w:color w:val="auto"/>
        </w:rPr>
      </w:pPr>
    </w:p>
    <w:tbl>
      <w:tblPr>
        <w:tblLayout w:type="fixed"/>
        <w:tblInd w:w="830" w:type="dxa"/>
        <w:tblCellMar>
          <w:top w:w="0" w:type="dxa"/>
          <w:left w:w="0" w:type="dxa"/>
          <w:bottom w:w="0" w:type="dxa"/>
          <w:right w:w="0" w:type="dxa"/>
        </w:tblCellMar>
      </w:tblPr>
      <w:tr>
        <w:trPr>
          <w:trHeight w:val="153"/>
        </w:trPr>
        <w:tc>
          <w:tcPr>
            <w:tcW w:w="19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Beneficiary</w:t>
            </w:r>
          </w:p>
        </w:tc>
        <w:tc>
          <w:tcPr>
            <w:tcW w:w="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Face value</w:t>
            </w:r>
          </w:p>
        </w:tc>
        <w:tc>
          <w:tcPr>
            <w:tcW w:w="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Expiry date</w:t>
            </w:r>
          </w:p>
        </w:tc>
      </w:tr>
      <w:tr>
        <w:trPr>
          <w:trHeight w:val="42"/>
        </w:trPr>
        <w:tc>
          <w:tcPr>
            <w:tcW w:w="196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175"/>
        </w:trPr>
        <w:tc>
          <w:tcPr>
            <w:tcW w:w="1960" w:type="dxa"/>
            <w:vAlign w:val="bottom"/>
            <w:tcBorders>
              <w:left w:val="single" w:sz="8" w:color="auto"/>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r>
    </w:tbl>
    <w:p>
      <w:pPr>
        <w:spacing w:after="0" w:line="259" w:lineRule="exact"/>
        <w:rPr>
          <w:sz w:val="20"/>
          <w:szCs w:val="20"/>
          <w:color w:val="auto"/>
        </w:rPr>
      </w:pPr>
    </w:p>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Name of person</w:t>
      </w:r>
      <w:r>
        <w:rPr>
          <w:rFonts w:ascii="Arial" w:cs="Arial" w:eastAsia="Arial" w:hAnsi="Arial"/>
          <w:sz w:val="11"/>
          <w:szCs w:val="11"/>
          <w:color w:val="auto"/>
        </w:rPr>
        <w:t>] who is an</w:t>
      </w:r>
    </w:p>
    <w:p>
      <w:pPr>
        <w:ind w:left="400"/>
        <w:spacing w:after="0"/>
        <w:rPr>
          <w:sz w:val="20"/>
          <w:szCs w:val="20"/>
          <w:color w:val="auto"/>
        </w:rPr>
      </w:pPr>
      <w:r>
        <w:rPr>
          <w:rFonts w:ascii="Arial" w:cs="Arial" w:eastAsia="Arial" w:hAnsi="Arial"/>
          <w:sz w:val="11"/>
          <w:szCs w:val="11"/>
          <w:color w:val="auto"/>
        </w:rPr>
        <w:t>Authorised Representative of Reading Entertainment Australia Pty Ltd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20" w:type="dxa"/>
            <w:vAlign w:val="bottom"/>
          </w:tcPr>
          <w:p>
            <w:pPr>
              <w:ind w:left="3900"/>
              <w:spacing w:after="0"/>
              <w:rPr>
                <w:sz w:val="20"/>
                <w:szCs w:val="20"/>
                <w:color w:val="auto"/>
              </w:rPr>
            </w:pPr>
            <w:r>
              <w:rPr>
                <w:rFonts w:ascii="Arial" w:cs="Arial" w:eastAsia="Arial" w:hAnsi="Arial"/>
                <w:sz w:val="8"/>
                <w:szCs w:val="8"/>
                <w:color w:val="auto"/>
              </w:rPr>
              <w:t>Page 91</w:t>
            </w:r>
          </w:p>
        </w:tc>
      </w:tr>
      <w:tr>
        <w:trPr>
          <w:trHeight w:val="94"/>
        </w:trPr>
        <w:tc>
          <w:tcPr>
            <w:tcW w:w="526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2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80" w:type="dxa"/>
            <w:vAlign w:val="bottom"/>
            <w:tcBorders>
              <w:bottom w:val="single" w:sz="8" w:color="EEEEEE"/>
            </w:tcBorders>
          </w:tcPr>
          <w:p>
            <w:pPr>
              <w:spacing w:after="0"/>
              <w:rPr>
                <w:sz w:val="18"/>
                <w:szCs w:val="18"/>
                <w:color w:val="auto"/>
              </w:rPr>
            </w:pPr>
          </w:p>
        </w:tc>
        <w:tc>
          <w:tcPr>
            <w:tcW w:w="42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807" w:right="1060" w:bottom="1440" w:gutter="0" w:footer="0" w:header="0"/>
          <w:type w:val="continuous"/>
        </w:sectPr>
      </w:pPr>
    </w:p>
    <w:bookmarkStart w:id="158" w:name="page159"/>
    <w:bookmarkEnd w:id="158"/>
    <w:p>
      <w:pPr>
        <w:ind w:left="400"/>
        <w:spacing w:after="0"/>
        <w:rPr>
          <w:sz w:val="20"/>
          <w:szCs w:val="20"/>
          <w:color w:val="auto"/>
        </w:rPr>
      </w:pPr>
      <w:r>
        <w:rPr>
          <w:rFonts w:ascii="Arial" w:cs="Arial" w:eastAsia="Arial" w:hAnsi="Arial"/>
          <w:sz w:val="16"/>
          <w:szCs w:val="16"/>
          <w:color w:val="auto"/>
        </w:rPr>
        <w:t>Guarantor Accession Deed</w:t>
      </w:r>
    </w:p>
    <w:p>
      <w:pPr>
        <w:spacing w:after="0" w:line="200" w:lineRule="exact"/>
        <w:rPr>
          <w:sz w:val="20"/>
          <w:szCs w:val="20"/>
          <w:color w:val="auto"/>
        </w:rPr>
      </w:pPr>
    </w:p>
    <w:p>
      <w:pPr>
        <w:spacing w:after="0" w:line="283"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Date</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Parties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 xml:space="preserve">[New Guarantor] </w:t>
      </w:r>
      <w:r>
        <w:rPr>
          <w:rFonts w:ascii="Arial" w:cs="Arial" w:eastAsia="Arial" w:hAnsi="Arial"/>
          <w:sz w:val="11"/>
          <w:szCs w:val="11"/>
          <w:color w:val="auto"/>
        </w:rPr>
        <w:t>(</w:t>
      </w:r>
      <w:r>
        <w:rPr>
          <w:rFonts w:ascii="Arial" w:cs="Arial" w:eastAsia="Arial" w:hAnsi="Arial"/>
          <w:sz w:val="11"/>
          <w:szCs w:val="11"/>
          <w:b w:val="1"/>
          <w:bCs w:val="1"/>
          <w:color w:val="auto"/>
        </w:rPr>
        <w:t>Guarantor</w:t>
      </w:r>
      <w:r>
        <w:rPr>
          <w:rFonts w:ascii="Arial" w:cs="Arial" w:eastAsia="Arial" w:hAnsi="Arial"/>
          <w:sz w:val="11"/>
          <w:szCs w:val="11"/>
          <w:color w:val="auto"/>
        </w:rPr>
        <w:t>)</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 xml:space="preserve">National Australia Bank Limited </w:t>
      </w:r>
      <w:r>
        <w:rPr>
          <w:rFonts w:ascii="Arial" w:cs="Arial" w:eastAsia="Arial" w:hAnsi="Arial"/>
          <w:sz w:val="11"/>
          <w:szCs w:val="11"/>
          <w:color w:val="auto"/>
        </w:rPr>
        <w:t>ABN 12 004 044 937 of</w:t>
      </w:r>
      <w:r>
        <w:rPr>
          <w:rFonts w:ascii="Arial" w:cs="Arial" w:eastAsia="Arial" w:hAnsi="Arial"/>
          <w:sz w:val="11"/>
          <w:szCs w:val="11"/>
          <w:b w:val="1"/>
          <w:bCs w:val="1"/>
          <w:color w:val="auto"/>
        </w:rPr>
        <w:t xml:space="preserve"> </w:t>
      </w:r>
      <w:r>
        <w:rPr>
          <w:rFonts w:ascii="Arial" w:cs="Arial" w:eastAsia="Arial" w:hAnsi="Arial"/>
          <w:sz w:val="11"/>
          <w:szCs w:val="11"/>
          <w:color w:val="B5082D"/>
          <w:strike w:val="1"/>
        </w:rPr>
        <w:t>Pier 3</w:t>
      </w:r>
      <w:r>
        <w:rPr>
          <w:rFonts w:ascii="Arial" w:cs="Arial" w:eastAsia="Arial" w:hAnsi="Arial"/>
          <w:sz w:val="11"/>
          <w:szCs w:val="11"/>
          <w:b w:val="1"/>
          <w:bCs w:val="1"/>
          <w:color w:val="auto"/>
        </w:rPr>
        <w:t xml:space="preserve"> </w:t>
      </w:r>
      <w:r>
        <w:rPr>
          <w:rFonts w:ascii="Arial" w:cs="Arial" w:eastAsia="Arial" w:hAnsi="Arial"/>
          <w:sz w:val="11"/>
          <w:szCs w:val="11"/>
          <w:color w:val="auto"/>
        </w:rPr>
        <w:t>Level</w:t>
      </w:r>
      <w:r>
        <w:rPr>
          <w:rFonts w:ascii="Arial" w:cs="Arial" w:eastAsia="Arial" w:hAnsi="Arial"/>
          <w:sz w:val="11"/>
          <w:szCs w:val="11"/>
          <w:b w:val="1"/>
          <w:bCs w:val="1"/>
          <w:color w:val="auto"/>
        </w:rPr>
        <w:t xml:space="preserve"> </w:t>
      </w:r>
      <w:r>
        <w:rPr>
          <w:rFonts w:ascii="Arial" w:cs="Arial" w:eastAsia="Arial" w:hAnsi="Arial"/>
          <w:sz w:val="11"/>
          <w:szCs w:val="11"/>
          <w:color w:val="B5082D"/>
          <w:strike w:val="1"/>
        </w:rPr>
        <w:t>4</w:t>
      </w:r>
      <w:r>
        <w:rPr>
          <w:rFonts w:ascii="Arial" w:cs="Arial" w:eastAsia="Arial" w:hAnsi="Arial"/>
          <w:sz w:val="11"/>
          <w:szCs w:val="11"/>
          <w:u w:val="single" w:color="auto"/>
          <w:color w:val="2D96D2"/>
        </w:rPr>
        <w:t>17</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B5082D"/>
          <w:strike w:val="1"/>
        </w:rPr>
        <w:t>800</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395</w:t>
      </w:r>
      <w:r>
        <w:rPr>
          <w:rFonts w:ascii="Arial" w:cs="Arial" w:eastAsia="Arial" w:hAnsi="Arial"/>
          <w:sz w:val="11"/>
          <w:szCs w:val="11"/>
          <w:b w:val="1"/>
          <w:bCs w:val="1"/>
          <w:color w:val="auto"/>
        </w:rPr>
        <w:t xml:space="preserve"> </w:t>
      </w:r>
      <w:r>
        <w:rPr>
          <w:rFonts w:ascii="Arial" w:cs="Arial" w:eastAsia="Arial" w:hAnsi="Arial"/>
          <w:sz w:val="11"/>
          <w:szCs w:val="11"/>
          <w:color w:val="auto"/>
        </w:rPr>
        <w:t>Bourke Street,</w:t>
      </w:r>
      <w:r>
        <w:rPr>
          <w:rFonts w:ascii="Arial" w:cs="Arial" w:eastAsia="Arial" w:hAnsi="Arial"/>
          <w:sz w:val="11"/>
          <w:szCs w:val="11"/>
          <w:b w:val="1"/>
          <w:bCs w:val="1"/>
          <w:color w:val="auto"/>
        </w:rPr>
        <w:t xml:space="preserve"> </w:t>
      </w:r>
      <w:r>
        <w:rPr>
          <w:rFonts w:ascii="Arial" w:cs="Arial" w:eastAsia="Arial" w:hAnsi="Arial"/>
          <w:sz w:val="11"/>
          <w:szCs w:val="11"/>
          <w:color w:val="B5082D"/>
          <w:strike w:val="1"/>
        </w:rPr>
        <w:t>Docklands</w:t>
      </w:r>
      <w:r>
        <w:rPr>
          <w:rFonts w:ascii="Arial" w:cs="Arial" w:eastAsia="Arial" w:hAnsi="Arial"/>
          <w:sz w:val="11"/>
          <w:szCs w:val="11"/>
          <w:u w:val="single" w:color="auto"/>
          <w:color w:val="2D96D2"/>
        </w:rPr>
        <w:t>Melbourne</w:t>
      </w:r>
      <w:r>
        <w:rPr>
          <w:rFonts w:ascii="Arial" w:cs="Arial" w:eastAsia="Arial" w:hAnsi="Arial"/>
          <w:sz w:val="11"/>
          <w:szCs w:val="11"/>
          <w:color w:val="auto"/>
        </w:rPr>
        <w:t>, Victoria</w:t>
      </w:r>
      <w:r>
        <w:rPr>
          <w:rFonts w:ascii="Arial" w:cs="Arial" w:eastAsia="Arial" w:hAnsi="Arial"/>
          <w:sz w:val="11"/>
          <w:szCs w:val="11"/>
          <w:b w:val="1"/>
          <w:bCs w:val="1"/>
          <w:color w:val="auto"/>
        </w:rPr>
        <w:t xml:space="preserve"> </w:t>
      </w:r>
      <w:r>
        <w:rPr>
          <w:rFonts w:ascii="Arial" w:cs="Arial" w:eastAsia="Arial" w:hAnsi="Arial"/>
          <w:sz w:val="11"/>
          <w:szCs w:val="11"/>
          <w:color w:val="B5082D"/>
          <w:strike w:val="1"/>
        </w:rPr>
        <w:t>3008</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2D96D2"/>
        </w:rPr>
        <w:t>3000</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Bank</w:t>
      </w:r>
      <w:r>
        <w:rPr>
          <w:rFonts w:ascii="Arial" w:cs="Arial" w:eastAsia="Arial" w:hAnsi="Arial"/>
          <w:sz w:val="11"/>
          <w:szCs w:val="11"/>
          <w:color w:val="auto"/>
        </w:rPr>
        <w:t>)</w:t>
      </w:r>
    </w:p>
    <w:p>
      <w:pPr>
        <w:spacing w:after="0" w:line="3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Agreed terms</w:t>
      </w:r>
    </w:p>
    <w:p>
      <w:pPr>
        <w:spacing w:after="0" w:line="242" w:lineRule="exact"/>
        <w:rPr>
          <w:sz w:val="20"/>
          <w:szCs w:val="20"/>
          <w:color w:val="auto"/>
        </w:rPr>
      </w:pPr>
    </w:p>
    <w:p>
      <w:pPr>
        <w:ind w:left="800" w:hanging="405"/>
        <w:spacing w:after="0"/>
        <w:tabs>
          <w:tab w:leader="none" w:pos="80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Interpretation</w:t>
      </w:r>
    </w:p>
    <w:p>
      <w:pPr>
        <w:spacing w:after="0" w:line="25" w:lineRule="exact"/>
        <w:rPr>
          <w:sz w:val="20"/>
          <w:szCs w:val="20"/>
          <w:color w:val="auto"/>
        </w:rPr>
      </w:pPr>
    </w:p>
    <w:p>
      <w:pPr>
        <w:ind w:left="840" w:right="180"/>
        <w:spacing w:after="0" w:line="268" w:lineRule="auto"/>
        <w:rPr>
          <w:sz w:val="20"/>
          <w:szCs w:val="20"/>
          <w:color w:val="auto"/>
        </w:rPr>
      </w:pPr>
      <w:r>
        <w:rPr>
          <w:rFonts w:ascii="Arial" w:cs="Arial" w:eastAsia="Arial" w:hAnsi="Arial"/>
          <w:sz w:val="11"/>
          <w:szCs w:val="11"/>
          <w:b w:val="1"/>
          <w:bCs w:val="1"/>
          <w:color w:val="auto"/>
        </w:rPr>
        <w:t xml:space="preserve">Facility Agreement </w:t>
      </w:r>
      <w:r>
        <w:rPr>
          <w:rFonts w:ascii="Arial" w:cs="Arial" w:eastAsia="Arial" w:hAnsi="Arial"/>
          <w:sz w:val="11"/>
          <w:szCs w:val="11"/>
          <w:color w:val="auto"/>
        </w:rPr>
        <w:t>means the Corporate Markets Loan &amp; Bank Guarantee Facility Agreement dated [</w:t>
      </w:r>
      <w:r>
        <w:rPr>
          <w:rFonts w:ascii="Arial" w:cs="Arial" w:eastAsia="Arial" w:hAnsi="Arial"/>
          <w:sz w:val="11"/>
          <w:szCs w:val="11"/>
          <w:i w:val="1"/>
          <w:iCs w:val="1"/>
          <w:color w:val="auto"/>
        </w:rPr>
        <w:t>date</w:t>
      </w:r>
      <w:r>
        <w:rPr>
          <w:rFonts w:ascii="Arial" w:cs="Arial" w:eastAsia="Arial" w:hAnsi="Arial"/>
          <w:sz w:val="11"/>
          <w:szCs w:val="11"/>
          <w:color w:val="auto"/>
        </w:rPr>
        <w:t>] between, amongst others, Reading Entertainment Australia Pty</w:t>
      </w:r>
      <w:r>
        <w:rPr>
          <w:rFonts w:ascii="Arial" w:cs="Arial" w:eastAsia="Arial" w:hAnsi="Arial"/>
          <w:sz w:val="11"/>
          <w:szCs w:val="11"/>
          <w:b w:val="1"/>
          <w:bCs w:val="1"/>
          <w:color w:val="auto"/>
        </w:rPr>
        <w:t xml:space="preserve"> </w:t>
      </w:r>
      <w:r>
        <w:rPr>
          <w:rFonts w:ascii="Arial" w:cs="Arial" w:eastAsia="Arial" w:hAnsi="Arial"/>
          <w:sz w:val="11"/>
          <w:szCs w:val="11"/>
          <w:color w:val="auto"/>
        </w:rPr>
        <w:t>Ltd as Borrower and National Australia Bank Limited as Bank together with all supplements to it.</w:t>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Terms defined or given a meaning in the Facility Agreement have the same meaning in this document.</w:t>
      </w:r>
    </w:p>
    <w:p>
      <w:pPr>
        <w:spacing w:after="0" w:line="228" w:lineRule="exact"/>
        <w:rPr>
          <w:sz w:val="20"/>
          <w:szCs w:val="20"/>
          <w:color w:val="auto"/>
        </w:rPr>
      </w:pPr>
    </w:p>
    <w:p>
      <w:pPr>
        <w:ind w:left="800" w:hanging="405"/>
        <w:spacing w:after="0"/>
        <w:tabs>
          <w:tab w:leader="none" w:pos="80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Transaction Document</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1"/>
          <w:szCs w:val="11"/>
          <w:color w:val="auto"/>
        </w:rPr>
        <w:t>This document is a Transaction Document for the purposes of the Facility Agreement.</w:t>
      </w:r>
    </w:p>
    <w:p>
      <w:pPr>
        <w:spacing w:after="0" w:line="228" w:lineRule="exact"/>
        <w:rPr>
          <w:sz w:val="20"/>
          <w:szCs w:val="20"/>
          <w:color w:val="auto"/>
        </w:rPr>
      </w:pPr>
    </w:p>
    <w:p>
      <w:pPr>
        <w:ind w:left="800" w:hanging="405"/>
        <w:spacing w:after="0"/>
        <w:tabs>
          <w:tab w:leader="none" w:pos="80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Accession</w:t>
      </w:r>
    </w:p>
    <w:p>
      <w:pPr>
        <w:spacing w:after="0" w:line="38" w:lineRule="exact"/>
        <w:rPr>
          <w:rFonts w:ascii="Arial" w:cs="Arial" w:eastAsia="Arial" w:hAnsi="Arial"/>
          <w:sz w:val="16"/>
          <w:szCs w:val="16"/>
          <w:color w:val="auto"/>
        </w:rPr>
      </w:pPr>
    </w:p>
    <w:p>
      <w:pPr>
        <w:ind w:left="1080" w:hanging="280"/>
        <w:spacing w:after="0"/>
        <w:tabs>
          <w:tab w:leader="none" w:pos="1080" w:val="left"/>
        </w:tabs>
        <w:numPr>
          <w:ilvl w:val="1"/>
          <w:numId w:val="257"/>
        </w:numPr>
        <w:rPr>
          <w:rFonts w:ascii="Arial" w:cs="Arial" w:eastAsia="Arial" w:hAnsi="Arial"/>
          <w:sz w:val="11"/>
          <w:szCs w:val="11"/>
          <w:color w:val="auto"/>
        </w:rPr>
      </w:pPr>
      <w:r>
        <w:rPr>
          <w:rFonts w:ascii="Arial" w:cs="Arial" w:eastAsia="Arial" w:hAnsi="Arial"/>
          <w:sz w:val="11"/>
          <w:szCs w:val="11"/>
          <w:color w:val="auto"/>
        </w:rPr>
        <w:t>The Guarantor:</w:t>
      </w:r>
    </w:p>
    <w:p>
      <w:pPr>
        <w:spacing w:after="0" w:line="68" w:lineRule="exact"/>
        <w:rPr>
          <w:rFonts w:ascii="Arial" w:cs="Arial" w:eastAsia="Arial" w:hAnsi="Arial"/>
          <w:sz w:val="11"/>
          <w:szCs w:val="11"/>
          <w:color w:val="auto"/>
        </w:rPr>
      </w:pPr>
    </w:p>
    <w:p>
      <w:pPr>
        <w:ind w:left="1400" w:right="640" w:hanging="285"/>
        <w:spacing w:after="0" w:line="256" w:lineRule="auto"/>
        <w:tabs>
          <w:tab w:leader="none" w:pos="1400" w:val="left"/>
        </w:tabs>
        <w:numPr>
          <w:ilvl w:val="2"/>
          <w:numId w:val="257"/>
        </w:numPr>
        <w:rPr>
          <w:rFonts w:ascii="Arial" w:cs="Arial" w:eastAsia="Arial" w:hAnsi="Arial"/>
          <w:sz w:val="11"/>
          <w:szCs w:val="11"/>
          <w:color w:val="auto"/>
        </w:rPr>
      </w:pPr>
      <w:r>
        <w:rPr>
          <w:rFonts w:ascii="Arial" w:cs="Arial" w:eastAsia="Arial" w:hAnsi="Arial"/>
          <w:sz w:val="11"/>
          <w:szCs w:val="11"/>
          <w:color w:val="auto"/>
        </w:rPr>
        <w:t>agrees with each person who is or becomes a party to the Facility Agreement that with effect on and from the date of this document, it will be bound by the Facility Agreement as a Guarantor and a Transaction Party; and</w:t>
      </w:r>
    </w:p>
    <w:p>
      <w:pPr>
        <w:spacing w:after="0" w:line="16" w:lineRule="exact"/>
        <w:rPr>
          <w:rFonts w:ascii="Arial" w:cs="Arial" w:eastAsia="Arial" w:hAnsi="Arial"/>
          <w:sz w:val="11"/>
          <w:szCs w:val="11"/>
          <w:color w:val="auto"/>
        </w:rPr>
      </w:pPr>
    </w:p>
    <w:p>
      <w:pPr>
        <w:ind w:left="1400" w:hanging="285"/>
        <w:spacing w:after="0"/>
        <w:tabs>
          <w:tab w:leader="none" w:pos="1400" w:val="left"/>
        </w:tabs>
        <w:numPr>
          <w:ilvl w:val="2"/>
          <w:numId w:val="257"/>
        </w:numPr>
        <w:rPr>
          <w:rFonts w:ascii="Arial" w:cs="Arial" w:eastAsia="Arial" w:hAnsi="Arial"/>
          <w:sz w:val="11"/>
          <w:szCs w:val="11"/>
          <w:color w:val="auto"/>
        </w:rPr>
      </w:pPr>
      <w:r>
        <w:rPr>
          <w:rFonts w:ascii="Arial" w:cs="Arial" w:eastAsia="Arial" w:hAnsi="Arial"/>
          <w:sz w:val="11"/>
          <w:szCs w:val="11"/>
          <w:color w:val="auto"/>
        </w:rPr>
        <w:t xml:space="preserve">makes in relation to itself in favour of the Bank the representations and warranties set out in </w:t>
      </w:r>
      <w:r>
        <w:rPr>
          <w:rFonts w:ascii="Arial" w:cs="Arial" w:eastAsia="Arial" w:hAnsi="Arial"/>
          <w:sz w:val="11"/>
          <w:szCs w:val="11"/>
          <w:b w:val="1"/>
          <w:bCs w:val="1"/>
          <w:color w:val="auto"/>
        </w:rPr>
        <w:t>clause 8.1</w:t>
      </w:r>
      <w:r>
        <w:rPr>
          <w:rFonts w:ascii="Arial" w:cs="Arial" w:eastAsia="Arial" w:hAnsi="Arial"/>
          <w:sz w:val="11"/>
          <w:szCs w:val="11"/>
          <w:color w:val="auto"/>
        </w:rPr>
        <w:t xml:space="preserve"> of the Facility Agreement.</w:t>
      </w:r>
    </w:p>
    <w:p>
      <w:pPr>
        <w:spacing w:after="0" w:line="52" w:lineRule="exact"/>
        <w:rPr>
          <w:rFonts w:ascii="Arial" w:cs="Arial" w:eastAsia="Arial" w:hAnsi="Arial"/>
          <w:sz w:val="11"/>
          <w:szCs w:val="11"/>
          <w:color w:val="auto"/>
        </w:rPr>
      </w:pPr>
    </w:p>
    <w:p>
      <w:pPr>
        <w:ind w:left="1080" w:right="300" w:hanging="280"/>
        <w:spacing w:after="0" w:line="256" w:lineRule="auto"/>
        <w:tabs>
          <w:tab w:leader="none" w:pos="1080" w:val="left"/>
        </w:tabs>
        <w:numPr>
          <w:ilvl w:val="1"/>
          <w:numId w:val="257"/>
        </w:numPr>
        <w:rPr>
          <w:rFonts w:ascii="Arial" w:cs="Arial" w:eastAsia="Arial" w:hAnsi="Arial"/>
          <w:sz w:val="11"/>
          <w:szCs w:val="11"/>
          <w:color w:val="auto"/>
        </w:rPr>
      </w:pPr>
      <w:r>
        <w:rPr>
          <w:rFonts w:ascii="Arial" w:cs="Arial" w:eastAsia="Arial" w:hAnsi="Arial"/>
          <w:sz w:val="11"/>
          <w:szCs w:val="11"/>
          <w:color w:val="auto"/>
        </w:rPr>
        <w:t>Each party agrees with the Guarantor that, with effect from the date of this document, the Guarantor will have the benefit of the Facility Agreement as a Transaction Party and Guarantor.</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20" w:type="dxa"/>
            <w:vAlign w:val="bottom"/>
          </w:tcPr>
          <w:p>
            <w:pPr>
              <w:ind w:left="3900"/>
              <w:spacing w:after="0"/>
              <w:rPr>
                <w:sz w:val="20"/>
                <w:szCs w:val="20"/>
                <w:color w:val="auto"/>
              </w:rPr>
            </w:pPr>
            <w:r>
              <w:rPr>
                <w:rFonts w:ascii="Arial" w:cs="Arial" w:eastAsia="Arial" w:hAnsi="Arial"/>
                <w:sz w:val="8"/>
                <w:szCs w:val="8"/>
                <w:color w:val="auto"/>
              </w:rPr>
              <w:t>Page 92</w:t>
            </w:r>
          </w:p>
        </w:tc>
      </w:tr>
      <w:tr>
        <w:trPr>
          <w:trHeight w:val="94"/>
        </w:trPr>
        <w:tc>
          <w:tcPr>
            <w:tcW w:w="526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2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80" w:type="dxa"/>
            <w:vAlign w:val="bottom"/>
            <w:tcBorders>
              <w:bottom w:val="single" w:sz="8" w:color="EEEEEE"/>
            </w:tcBorders>
          </w:tcPr>
          <w:p>
            <w:pPr>
              <w:spacing w:after="0"/>
              <w:rPr>
                <w:sz w:val="18"/>
                <w:szCs w:val="18"/>
                <w:color w:val="auto"/>
              </w:rPr>
            </w:pPr>
          </w:p>
        </w:tc>
        <w:tc>
          <w:tcPr>
            <w:tcW w:w="42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807" w:right="1060" w:bottom="1440" w:gutter="0" w:footer="0" w:header="0"/>
        </w:sectPr>
      </w:pPr>
    </w:p>
    <w:bookmarkStart w:id="159" w:name="page160"/>
    <w:bookmarkEnd w:id="159"/>
    <w:p>
      <w:pPr>
        <w:ind w:left="800" w:hanging="405"/>
        <w:spacing w:after="0"/>
        <w:tabs>
          <w:tab w:leader="none" w:pos="80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Notice</w:t>
      </w:r>
    </w:p>
    <w:p>
      <w:pPr>
        <w:spacing w:after="0" w:line="2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The address for notice of the Guarantor for the purposes of </w:t>
      </w:r>
      <w:r>
        <w:rPr>
          <w:rFonts w:ascii="Arial" w:cs="Arial" w:eastAsia="Arial" w:hAnsi="Arial"/>
          <w:sz w:val="11"/>
          <w:szCs w:val="11"/>
          <w:b w:val="1"/>
          <w:bCs w:val="1"/>
          <w:color w:val="auto"/>
        </w:rPr>
        <w:t>clause 19.3</w:t>
      </w:r>
      <w:r>
        <w:rPr>
          <w:rFonts w:ascii="Arial" w:cs="Arial" w:eastAsia="Arial" w:hAnsi="Arial"/>
          <w:sz w:val="11"/>
          <w:szCs w:val="11"/>
          <w:color w:val="auto"/>
        </w:rPr>
        <w:t xml:space="preserve"> of the Facility Agreement is: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Address: Fax: Attention:</w:t>
      </w:r>
    </w:p>
    <w:p>
      <w:pPr>
        <w:spacing w:after="0" w:line="206" w:lineRule="exact"/>
        <w:rPr>
          <w:sz w:val="20"/>
          <w:szCs w:val="20"/>
          <w:color w:val="auto"/>
        </w:rPr>
      </w:pPr>
    </w:p>
    <w:p>
      <w:pPr>
        <w:ind w:left="800" w:hanging="405"/>
        <w:spacing w:after="0"/>
        <w:tabs>
          <w:tab w:leader="none" w:pos="80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Governing law</w:t>
      </w:r>
    </w:p>
    <w:p>
      <w:pPr>
        <w:spacing w:after="0" w:line="3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This document is governed by the laws of Victoria.</w:t>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 xml:space="preserve">Executed </w:t>
      </w:r>
      <w:r>
        <w:rPr>
          <w:rFonts w:ascii="Arial" w:cs="Arial" w:eastAsia="Arial" w:hAnsi="Arial"/>
          <w:sz w:val="11"/>
          <w:szCs w:val="11"/>
          <w:color w:val="auto"/>
        </w:rPr>
        <w:t>as a deed.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20" w:type="dxa"/>
            <w:vAlign w:val="bottom"/>
          </w:tcPr>
          <w:p>
            <w:pPr>
              <w:ind w:left="3900"/>
              <w:spacing w:after="0"/>
              <w:rPr>
                <w:sz w:val="20"/>
                <w:szCs w:val="20"/>
                <w:color w:val="auto"/>
              </w:rPr>
            </w:pPr>
            <w:r>
              <w:rPr>
                <w:rFonts w:ascii="Arial" w:cs="Arial" w:eastAsia="Arial" w:hAnsi="Arial"/>
                <w:sz w:val="8"/>
                <w:szCs w:val="8"/>
                <w:color w:val="auto"/>
              </w:rPr>
              <w:t>Page 94</w:t>
            </w:r>
          </w:p>
        </w:tc>
      </w:tr>
      <w:tr>
        <w:trPr>
          <w:trHeight w:val="94"/>
        </w:trPr>
        <w:tc>
          <w:tcPr>
            <w:tcW w:w="526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2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80" w:type="dxa"/>
            <w:vAlign w:val="bottom"/>
            <w:tcBorders>
              <w:bottom w:val="single" w:sz="8" w:color="EEEEEE"/>
            </w:tcBorders>
          </w:tcPr>
          <w:p>
            <w:pPr>
              <w:spacing w:after="0"/>
              <w:rPr>
                <w:sz w:val="18"/>
                <w:szCs w:val="18"/>
                <w:color w:val="auto"/>
              </w:rPr>
            </w:pPr>
          </w:p>
        </w:tc>
        <w:tc>
          <w:tcPr>
            <w:tcW w:w="42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679" w:right="1060" w:bottom="1440" w:gutter="0" w:footer="0" w:header="0"/>
        </w:sectPr>
      </w:pPr>
    </w:p>
    <w:bookmarkStart w:id="160" w:name="page161"/>
    <w:bookmarkEnd w:id="160"/>
    <w:p>
      <w:pPr>
        <w:ind w:left="400"/>
        <w:spacing w:after="0"/>
        <w:rPr>
          <w:sz w:val="20"/>
          <w:szCs w:val="20"/>
          <w:color w:val="auto"/>
        </w:rPr>
      </w:pPr>
      <w:r>
        <w:rPr>
          <w:rFonts w:ascii="Arial" w:cs="Arial" w:eastAsia="Arial" w:hAnsi="Arial"/>
          <w:sz w:val="15"/>
          <w:szCs w:val="15"/>
          <w:color w:val="auto"/>
        </w:rPr>
        <w:t>Annual Compliance Certificate</w:t>
      </w:r>
    </w:p>
    <w:p>
      <w:pPr>
        <w:sectPr>
          <w:pgSz w:w="11900" w:h="16840" w:orient="portrait"/>
          <w:cols w:equalWidth="0" w:num="1">
            <w:col w:w="9960"/>
          </w:cols>
          <w:pgMar w:left="1360" w:top="807" w:right="58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1"/>
          <w:szCs w:val="11"/>
          <w:color w:val="auto"/>
        </w:rPr>
        <w:t>National Australia Bank Limited Level 28, 500 Collins Street</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Melbourne VIC 3000</w:t>
      </w:r>
    </w:p>
    <w:p>
      <w:pPr>
        <w:spacing w:after="0" w:line="68" w:lineRule="exact"/>
        <w:rPr>
          <w:sz w:val="20"/>
          <w:szCs w:val="20"/>
          <w:color w:val="auto"/>
        </w:rPr>
      </w:pPr>
    </w:p>
    <w:p>
      <w:pPr>
        <w:sectPr>
          <w:pgSz w:w="11900" w:h="16840" w:orient="portrait"/>
          <w:cols w:equalWidth="0" w:num="2">
            <w:col w:w="560" w:space="260"/>
            <w:col w:w="9140"/>
          </w:cols>
          <w:pgMar w:left="1360" w:top="807" w:right="580" w:bottom="1440" w:gutter="0" w:footer="0" w:header="0"/>
          <w:type w:val="continuous"/>
        </w:sectPr>
      </w:pPr>
    </w:p>
    <w:p>
      <w:pPr>
        <w:ind w:left="400"/>
        <w:spacing w:after="0"/>
        <w:rPr>
          <w:sz w:val="20"/>
          <w:szCs w:val="20"/>
          <w:color w:val="auto"/>
        </w:rPr>
      </w:pPr>
      <w:r>
        <w:rPr>
          <w:rFonts w:ascii="Arial" w:cs="Arial" w:eastAsia="Arial" w:hAnsi="Arial"/>
          <w:sz w:val="11"/>
          <w:szCs w:val="11"/>
          <w:color w:val="auto"/>
        </w:rPr>
        <w:t>[date]</w:t>
      </w:r>
    </w:p>
    <w:p>
      <w:pPr>
        <w:sectPr>
          <w:pgSz w:w="11900" w:h="16840" w:orient="portrait"/>
          <w:cols w:equalWidth="0" w:num="1">
            <w:col w:w="9960"/>
          </w:cols>
          <w:pgMar w:left="1360" w:top="807" w:right="580" w:bottom="1440" w:gutter="0" w:footer="0" w:header="0"/>
          <w:type w:val="continuous"/>
        </w:sectPr>
      </w:pPr>
    </w:p>
    <w:p>
      <w:pPr>
        <w:spacing w:after="0" w:line="258"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Reading Entertainment Australia Pty Ltd Facility Agreement</w:t>
      </w:r>
    </w:p>
    <w:p>
      <w:pPr>
        <w:spacing w:after="0" w:line="62" w:lineRule="exact"/>
        <w:rPr>
          <w:sz w:val="20"/>
          <w:szCs w:val="20"/>
          <w:color w:val="auto"/>
        </w:rPr>
      </w:pPr>
    </w:p>
    <w:p>
      <w:pPr>
        <w:ind w:left="820" w:right="40" w:hanging="425"/>
        <w:spacing w:after="0" w:line="350" w:lineRule="auto"/>
        <w:tabs>
          <w:tab w:leader="none" w:pos="805" w:val="left"/>
        </w:tabs>
        <w:numPr>
          <w:ilvl w:val="0"/>
          <w:numId w:val="260"/>
        </w:numPr>
        <w:rPr>
          <w:rFonts w:ascii="Arial" w:cs="Arial" w:eastAsia="Arial" w:hAnsi="Arial"/>
          <w:sz w:val="10"/>
          <w:szCs w:val="10"/>
          <w:color w:val="auto"/>
        </w:rPr>
      </w:pPr>
      <w:r>
        <w:rPr>
          <w:rFonts w:ascii="Arial" w:cs="Arial" w:eastAsia="Arial" w:hAnsi="Arial"/>
          <w:sz w:val="10"/>
          <w:szCs w:val="10"/>
          <w:color w:val="auto"/>
        </w:rPr>
        <w:t>We refer to the Facility Agreement (</w:t>
      </w:r>
      <w:r>
        <w:rPr>
          <w:rFonts w:ascii="Arial" w:cs="Arial" w:eastAsia="Arial" w:hAnsi="Arial"/>
          <w:sz w:val="10"/>
          <w:szCs w:val="10"/>
          <w:b w:val="1"/>
          <w:bCs w:val="1"/>
          <w:color w:val="auto"/>
        </w:rPr>
        <w:t>Facility Agreement</w:t>
      </w:r>
      <w:r>
        <w:rPr>
          <w:rFonts w:ascii="Arial" w:cs="Arial" w:eastAsia="Arial" w:hAnsi="Arial"/>
          <w:sz w:val="10"/>
          <w:szCs w:val="10"/>
          <w:color w:val="auto"/>
        </w:rPr>
        <w:t>) dated [</w:t>
      </w:r>
      <w:r>
        <w:rPr>
          <w:rFonts w:ascii="Arial" w:cs="Arial" w:eastAsia="Arial" w:hAnsi="Arial"/>
          <w:sz w:val="10"/>
          <w:szCs w:val="10"/>
          <w:i w:val="1"/>
          <w:iCs w:val="1"/>
          <w:color w:val="auto"/>
        </w:rPr>
        <w:t>insert date</w:t>
      </w:r>
      <w:r>
        <w:rPr>
          <w:rFonts w:ascii="Arial" w:cs="Arial" w:eastAsia="Arial" w:hAnsi="Arial"/>
          <w:sz w:val="10"/>
          <w:szCs w:val="10"/>
          <w:color w:val="auto"/>
        </w:rPr>
        <w:t xml:space="preserve">] between, amongst others, Reading Entertainment Australia Pty Ltd as Borrower and National Australia Bank Limited as Bank. A term This is an Annual Compliance Certificate given for the purpose of </w:t>
      </w:r>
      <w:r>
        <w:rPr>
          <w:rFonts w:ascii="Arial" w:cs="Arial" w:eastAsia="Arial" w:hAnsi="Arial"/>
          <w:sz w:val="10"/>
          <w:szCs w:val="10"/>
          <w:b w:val="1"/>
          <w:bCs w:val="1"/>
          <w:color w:val="auto"/>
        </w:rPr>
        <w:t>clause 9.4(b)</w:t>
      </w:r>
      <w:r>
        <w:rPr>
          <w:rFonts w:ascii="Arial" w:cs="Arial" w:eastAsia="Arial" w:hAnsi="Arial"/>
          <w:sz w:val="10"/>
          <w:szCs w:val="10"/>
          <w:color w:val="auto"/>
        </w:rPr>
        <w:t xml:space="preserve"> of the Facility Agreement.</w:t>
      </w:r>
    </w:p>
    <w:p>
      <w:pPr>
        <w:spacing w:after="0" w:line="1" w:lineRule="exact"/>
        <w:rPr>
          <w:sz w:val="20"/>
          <w:szCs w:val="20"/>
          <w:color w:val="auto"/>
        </w:rPr>
      </w:pPr>
    </w:p>
    <w:p>
      <w:pPr>
        <w:ind w:left="800" w:hanging="405"/>
        <w:spacing w:after="0"/>
        <w:tabs>
          <w:tab w:leader="none" w:pos="800" w:val="left"/>
        </w:tabs>
        <w:numPr>
          <w:ilvl w:val="0"/>
          <w:numId w:val="261"/>
        </w:numPr>
        <w:rPr>
          <w:rFonts w:ascii="Arial" w:cs="Arial" w:eastAsia="Arial" w:hAnsi="Arial"/>
          <w:sz w:val="10"/>
          <w:szCs w:val="10"/>
          <w:color w:val="auto"/>
        </w:rPr>
      </w:pPr>
      <w:r>
        <w:rPr>
          <w:rFonts w:ascii="Arial" w:cs="Arial" w:eastAsia="Arial" w:hAnsi="Arial"/>
          <w:sz w:val="10"/>
          <w:szCs w:val="10"/>
          <w:color w:val="auto"/>
        </w:rPr>
        <w:t>We confirm that:</w:t>
      </w:r>
    </w:p>
    <w:p>
      <w:pPr>
        <w:spacing w:after="0" w:line="69" w:lineRule="exact"/>
        <w:rPr>
          <w:sz w:val="20"/>
          <w:szCs w:val="20"/>
          <w:color w:val="auto"/>
        </w:rPr>
      </w:pPr>
    </w:p>
    <w:tbl>
      <w:tblPr>
        <w:tblLayout w:type="fixed"/>
        <w:tblInd w:w="820" w:type="dxa"/>
        <w:tblCellMar>
          <w:top w:w="0" w:type="dxa"/>
          <w:left w:w="0" w:type="dxa"/>
          <w:bottom w:w="0" w:type="dxa"/>
          <w:right w:w="0" w:type="dxa"/>
        </w:tblCellMar>
      </w:tblPr>
      <w:tr>
        <w:trPr>
          <w:trHeight w:val="126"/>
        </w:trPr>
        <w:tc>
          <w:tcPr>
            <w:tcW w:w="140" w:type="dxa"/>
            <w:vAlign w:val="bottom"/>
          </w:tcPr>
          <w:p>
            <w:pPr>
              <w:spacing w:after="0"/>
              <w:rPr>
                <w:sz w:val="20"/>
                <w:szCs w:val="20"/>
                <w:color w:val="auto"/>
              </w:rPr>
            </w:pPr>
            <w:r>
              <w:rPr>
                <w:rFonts w:ascii="Arial" w:cs="Arial" w:eastAsia="Arial" w:hAnsi="Arial"/>
                <w:sz w:val="6"/>
                <w:szCs w:val="6"/>
                <w:color w:val="auto"/>
                <w:w w:val="76"/>
              </w:rPr>
              <w:t>the(a)</w:t>
            </w:r>
          </w:p>
        </w:tc>
        <w:tc>
          <w:tcPr>
            <w:tcW w:w="3380" w:type="dxa"/>
            <w:vAlign w:val="bottom"/>
            <w:gridSpan w:val="2"/>
          </w:tcPr>
          <w:p>
            <w:pPr>
              <w:ind w:left="20"/>
              <w:spacing w:after="0"/>
              <w:rPr>
                <w:sz w:val="20"/>
                <w:szCs w:val="20"/>
                <w:color w:val="auto"/>
              </w:rPr>
            </w:pPr>
            <w:r>
              <w:rPr>
                <w:rFonts w:ascii="Arial" w:cs="Arial" w:eastAsia="Arial" w:hAnsi="Arial"/>
                <w:sz w:val="10"/>
                <w:szCs w:val="10"/>
                <w:color w:val="auto"/>
              </w:rPr>
              <w:t>Fixed Charges Cover Ratio for the Financial Year ending [</w:t>
            </w:r>
            <w:r>
              <w:rPr>
                <w:rFonts w:ascii="Arial" w:cs="Arial" w:eastAsia="Arial" w:hAnsi="Arial"/>
                <w:sz w:val="10"/>
                <w:szCs w:val="10"/>
                <w:i w:val="1"/>
                <w:iCs w:val="1"/>
                <w:color w:val="auto"/>
              </w:rPr>
              <w:t>date</w:t>
            </w:r>
            <w:r>
              <w:rPr>
                <w:rFonts w:ascii="Arial" w:cs="Arial" w:eastAsia="Arial" w:hAnsi="Arial"/>
                <w:sz w:val="10"/>
                <w:szCs w:val="10"/>
                <w:color w:val="auto"/>
              </w:rPr>
              <w:t>] was [</w:t>
            </w:r>
          </w:p>
        </w:tc>
        <w:tc>
          <w:tcPr>
            <w:tcW w:w="360" w:type="dxa"/>
            <w:vAlign w:val="bottom"/>
          </w:tcPr>
          <w:p>
            <w:pPr>
              <w:jc w:val="right"/>
              <w:ind w:right="1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3"/>
        </w:trPr>
        <w:tc>
          <w:tcPr>
            <w:tcW w:w="140" w:type="dxa"/>
            <w:vAlign w:val="bottom"/>
          </w:tcPr>
          <w:p>
            <w:pPr>
              <w:spacing w:after="0"/>
              <w:rPr>
                <w:sz w:val="20"/>
                <w:szCs w:val="20"/>
                <w:color w:val="auto"/>
              </w:rPr>
            </w:pPr>
            <w:r>
              <w:rPr>
                <w:rFonts w:ascii="Arial" w:cs="Arial" w:eastAsia="Arial" w:hAnsi="Arial"/>
                <w:sz w:val="6"/>
                <w:szCs w:val="6"/>
                <w:color w:val="auto"/>
                <w:w w:val="76"/>
              </w:rPr>
              <w:t>the(b)</w:t>
            </w:r>
          </w:p>
        </w:tc>
        <w:tc>
          <w:tcPr>
            <w:tcW w:w="2760" w:type="dxa"/>
            <w:vAlign w:val="bottom"/>
          </w:tcPr>
          <w:p>
            <w:pPr>
              <w:ind w:left="20"/>
              <w:spacing w:after="0"/>
              <w:rPr>
                <w:sz w:val="20"/>
                <w:szCs w:val="20"/>
                <w:color w:val="auto"/>
              </w:rPr>
            </w:pPr>
            <w:r>
              <w:rPr>
                <w:rFonts w:ascii="Arial" w:cs="Arial" w:eastAsia="Arial" w:hAnsi="Arial"/>
                <w:sz w:val="10"/>
                <w:szCs w:val="10"/>
                <w:color w:val="auto"/>
              </w:rPr>
              <w:t>Leverage Ratio for the Financial Year ending [</w:t>
            </w:r>
            <w:r>
              <w:rPr>
                <w:rFonts w:ascii="Arial" w:cs="Arial" w:eastAsia="Arial" w:hAnsi="Arial"/>
                <w:sz w:val="10"/>
                <w:szCs w:val="10"/>
                <w:i w:val="1"/>
                <w:iCs w:val="1"/>
                <w:color w:val="auto"/>
              </w:rPr>
              <w:t>date</w:t>
            </w:r>
            <w:r>
              <w:rPr>
                <w:rFonts w:ascii="Arial" w:cs="Arial" w:eastAsia="Arial" w:hAnsi="Arial"/>
                <w:sz w:val="10"/>
                <w:szCs w:val="10"/>
                <w:color w:val="auto"/>
              </w:rPr>
              <w:t>] was [</w:t>
            </w:r>
          </w:p>
        </w:tc>
        <w:tc>
          <w:tcPr>
            <w:tcW w:w="62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140" w:type="dxa"/>
            <w:vAlign w:val="bottom"/>
          </w:tcPr>
          <w:p>
            <w:pPr>
              <w:spacing w:after="0"/>
              <w:rPr>
                <w:sz w:val="20"/>
                <w:szCs w:val="20"/>
                <w:color w:val="auto"/>
              </w:rPr>
            </w:pPr>
            <w:r>
              <w:rPr>
                <w:rFonts w:ascii="Arial" w:cs="Arial" w:eastAsia="Arial" w:hAnsi="Arial"/>
                <w:sz w:val="6"/>
                <w:szCs w:val="6"/>
                <w:color w:val="auto"/>
                <w:w w:val="77"/>
              </w:rPr>
              <w:t>the(c)</w:t>
            </w:r>
          </w:p>
        </w:tc>
        <w:tc>
          <w:tcPr>
            <w:tcW w:w="3380" w:type="dxa"/>
            <w:vAlign w:val="bottom"/>
            <w:gridSpan w:val="2"/>
          </w:tcPr>
          <w:p>
            <w:pPr>
              <w:ind w:left="20"/>
              <w:spacing w:after="0"/>
              <w:rPr>
                <w:sz w:val="20"/>
                <w:szCs w:val="20"/>
                <w:color w:val="auto"/>
              </w:rPr>
            </w:pPr>
            <w:r>
              <w:rPr>
                <w:rFonts w:ascii="Arial" w:cs="Arial" w:eastAsia="Arial" w:hAnsi="Arial"/>
                <w:sz w:val="10"/>
                <w:szCs w:val="10"/>
                <w:color w:val="auto"/>
              </w:rPr>
              <w:t>Debt to Debt plus Equity Ratio for the Financial Year ending [</w:t>
            </w:r>
            <w:r>
              <w:rPr>
                <w:rFonts w:ascii="Arial" w:cs="Arial" w:eastAsia="Arial" w:hAnsi="Arial"/>
                <w:sz w:val="10"/>
                <w:szCs w:val="10"/>
                <w:i w:val="1"/>
                <w:iCs w:val="1"/>
                <w:color w:val="auto"/>
              </w:rPr>
              <w:t>date</w:t>
            </w:r>
            <w:r>
              <w:rPr>
                <w:rFonts w:ascii="Arial" w:cs="Arial" w:eastAsia="Arial" w:hAnsi="Arial"/>
                <w:sz w:val="10"/>
                <w:szCs w:val="10"/>
                <w:color w:val="auto"/>
              </w:rPr>
              <w:t>] was [</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40" w:type="dxa"/>
            <w:vAlign w:val="bottom"/>
          </w:tcPr>
          <w:p>
            <w:pPr>
              <w:spacing w:after="0"/>
              <w:rPr>
                <w:sz w:val="20"/>
                <w:szCs w:val="20"/>
                <w:color w:val="auto"/>
              </w:rPr>
            </w:pPr>
            <w:r>
              <w:rPr>
                <w:rFonts w:ascii="Arial" w:cs="Arial" w:eastAsia="Arial" w:hAnsi="Arial"/>
                <w:sz w:val="10"/>
                <w:szCs w:val="10"/>
                <w:color w:val="auto"/>
                <w:w w:val="97"/>
              </w:rPr>
              <w:t>(d)</w:t>
            </w:r>
          </w:p>
        </w:tc>
        <w:tc>
          <w:tcPr>
            <w:tcW w:w="3380" w:type="dxa"/>
            <w:vAlign w:val="bottom"/>
            <w:gridSpan w:val="2"/>
          </w:tcPr>
          <w:p>
            <w:pPr>
              <w:ind w:left="380"/>
              <w:spacing w:after="0"/>
              <w:rPr>
                <w:sz w:val="20"/>
                <w:szCs w:val="20"/>
                <w:color w:val="auto"/>
              </w:rPr>
            </w:pPr>
            <w:r>
              <w:rPr>
                <w:rFonts w:ascii="Arial" w:cs="Arial" w:eastAsia="Arial" w:hAnsi="Arial"/>
                <w:sz w:val="10"/>
                <w:szCs w:val="10"/>
                <w:color w:val="auto"/>
              </w:rPr>
              <w:t>the Loan to Value Ratio for the Financial Year ending [</w:t>
            </w:r>
            <w:r>
              <w:rPr>
                <w:rFonts w:ascii="Arial" w:cs="Arial" w:eastAsia="Arial" w:hAnsi="Arial"/>
                <w:sz w:val="10"/>
                <w:szCs w:val="10"/>
                <w:i w:val="1"/>
                <w:iCs w:val="1"/>
                <w:color w:val="auto"/>
              </w:rPr>
              <w:t>date</w:t>
            </w:r>
            <w:r>
              <w:rPr>
                <w:rFonts w:ascii="Arial" w:cs="Arial" w:eastAsia="Arial" w:hAnsi="Arial"/>
                <w:sz w:val="10"/>
                <w:szCs w:val="10"/>
                <w:color w:val="auto"/>
              </w:rPr>
              <w:t>] was [</w:t>
            </w:r>
          </w:p>
        </w:tc>
        <w:tc>
          <w:tcPr>
            <w:tcW w:w="36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r>
              <w:rPr>
                <w:rFonts w:ascii="Arial" w:cs="Arial" w:eastAsia="Arial" w:hAnsi="Arial"/>
                <w:sz w:val="10"/>
                <w:szCs w:val="10"/>
                <w:color w:val="B5082D"/>
                <w:strike w:val="1"/>
                <w:w w:val="81"/>
              </w:rPr>
              <w:t>(d)</w:t>
            </w:r>
          </w:p>
        </w:tc>
        <w:tc>
          <w:tcPr>
            <w:tcW w:w="2720" w:type="dxa"/>
            <w:vAlign w:val="bottom"/>
            <w:gridSpan w:val="2"/>
          </w:tcPr>
          <w:p>
            <w:pPr>
              <w:spacing w:after="0"/>
              <w:rPr>
                <w:sz w:val="20"/>
                <w:szCs w:val="20"/>
                <w:color w:val="auto"/>
              </w:rPr>
            </w:pPr>
            <w:r>
              <w:rPr>
                <w:rFonts w:ascii="Arial" w:cs="Arial" w:eastAsia="Arial" w:hAnsi="Arial"/>
                <w:sz w:val="10"/>
                <w:szCs w:val="10"/>
                <w:color w:val="2D96D2"/>
                <w:w w:val="98"/>
              </w:rPr>
              <w:t xml:space="preserve">(e) the Borrower ’s Minimum Liquidity at [insert date] is </w:t>
            </w:r>
            <w:r>
              <w:rPr>
                <w:rFonts w:ascii="Arial" w:cs="Arial" w:eastAsia="Arial" w:hAnsi="Arial"/>
                <w:sz w:val="10"/>
                <w:szCs w:val="10"/>
                <w:u w:val="single" w:color="auto"/>
                <w:color w:val="2D96D2"/>
                <w:w w:val="98"/>
              </w:rPr>
              <w:t>$</w:t>
            </w:r>
            <w:r>
              <w:rPr>
                <w:rFonts w:ascii="Arial" w:cs="Arial" w:eastAsia="Arial" w:hAnsi="Arial"/>
                <w:sz w:val="10"/>
                <w:szCs w:val="10"/>
                <w:color w:val="2D96D2"/>
                <w:w w:val="98"/>
              </w:rPr>
              <w:t>[TBC]</w:t>
            </w:r>
          </w:p>
        </w:tc>
      </w:tr>
      <w:tr>
        <w:trPr>
          <w:trHeight w:val="20"/>
        </w:trPr>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shd w:val="clear" w:color="auto" w:fill="2D96D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1" w:lineRule="exact"/>
        <w:rPr>
          <w:sz w:val="20"/>
          <w:szCs w:val="20"/>
          <w:color w:val="auto"/>
        </w:rPr>
      </w:pPr>
    </w:p>
    <w:p>
      <w:pPr>
        <w:ind w:left="800" w:hanging="405"/>
        <w:spacing w:after="0"/>
        <w:tabs>
          <w:tab w:leader="none" w:pos="800" w:val="left"/>
        </w:tabs>
        <w:numPr>
          <w:ilvl w:val="0"/>
          <w:numId w:val="262"/>
        </w:numPr>
        <w:rPr>
          <w:rFonts w:ascii="Arial" w:cs="Arial" w:eastAsia="Arial" w:hAnsi="Arial"/>
          <w:sz w:val="10"/>
          <w:szCs w:val="10"/>
          <w:color w:val="auto"/>
        </w:rPr>
      </w:pPr>
      <w:r>
        <w:rPr>
          <w:rFonts w:ascii="Arial" w:cs="Arial" w:eastAsia="Arial" w:hAnsi="Arial"/>
          <w:sz w:val="10"/>
          <w:szCs w:val="10"/>
          <w:color w:val="auto"/>
        </w:rPr>
        <w:t>We confirm that, as at the date of this Compliance Certificate:</w:t>
      </w:r>
    </w:p>
    <w:p>
      <w:pPr>
        <w:spacing w:after="0" w:line="68" w:lineRule="exact"/>
        <w:rPr>
          <w:rFonts w:ascii="Arial" w:cs="Arial" w:eastAsia="Arial" w:hAnsi="Arial"/>
          <w:sz w:val="10"/>
          <w:szCs w:val="10"/>
          <w:color w:val="auto"/>
        </w:rPr>
      </w:pPr>
    </w:p>
    <w:p>
      <w:pPr>
        <w:ind w:left="1100" w:hanging="285"/>
        <w:spacing w:after="0"/>
        <w:tabs>
          <w:tab w:leader="none" w:pos="1100" w:val="left"/>
        </w:tabs>
        <w:numPr>
          <w:ilvl w:val="1"/>
          <w:numId w:val="262"/>
        </w:numPr>
        <w:rPr>
          <w:rFonts w:ascii="Arial" w:cs="Arial" w:eastAsia="Arial" w:hAnsi="Arial"/>
          <w:sz w:val="10"/>
          <w:szCs w:val="10"/>
          <w:color w:val="auto"/>
        </w:rPr>
      </w:pPr>
      <w:r>
        <w:rPr>
          <w:rFonts w:ascii="Arial" w:cs="Arial" w:eastAsia="Arial" w:hAnsi="Arial"/>
          <w:sz w:val="10"/>
          <w:szCs w:val="10"/>
          <w:color w:val="auto"/>
        </w:rPr>
        <w:t>no Event of Default, Review Event or Potential Event of Default has occurred and is continuing [</w:t>
      </w:r>
      <w:r>
        <w:rPr>
          <w:rFonts w:ascii="Arial" w:cs="Arial" w:eastAsia="Arial" w:hAnsi="Arial"/>
          <w:sz w:val="10"/>
          <w:szCs w:val="10"/>
          <w:i w:val="1"/>
          <w:iCs w:val="1"/>
          <w:color w:val="auto"/>
        </w:rPr>
        <w:t>or provide details of any Event of Default, Review Event or Potential Event of Default</w:t>
      </w:r>
      <w:r>
        <w:rPr>
          <w:rFonts w:ascii="Arial" w:cs="Arial" w:eastAsia="Arial" w:hAnsi="Arial"/>
          <w:sz w:val="10"/>
          <w:szCs w:val="10"/>
          <w:color w:val="auto"/>
        </w:rPr>
        <w:t>];</w:t>
      </w:r>
    </w:p>
    <w:p>
      <w:pPr>
        <w:spacing w:after="0" w:line="50" w:lineRule="exact"/>
        <w:rPr>
          <w:rFonts w:ascii="Arial" w:cs="Arial" w:eastAsia="Arial" w:hAnsi="Arial"/>
          <w:sz w:val="10"/>
          <w:szCs w:val="10"/>
          <w:color w:val="auto"/>
        </w:rPr>
      </w:pPr>
    </w:p>
    <w:p>
      <w:pPr>
        <w:ind w:left="1100" w:hanging="285"/>
        <w:spacing w:after="0"/>
        <w:tabs>
          <w:tab w:leader="none" w:pos="1100" w:val="left"/>
        </w:tabs>
        <w:numPr>
          <w:ilvl w:val="1"/>
          <w:numId w:val="262"/>
        </w:numPr>
        <w:rPr>
          <w:rFonts w:ascii="Arial" w:cs="Arial" w:eastAsia="Arial" w:hAnsi="Arial"/>
          <w:sz w:val="9"/>
          <w:szCs w:val="9"/>
          <w:color w:val="auto"/>
        </w:rPr>
      </w:pPr>
      <w:r>
        <w:rPr>
          <w:rFonts w:ascii="Arial" w:cs="Arial" w:eastAsia="Arial" w:hAnsi="Arial"/>
          <w:sz w:val="9"/>
          <w:szCs w:val="9"/>
          <w:color w:val="auto"/>
        </w:rPr>
        <w:t>there are no Taxes or other statutory payments which are due and payable by a Transaction Party but unpaid [</w:t>
      </w:r>
      <w:r>
        <w:rPr>
          <w:rFonts w:ascii="Arial" w:cs="Arial" w:eastAsia="Arial" w:hAnsi="Arial"/>
          <w:sz w:val="9"/>
          <w:szCs w:val="9"/>
          <w:i w:val="1"/>
          <w:iCs w:val="1"/>
          <w:color w:val="auto"/>
        </w:rPr>
        <w:t>or provide details of any Taxes and other statutory payments which are being contested</w:t>
      </w:r>
      <w:r>
        <w:rPr>
          <w:rFonts w:ascii="Arial" w:cs="Arial" w:eastAsia="Arial" w:hAnsi="Arial"/>
          <w:sz w:val="9"/>
          <w:szCs w:val="9"/>
          <w:color w:val="auto"/>
        </w:rPr>
        <w:t>]; and</w:t>
      </w:r>
    </w:p>
    <w:p>
      <w:pPr>
        <w:spacing w:after="0" w:line="59" w:lineRule="exact"/>
        <w:rPr>
          <w:rFonts w:ascii="Arial" w:cs="Arial" w:eastAsia="Arial" w:hAnsi="Arial"/>
          <w:sz w:val="9"/>
          <w:szCs w:val="9"/>
          <w:color w:val="auto"/>
        </w:rPr>
      </w:pPr>
    </w:p>
    <w:p>
      <w:pPr>
        <w:ind w:left="1100" w:hanging="285"/>
        <w:spacing w:after="0"/>
        <w:tabs>
          <w:tab w:leader="none" w:pos="1100" w:val="left"/>
        </w:tabs>
        <w:numPr>
          <w:ilvl w:val="1"/>
          <w:numId w:val="262"/>
        </w:numPr>
        <w:rPr>
          <w:rFonts w:ascii="Arial" w:cs="Arial" w:eastAsia="Arial" w:hAnsi="Arial"/>
          <w:sz w:val="10"/>
          <w:szCs w:val="10"/>
          <w:color w:val="auto"/>
        </w:rPr>
      </w:pPr>
      <w:r>
        <w:rPr>
          <w:rFonts w:ascii="Arial" w:cs="Arial" w:eastAsia="Arial" w:hAnsi="Arial"/>
          <w:sz w:val="10"/>
          <w:szCs w:val="10"/>
          <w:color w:val="auto"/>
        </w:rPr>
        <w:t xml:space="preserve">the representations and warranties in </w:t>
      </w:r>
      <w:r>
        <w:rPr>
          <w:rFonts w:ascii="Arial" w:cs="Arial" w:eastAsia="Arial" w:hAnsi="Arial"/>
          <w:sz w:val="10"/>
          <w:szCs w:val="10"/>
          <w:b w:val="1"/>
          <w:bCs w:val="1"/>
          <w:color w:val="auto"/>
        </w:rPr>
        <w:t>clause 8.1</w:t>
      </w:r>
      <w:r>
        <w:rPr>
          <w:rFonts w:ascii="Arial" w:cs="Arial" w:eastAsia="Arial" w:hAnsi="Arial"/>
          <w:sz w:val="10"/>
          <w:szCs w:val="10"/>
          <w:color w:val="auto"/>
        </w:rPr>
        <w:t xml:space="preserve"> of the Facility Agreement which are to be repeated as at the date of this Compliance Certificate are correct.</w:t>
      </w:r>
    </w:p>
    <w:p>
      <w:pPr>
        <w:spacing w:after="0" w:line="64" w:lineRule="exact"/>
        <w:rPr>
          <w:sz w:val="20"/>
          <w:szCs w:val="20"/>
          <w:color w:val="auto"/>
        </w:rPr>
      </w:pPr>
    </w:p>
    <w:p>
      <w:pPr>
        <w:ind w:left="800" w:hanging="405"/>
        <w:spacing w:after="0"/>
        <w:tabs>
          <w:tab w:leader="none" w:pos="800" w:val="left"/>
        </w:tabs>
        <w:numPr>
          <w:ilvl w:val="0"/>
          <w:numId w:val="263"/>
        </w:numPr>
        <w:rPr>
          <w:rFonts w:ascii="Arial" w:cs="Arial" w:eastAsia="Arial" w:hAnsi="Arial"/>
          <w:sz w:val="10"/>
          <w:szCs w:val="10"/>
          <w:color w:val="auto"/>
        </w:rPr>
      </w:pPr>
      <w:r>
        <w:rPr>
          <w:rFonts w:ascii="Arial" w:cs="Arial" w:eastAsia="Arial" w:hAnsi="Arial"/>
          <w:sz w:val="10"/>
          <w:szCs w:val="10"/>
          <w:color w:val="auto"/>
        </w:rPr>
        <w:t>We confirm that the position of the Reading Entertainment Australia Group with respect to the following liabilities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20" w:type="dxa"/>
            <w:vAlign w:val="bottom"/>
          </w:tcPr>
          <w:p>
            <w:pPr>
              <w:ind w:left="3900"/>
              <w:spacing w:after="0"/>
              <w:rPr>
                <w:sz w:val="20"/>
                <w:szCs w:val="20"/>
                <w:color w:val="auto"/>
              </w:rPr>
            </w:pPr>
            <w:r>
              <w:rPr>
                <w:rFonts w:ascii="Arial" w:cs="Arial" w:eastAsia="Arial" w:hAnsi="Arial"/>
                <w:sz w:val="8"/>
                <w:szCs w:val="8"/>
                <w:color w:val="auto"/>
              </w:rPr>
              <w:t>Page 95</w:t>
            </w:r>
          </w:p>
        </w:tc>
      </w:tr>
      <w:tr>
        <w:trPr>
          <w:trHeight w:val="94"/>
        </w:trPr>
        <w:tc>
          <w:tcPr>
            <w:tcW w:w="526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2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80" w:type="dxa"/>
            <w:vAlign w:val="bottom"/>
            <w:tcBorders>
              <w:bottom w:val="single" w:sz="8" w:color="EEEEEE"/>
            </w:tcBorders>
          </w:tcPr>
          <w:p>
            <w:pPr>
              <w:spacing w:after="0"/>
              <w:rPr>
                <w:sz w:val="18"/>
                <w:szCs w:val="18"/>
                <w:color w:val="auto"/>
              </w:rPr>
            </w:pPr>
          </w:p>
        </w:tc>
        <w:tc>
          <w:tcPr>
            <w:tcW w:w="42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960"/>
          </w:cols>
          <w:pgMar w:left="1360" w:top="807" w:right="580" w:bottom="1440" w:gutter="0" w:footer="0" w:header="0"/>
          <w:type w:val="continuous"/>
        </w:sectPr>
      </w:pPr>
    </w:p>
    <w:bookmarkStart w:id="161" w:name="page162"/>
    <w:bookmarkEnd w:id="161"/>
    <w:tbl>
      <w:tblPr>
        <w:tblLayout w:type="fixed"/>
        <w:tblInd w:w="830" w:type="dxa"/>
        <w:tblCellMar>
          <w:top w:w="0" w:type="dxa"/>
          <w:left w:w="0" w:type="dxa"/>
          <w:bottom w:w="0" w:type="dxa"/>
          <w:right w:w="0" w:type="dxa"/>
        </w:tblCellMar>
      </w:tblPr>
      <w:tr>
        <w:trPr>
          <w:trHeight w:val="155"/>
        </w:trPr>
        <w:tc>
          <w:tcPr>
            <w:tcW w:w="16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8"/>
                <w:szCs w:val="8"/>
                <w:b w:val="1"/>
                <w:bCs w:val="1"/>
                <w:color w:val="auto"/>
              </w:rPr>
              <w:t>Liability</w:t>
            </w:r>
          </w:p>
        </w:tc>
        <w:tc>
          <w:tcPr>
            <w:tcW w:w="198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8"/>
                <w:szCs w:val="8"/>
                <w:b w:val="1"/>
                <w:bCs w:val="1"/>
                <w:color w:val="auto"/>
              </w:rPr>
              <w:t>Lodgement Cycle (Ann/Qtr/Mth - Please Circle)</w:t>
            </w:r>
          </w:p>
        </w:tc>
        <w:tc>
          <w:tcPr>
            <w:tcW w:w="14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Current (Yes/No - Please Circle)</w:t>
            </w:r>
          </w:p>
        </w:tc>
        <w:tc>
          <w:tcPr>
            <w:tcW w:w="23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If</w:t>
            </w:r>
          </w:p>
        </w:tc>
        <w:tc>
          <w:tcPr>
            <w:tcW w:w="1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If</w:t>
            </w: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8"/>
                <w:szCs w:val="8"/>
                <w:b w:val="1"/>
                <w:bCs w:val="1"/>
                <w:color w:val="auto"/>
                <w:w w:val="93"/>
              </w:rPr>
              <w:t>Commen</w:t>
            </w:r>
          </w:p>
        </w:tc>
      </w:tr>
      <w:tr>
        <w:trPr>
          <w:trHeight w:val="115"/>
        </w:trPr>
        <w:tc>
          <w:tcPr>
            <w:tcW w:w="1620" w:type="dxa"/>
            <w:vAlign w:val="bottom"/>
            <w:tcBorders>
              <w:left w:val="single" w:sz="8" w:color="auto"/>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b w:val="1"/>
                <w:bCs w:val="1"/>
                <w:color w:val="auto"/>
              </w:rPr>
              <w:t>current, last payment details (Use brackets where refund)</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b w:val="1"/>
                <w:bCs w:val="1"/>
                <w:color w:val="auto"/>
              </w:rPr>
              <w:t>not current, Outstanding Details</w:t>
            </w:r>
          </w:p>
        </w:tc>
        <w:tc>
          <w:tcPr>
            <w:tcW w:w="360" w:type="dxa"/>
            <w:vAlign w:val="bottom"/>
          </w:tcPr>
          <w:p>
            <w:pPr>
              <w:spacing w:after="0"/>
              <w:rPr>
                <w:sz w:val="9"/>
                <w:szCs w:val="9"/>
                <w:color w:val="auto"/>
              </w:rPr>
            </w:pPr>
          </w:p>
        </w:tc>
      </w:tr>
      <w:tr>
        <w:trPr>
          <w:trHeight w:val="315"/>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147"/>
        </w:trPr>
        <w:tc>
          <w:tcPr>
            <w:tcW w:w="1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8"/>
                <w:szCs w:val="8"/>
                <w:color w:val="auto"/>
              </w:rPr>
              <w:t>GST</w:t>
            </w:r>
          </w:p>
        </w:tc>
        <w:tc>
          <w:tcPr>
            <w:tcW w:w="140" w:type="dxa"/>
            <w:vAlign w:val="bottom"/>
          </w:tcPr>
          <w:p>
            <w:pPr>
              <w:ind w:left="40"/>
              <w:spacing w:after="0"/>
              <w:rPr>
                <w:sz w:val="20"/>
                <w:szCs w:val="20"/>
                <w:color w:val="auto"/>
              </w:rPr>
            </w:pPr>
            <w:r>
              <w:rPr>
                <w:rFonts w:ascii="Arial" w:cs="Arial" w:eastAsia="Arial" w:hAnsi="Arial"/>
                <w:sz w:val="8"/>
                <w:szCs w:val="8"/>
                <w:color w:val="auto"/>
              </w:rPr>
              <w:t>A</w:t>
            </w:r>
          </w:p>
        </w:tc>
        <w:tc>
          <w:tcPr>
            <w:tcW w:w="160" w:type="dxa"/>
            <w:vAlign w:val="bottom"/>
          </w:tcPr>
          <w:p>
            <w:pPr>
              <w:ind w:left="60"/>
              <w:spacing w:after="0"/>
              <w:rPr>
                <w:sz w:val="20"/>
                <w:szCs w:val="20"/>
                <w:color w:val="auto"/>
              </w:rPr>
            </w:pPr>
            <w:r>
              <w:rPr>
                <w:rFonts w:ascii="Arial" w:cs="Arial" w:eastAsia="Arial" w:hAnsi="Arial"/>
                <w:sz w:val="8"/>
                <w:szCs w:val="8"/>
                <w:color w:val="auto"/>
              </w:rPr>
              <w:t>Q</w:t>
            </w: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8"/>
                <w:szCs w:val="8"/>
                <w:color w:val="auto"/>
              </w:rPr>
              <w:t>M</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Yes</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360" w:type="dxa"/>
            <w:vAlign w:val="bottom"/>
          </w:tcPr>
          <w:p>
            <w:pPr>
              <w:spacing w:after="0"/>
              <w:rPr>
                <w:sz w:val="12"/>
                <w:szCs w:val="12"/>
                <w:color w:val="auto"/>
              </w:rPr>
            </w:pPr>
          </w:p>
        </w:tc>
      </w:tr>
      <w:tr>
        <w:trPr>
          <w:trHeight w:val="240"/>
        </w:trPr>
        <w:tc>
          <w:tcPr>
            <w:tcW w:w="162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No</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360" w:type="dxa"/>
            <w:vAlign w:val="bottom"/>
          </w:tcPr>
          <w:p>
            <w:pPr>
              <w:spacing w:after="0"/>
              <w:rPr>
                <w:sz w:val="20"/>
                <w:szCs w:val="20"/>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39"/>
        </w:trPr>
        <w:tc>
          <w:tcPr>
            <w:tcW w:w="1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8"/>
                <w:szCs w:val="8"/>
                <w:color w:val="auto"/>
              </w:rPr>
              <w:t>PAYG-</w:t>
            </w:r>
          </w:p>
        </w:tc>
        <w:tc>
          <w:tcPr>
            <w:tcW w:w="140" w:type="dxa"/>
            <w:vAlign w:val="bottom"/>
          </w:tcPr>
          <w:p>
            <w:pPr>
              <w:ind w:left="40"/>
              <w:spacing w:after="0"/>
              <w:rPr>
                <w:sz w:val="20"/>
                <w:szCs w:val="20"/>
                <w:color w:val="auto"/>
              </w:rPr>
            </w:pPr>
            <w:r>
              <w:rPr>
                <w:rFonts w:ascii="Arial" w:cs="Arial" w:eastAsia="Arial" w:hAnsi="Arial"/>
                <w:sz w:val="8"/>
                <w:szCs w:val="8"/>
                <w:color w:val="auto"/>
              </w:rPr>
              <w:t>A</w:t>
            </w:r>
          </w:p>
        </w:tc>
        <w:tc>
          <w:tcPr>
            <w:tcW w:w="160" w:type="dxa"/>
            <w:vAlign w:val="bottom"/>
          </w:tcPr>
          <w:p>
            <w:pPr>
              <w:ind w:left="60"/>
              <w:spacing w:after="0"/>
              <w:rPr>
                <w:sz w:val="20"/>
                <w:szCs w:val="20"/>
                <w:color w:val="auto"/>
              </w:rPr>
            </w:pPr>
            <w:r>
              <w:rPr>
                <w:rFonts w:ascii="Arial" w:cs="Arial" w:eastAsia="Arial" w:hAnsi="Arial"/>
                <w:sz w:val="8"/>
                <w:szCs w:val="8"/>
                <w:color w:val="auto"/>
              </w:rPr>
              <w:t>Q</w:t>
            </w: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8"/>
                <w:szCs w:val="8"/>
                <w:color w:val="auto"/>
              </w:rPr>
              <w:t>M</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Yes</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360" w:type="dxa"/>
            <w:vAlign w:val="bottom"/>
          </w:tcPr>
          <w:p>
            <w:pPr>
              <w:spacing w:after="0"/>
              <w:rPr>
                <w:sz w:val="12"/>
                <w:szCs w:val="12"/>
                <w:color w:val="auto"/>
              </w:rPr>
            </w:pPr>
          </w:p>
        </w:tc>
      </w:tr>
      <w:tr>
        <w:trPr>
          <w:trHeight w:val="105"/>
        </w:trPr>
        <w:tc>
          <w:tcPr>
            <w:tcW w:w="1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8"/>
                <w:szCs w:val="8"/>
                <w:color w:val="auto"/>
              </w:rPr>
              <w:t>Withholding</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r>
      <w:tr>
        <w:trPr>
          <w:trHeight w:val="143"/>
        </w:trPr>
        <w:tc>
          <w:tcPr>
            <w:tcW w:w="162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No</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360" w:type="dxa"/>
            <w:vAlign w:val="bottom"/>
          </w:tcPr>
          <w:p>
            <w:pPr>
              <w:spacing w:after="0"/>
              <w:rPr>
                <w:sz w:val="12"/>
                <w:szCs w:val="12"/>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32"/>
        </w:trPr>
        <w:tc>
          <w:tcPr>
            <w:tcW w:w="1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8"/>
                <w:szCs w:val="8"/>
                <w:color w:val="auto"/>
              </w:rPr>
              <w:t>PAYG-</w:t>
            </w:r>
          </w:p>
        </w:tc>
        <w:tc>
          <w:tcPr>
            <w:tcW w:w="140" w:type="dxa"/>
            <w:vAlign w:val="bottom"/>
          </w:tcPr>
          <w:p>
            <w:pPr>
              <w:ind w:left="40"/>
              <w:spacing w:after="0"/>
              <w:rPr>
                <w:sz w:val="20"/>
                <w:szCs w:val="20"/>
                <w:color w:val="auto"/>
              </w:rPr>
            </w:pPr>
            <w:r>
              <w:rPr>
                <w:rFonts w:ascii="Arial" w:cs="Arial" w:eastAsia="Arial" w:hAnsi="Arial"/>
                <w:sz w:val="8"/>
                <w:szCs w:val="8"/>
                <w:color w:val="auto"/>
              </w:rPr>
              <w:t>A</w:t>
            </w:r>
          </w:p>
        </w:tc>
        <w:tc>
          <w:tcPr>
            <w:tcW w:w="160" w:type="dxa"/>
            <w:vAlign w:val="bottom"/>
          </w:tcPr>
          <w:p>
            <w:pPr>
              <w:ind w:left="60"/>
              <w:spacing w:after="0"/>
              <w:rPr>
                <w:sz w:val="20"/>
                <w:szCs w:val="20"/>
                <w:color w:val="auto"/>
              </w:rPr>
            </w:pPr>
            <w:r>
              <w:rPr>
                <w:rFonts w:ascii="Arial" w:cs="Arial" w:eastAsia="Arial" w:hAnsi="Arial"/>
                <w:sz w:val="8"/>
                <w:szCs w:val="8"/>
                <w:color w:val="auto"/>
              </w:rPr>
              <w:t>Q</w:t>
            </w: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8"/>
                <w:szCs w:val="8"/>
                <w:color w:val="auto"/>
              </w:rPr>
              <w:t>M</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Yes</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360" w:type="dxa"/>
            <w:vAlign w:val="bottom"/>
          </w:tcPr>
          <w:p>
            <w:pPr>
              <w:spacing w:after="0"/>
              <w:rPr>
                <w:sz w:val="11"/>
                <w:szCs w:val="11"/>
                <w:color w:val="auto"/>
              </w:rPr>
            </w:pPr>
          </w:p>
        </w:tc>
      </w:tr>
      <w:tr>
        <w:trPr>
          <w:trHeight w:val="105"/>
        </w:trPr>
        <w:tc>
          <w:tcPr>
            <w:tcW w:w="1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8"/>
                <w:szCs w:val="8"/>
                <w:color w:val="auto"/>
              </w:rPr>
              <w:t>Instalments (Income Tax)</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r>
      <w:tr>
        <w:trPr>
          <w:trHeight w:val="150"/>
        </w:trPr>
        <w:tc>
          <w:tcPr>
            <w:tcW w:w="162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No</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360" w:type="dxa"/>
            <w:vAlign w:val="bottom"/>
          </w:tcPr>
          <w:p>
            <w:pPr>
              <w:spacing w:after="0"/>
              <w:rPr>
                <w:sz w:val="13"/>
                <w:szCs w:val="13"/>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47"/>
        </w:trPr>
        <w:tc>
          <w:tcPr>
            <w:tcW w:w="1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8"/>
                <w:szCs w:val="8"/>
                <w:color w:val="auto"/>
              </w:rPr>
              <w:t>Employer Superannuation Contributions</w:t>
            </w:r>
          </w:p>
        </w:tc>
        <w:tc>
          <w:tcPr>
            <w:tcW w:w="140" w:type="dxa"/>
            <w:vAlign w:val="bottom"/>
          </w:tcPr>
          <w:p>
            <w:pPr>
              <w:ind w:left="40"/>
              <w:spacing w:after="0"/>
              <w:rPr>
                <w:sz w:val="20"/>
                <w:szCs w:val="20"/>
                <w:color w:val="auto"/>
              </w:rPr>
            </w:pPr>
            <w:r>
              <w:rPr>
                <w:rFonts w:ascii="Arial" w:cs="Arial" w:eastAsia="Arial" w:hAnsi="Arial"/>
                <w:sz w:val="8"/>
                <w:szCs w:val="8"/>
                <w:color w:val="auto"/>
              </w:rPr>
              <w:t>A</w:t>
            </w:r>
          </w:p>
        </w:tc>
        <w:tc>
          <w:tcPr>
            <w:tcW w:w="160" w:type="dxa"/>
            <w:vAlign w:val="bottom"/>
          </w:tcPr>
          <w:p>
            <w:pPr>
              <w:ind w:left="60"/>
              <w:spacing w:after="0"/>
              <w:rPr>
                <w:sz w:val="20"/>
                <w:szCs w:val="20"/>
                <w:color w:val="auto"/>
              </w:rPr>
            </w:pPr>
            <w:r>
              <w:rPr>
                <w:rFonts w:ascii="Arial" w:cs="Arial" w:eastAsia="Arial" w:hAnsi="Arial"/>
                <w:sz w:val="8"/>
                <w:szCs w:val="8"/>
                <w:color w:val="auto"/>
              </w:rPr>
              <w:t>Q</w:t>
            </w: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8"/>
                <w:szCs w:val="8"/>
                <w:color w:val="auto"/>
              </w:rPr>
              <w:t>M</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Yes</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360" w:type="dxa"/>
            <w:vAlign w:val="bottom"/>
          </w:tcPr>
          <w:p>
            <w:pPr>
              <w:spacing w:after="0"/>
              <w:rPr>
                <w:sz w:val="12"/>
                <w:szCs w:val="12"/>
                <w:color w:val="auto"/>
              </w:rPr>
            </w:pPr>
          </w:p>
        </w:tc>
      </w:tr>
      <w:tr>
        <w:trPr>
          <w:trHeight w:val="240"/>
        </w:trPr>
        <w:tc>
          <w:tcPr>
            <w:tcW w:w="162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No</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360" w:type="dxa"/>
            <w:vAlign w:val="bottom"/>
          </w:tcPr>
          <w:p>
            <w:pPr>
              <w:spacing w:after="0"/>
              <w:rPr>
                <w:sz w:val="20"/>
                <w:szCs w:val="20"/>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47"/>
        </w:trPr>
        <w:tc>
          <w:tcPr>
            <w:tcW w:w="1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8"/>
                <w:szCs w:val="8"/>
                <w:color w:val="auto"/>
              </w:rPr>
              <w:t>Payroll Tax</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Yes</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360" w:type="dxa"/>
            <w:vAlign w:val="bottom"/>
          </w:tcPr>
          <w:p>
            <w:pPr>
              <w:spacing w:after="0"/>
              <w:rPr>
                <w:sz w:val="12"/>
                <w:szCs w:val="12"/>
                <w:color w:val="auto"/>
              </w:rPr>
            </w:pPr>
          </w:p>
        </w:tc>
      </w:tr>
      <w:tr>
        <w:trPr>
          <w:trHeight w:val="240"/>
        </w:trPr>
        <w:tc>
          <w:tcPr>
            <w:tcW w:w="162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No</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360" w:type="dxa"/>
            <w:vAlign w:val="bottom"/>
          </w:tcPr>
          <w:p>
            <w:pPr>
              <w:spacing w:after="0"/>
              <w:rPr>
                <w:sz w:val="20"/>
                <w:szCs w:val="20"/>
                <w:color w:val="auto"/>
              </w:rPr>
            </w:pPr>
          </w:p>
        </w:tc>
      </w:tr>
      <w:tr>
        <w:trPr>
          <w:trHeight w:val="126"/>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8"/>
                <w:szCs w:val="8"/>
                <w:color w:val="auto"/>
              </w:rPr>
              <w:t>A</w:t>
            </w:r>
          </w:p>
        </w:tc>
        <w:tc>
          <w:tcPr>
            <w:tcW w:w="160" w:type="dxa"/>
            <w:vAlign w:val="bottom"/>
            <w:tcBorders>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8"/>
                <w:szCs w:val="8"/>
                <w:color w:val="auto"/>
              </w:rPr>
              <w:t>M</w:t>
            </w:r>
          </w:p>
        </w:tc>
        <w:tc>
          <w:tcPr>
            <w:tcW w:w="144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r>
      <w:tr>
        <w:trPr>
          <w:trHeight w:val="147"/>
        </w:trPr>
        <w:tc>
          <w:tcPr>
            <w:tcW w:w="1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8"/>
                <w:szCs w:val="8"/>
                <w:color w:val="auto"/>
              </w:rPr>
              <w:t>Workcover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Yes</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360" w:type="dxa"/>
            <w:vAlign w:val="bottom"/>
          </w:tcPr>
          <w:p>
            <w:pPr>
              <w:spacing w:after="0"/>
              <w:rPr>
                <w:sz w:val="12"/>
                <w:szCs w:val="12"/>
                <w:color w:val="auto"/>
              </w:rPr>
            </w:pPr>
          </w:p>
        </w:tc>
      </w:tr>
      <w:tr>
        <w:trPr>
          <w:trHeight w:val="240"/>
        </w:trPr>
        <w:tc>
          <w:tcPr>
            <w:tcW w:w="162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No</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360" w:type="dxa"/>
            <w:vAlign w:val="bottom"/>
          </w:tcPr>
          <w:p>
            <w:pPr>
              <w:spacing w:after="0"/>
              <w:rPr>
                <w:sz w:val="20"/>
                <w:szCs w:val="20"/>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47"/>
        </w:trPr>
        <w:tc>
          <w:tcPr>
            <w:tcW w:w="1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8"/>
                <w:szCs w:val="8"/>
                <w:color w:val="auto"/>
              </w:rPr>
              <w:t>Other Taxes?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Yes</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Amt:</w:t>
            </w:r>
          </w:p>
        </w:tc>
        <w:tc>
          <w:tcPr>
            <w:tcW w:w="360" w:type="dxa"/>
            <w:vAlign w:val="bottom"/>
          </w:tcPr>
          <w:p>
            <w:pPr>
              <w:spacing w:after="0"/>
              <w:rPr>
                <w:sz w:val="12"/>
                <w:szCs w:val="12"/>
                <w:color w:val="auto"/>
              </w:rPr>
            </w:pPr>
          </w:p>
        </w:tc>
      </w:tr>
      <w:tr>
        <w:trPr>
          <w:trHeight w:val="240"/>
        </w:trPr>
        <w:tc>
          <w:tcPr>
            <w:tcW w:w="162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No</w:t>
            </w: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8"/>
                <w:szCs w:val="8"/>
                <w:color w:val="auto"/>
              </w:rPr>
              <w:t>Date:</w:t>
            </w:r>
          </w:p>
        </w:tc>
        <w:tc>
          <w:tcPr>
            <w:tcW w:w="360" w:type="dxa"/>
            <w:vAlign w:val="bottom"/>
          </w:tcPr>
          <w:p>
            <w:pPr>
              <w:spacing w:after="0"/>
              <w:rPr>
                <w:sz w:val="20"/>
                <w:szCs w:val="20"/>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840"/>
        <w:spacing w:after="0"/>
        <w:rPr>
          <w:sz w:val="20"/>
          <w:szCs w:val="20"/>
          <w:color w:val="auto"/>
        </w:rPr>
      </w:pPr>
      <w:r>
        <w:rPr>
          <w:rFonts w:ascii="Arial" w:cs="Arial" w:eastAsia="Arial" w:hAnsi="Arial"/>
          <w:sz w:val="9"/>
          <w:szCs w:val="9"/>
          <w:b w:val="1"/>
          <w:bCs w:val="1"/>
          <w:color w:val="auto"/>
        </w:rPr>
        <w:t>* Where amounts are outstanding please provide the following information to support the advised position:</w:t>
      </w:r>
    </w:p>
    <w:p>
      <w:pPr>
        <w:spacing w:after="0" w:line="111" w:lineRule="exact"/>
        <w:rPr>
          <w:sz w:val="20"/>
          <w:szCs w:val="20"/>
          <w:color w:val="auto"/>
        </w:rPr>
      </w:pPr>
    </w:p>
    <w:p>
      <w:pPr>
        <w:ind w:left="1000" w:hanging="170"/>
        <w:spacing w:after="0"/>
        <w:tabs>
          <w:tab w:leader="none" w:pos="1000" w:val="left"/>
        </w:tabs>
        <w:numPr>
          <w:ilvl w:val="0"/>
          <w:numId w:val="264"/>
        </w:numPr>
        <w:rPr>
          <w:rFonts w:ascii="Arial" w:cs="Arial" w:eastAsia="Arial" w:hAnsi="Arial"/>
          <w:sz w:val="9"/>
          <w:szCs w:val="9"/>
          <w:color w:val="auto"/>
        </w:rPr>
      </w:pPr>
      <w:r>
        <w:rPr>
          <w:rFonts w:ascii="Arial" w:cs="Arial" w:eastAsia="Arial" w:hAnsi="Arial"/>
          <w:sz w:val="9"/>
          <w:szCs w:val="9"/>
          <w:color w:val="auto"/>
        </w:rPr>
        <w:t>Copy of the latest ATO Running Balance Account Statement (RBA);</w:t>
      </w:r>
    </w:p>
    <w:p>
      <w:pPr>
        <w:spacing w:after="0" w:line="95" w:lineRule="exact"/>
        <w:rPr>
          <w:rFonts w:ascii="Arial" w:cs="Arial" w:eastAsia="Arial" w:hAnsi="Arial"/>
          <w:sz w:val="9"/>
          <w:szCs w:val="9"/>
          <w:color w:val="auto"/>
        </w:rPr>
      </w:pPr>
    </w:p>
    <w:p>
      <w:pPr>
        <w:ind w:left="1000" w:hanging="170"/>
        <w:spacing w:after="0"/>
        <w:tabs>
          <w:tab w:leader="none" w:pos="1000" w:val="left"/>
        </w:tabs>
        <w:numPr>
          <w:ilvl w:val="0"/>
          <w:numId w:val="264"/>
        </w:numPr>
        <w:rPr>
          <w:rFonts w:ascii="Arial" w:cs="Arial" w:eastAsia="Arial" w:hAnsi="Arial"/>
          <w:sz w:val="9"/>
          <w:szCs w:val="9"/>
          <w:color w:val="auto"/>
        </w:rPr>
      </w:pPr>
      <w:r>
        <w:rPr>
          <w:rFonts w:ascii="Arial" w:cs="Arial" w:eastAsia="Arial" w:hAnsi="Arial"/>
          <w:sz w:val="9"/>
          <w:szCs w:val="9"/>
          <w:color w:val="auto"/>
        </w:rPr>
        <w:t xml:space="preserve">Have all BAS’s/IAS’s have been lodged?   </w:t>
      </w:r>
      <w:r>
        <w:rPr>
          <w:rFonts w:ascii="Arial" w:cs="Arial" w:eastAsia="Arial" w:hAnsi="Arial"/>
          <w:sz w:val="9"/>
          <w:szCs w:val="9"/>
          <w:b w:val="1"/>
          <w:bCs w:val="1"/>
          <w:color w:val="auto"/>
        </w:rPr>
        <w:t>Yes / No</w:t>
      </w:r>
      <w:r>
        <w:rPr>
          <w:rFonts w:ascii="Arial" w:cs="Arial" w:eastAsia="Arial" w:hAnsi="Arial"/>
          <w:sz w:val="9"/>
          <w:szCs w:val="9"/>
          <w:color w:val="auto"/>
        </w:rPr>
        <w:t xml:space="preserve"> (please circle);</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9"/>
          <w:szCs w:val="9"/>
          <w:b w:val="1"/>
          <w:bCs w:val="1"/>
          <w:color w:val="auto"/>
        </w:rPr>
        <w:t xml:space="preserve">If No - </w:t>
      </w:r>
      <w:r>
        <w:rPr>
          <w:rFonts w:ascii="Arial" w:cs="Arial" w:eastAsia="Arial" w:hAnsi="Arial"/>
          <w:sz w:val="9"/>
          <w:szCs w:val="9"/>
          <w:color w:val="auto"/>
        </w:rPr>
        <w:t>What statements are outstanding with associated liability amount?</w:t>
      </w:r>
    </w:p>
    <w:p>
      <w:pPr>
        <w:spacing w:after="0" w:line="103" w:lineRule="exact"/>
        <w:rPr>
          <w:sz w:val="20"/>
          <w:szCs w:val="20"/>
          <w:color w:val="auto"/>
        </w:rPr>
      </w:pPr>
    </w:p>
    <w:p>
      <w:pPr>
        <w:ind w:left="840"/>
        <w:spacing w:after="0"/>
        <w:rPr>
          <w:sz w:val="20"/>
          <w:szCs w:val="20"/>
          <w:color w:val="auto"/>
        </w:rPr>
      </w:pPr>
      <w:r>
        <w:rPr>
          <w:rFonts w:ascii="Arial" w:cs="Arial" w:eastAsia="Arial" w:hAnsi="Arial"/>
          <w:sz w:val="9"/>
          <w:szCs w:val="9"/>
          <w:color w:val="auto"/>
        </w:rPr>
        <w:t>Is any Group Member required to provide superannuation coverage under an industrial award?</w:t>
      </w:r>
    </w:p>
    <w:p>
      <w:pPr>
        <w:spacing w:after="0" w:line="103" w:lineRule="exact"/>
        <w:rPr>
          <w:sz w:val="20"/>
          <w:szCs w:val="20"/>
          <w:color w:val="auto"/>
        </w:rPr>
      </w:pPr>
    </w:p>
    <w:p>
      <w:pPr>
        <w:ind w:left="840"/>
        <w:spacing w:after="0"/>
        <w:rPr>
          <w:sz w:val="20"/>
          <w:szCs w:val="20"/>
          <w:color w:val="auto"/>
        </w:rPr>
      </w:pPr>
      <w:r>
        <w:rPr>
          <w:rFonts w:ascii="Arial" w:cs="Arial" w:eastAsia="Arial" w:hAnsi="Arial"/>
          <w:sz w:val="9"/>
          <w:szCs w:val="9"/>
          <w:b w:val="1"/>
          <w:bCs w:val="1"/>
          <w:color w:val="auto"/>
        </w:rPr>
        <w:t xml:space="preserve">Yes / No </w:t>
      </w:r>
      <w:r>
        <w:rPr>
          <w:rFonts w:ascii="Arial" w:cs="Arial" w:eastAsia="Arial" w:hAnsi="Arial"/>
          <w:sz w:val="9"/>
          <w:szCs w:val="9"/>
          <w:color w:val="auto"/>
        </w:rPr>
        <w:t>(please circle)</w:t>
      </w:r>
    </w:p>
    <w:p>
      <w:pPr>
        <w:spacing w:after="0" w:line="99" w:lineRule="exact"/>
        <w:rPr>
          <w:sz w:val="20"/>
          <w:szCs w:val="20"/>
          <w:color w:val="auto"/>
        </w:rPr>
      </w:pPr>
    </w:p>
    <w:p>
      <w:pPr>
        <w:ind w:left="840" w:right="1500"/>
        <w:spacing w:after="0" w:line="275" w:lineRule="auto"/>
        <w:rPr>
          <w:sz w:val="20"/>
          <w:szCs w:val="20"/>
          <w:color w:val="auto"/>
        </w:rPr>
      </w:pPr>
      <w:r>
        <w:rPr>
          <w:rFonts w:ascii="Arial" w:cs="Arial" w:eastAsia="Arial" w:hAnsi="Arial"/>
          <w:sz w:val="9"/>
          <w:szCs w:val="9"/>
          <w:b w:val="1"/>
          <w:bCs w:val="1"/>
          <w:color w:val="auto"/>
        </w:rPr>
        <w:t xml:space="preserve">If Yes </w:t>
      </w:r>
      <w:r>
        <w:rPr>
          <w:rFonts w:ascii="Arial" w:cs="Arial" w:eastAsia="Arial" w:hAnsi="Arial"/>
          <w:sz w:val="9"/>
          <w:szCs w:val="9"/>
          <w:color w:val="auto"/>
        </w:rPr>
        <w:t>– With reference to Industrial Awards, in accordance with any Award(s) that may have application to my/our industry and employees, I/We confirm that the prescribed amounts provided for</w:t>
      </w:r>
      <w:r>
        <w:rPr>
          <w:rFonts w:ascii="Arial" w:cs="Arial" w:eastAsia="Arial" w:hAnsi="Arial"/>
          <w:sz w:val="9"/>
          <w:szCs w:val="9"/>
          <w:b w:val="1"/>
          <w:bCs w:val="1"/>
          <w:color w:val="auto"/>
        </w:rPr>
        <w:t xml:space="preserve"> </w:t>
      </w:r>
      <w:r>
        <w:rPr>
          <w:rFonts w:ascii="Arial" w:cs="Arial" w:eastAsia="Arial" w:hAnsi="Arial"/>
          <w:sz w:val="9"/>
          <w:szCs w:val="9"/>
          <w:color w:val="auto"/>
        </w:rPr>
        <w:t>in the Award(s) are being contributed to an eligible fund(s).</w:t>
      </w:r>
    </w:p>
    <w:p>
      <w:pPr>
        <w:spacing w:after="0" w:line="352" w:lineRule="exact"/>
        <w:rPr>
          <w:sz w:val="20"/>
          <w:szCs w:val="20"/>
          <w:color w:val="auto"/>
        </w:rPr>
      </w:pPr>
    </w:p>
    <w:p>
      <w:pPr>
        <w:ind w:left="400"/>
        <w:spacing w:after="0"/>
        <w:rPr>
          <w:sz w:val="20"/>
          <w:szCs w:val="20"/>
          <w:color w:val="auto"/>
        </w:rPr>
      </w:pPr>
      <w:r>
        <w:rPr>
          <w:rFonts w:ascii="Arial" w:cs="Arial" w:eastAsia="Arial" w:hAnsi="Arial"/>
          <w:sz w:val="11"/>
          <w:szCs w:val="11"/>
          <w:color w:val="auto"/>
        </w:rPr>
        <w:t>[Name of person] who is a</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1"/>
          <w:szCs w:val="11"/>
          <w:color w:val="auto"/>
        </w:rPr>
        <w:t>Director of Reading Entertainment Australia Pty Ltd</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1"/>
          <w:szCs w:val="11"/>
          <w:color w:val="auto"/>
        </w:rPr>
        <w:t>For and on behalf of Reading Entertainment Australia Pty Ltd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20" w:type="dxa"/>
            <w:vAlign w:val="bottom"/>
          </w:tcPr>
          <w:p>
            <w:pPr>
              <w:ind w:left="3900"/>
              <w:spacing w:after="0"/>
              <w:rPr>
                <w:sz w:val="20"/>
                <w:szCs w:val="20"/>
                <w:color w:val="auto"/>
              </w:rPr>
            </w:pPr>
            <w:r>
              <w:rPr>
                <w:rFonts w:ascii="Arial" w:cs="Arial" w:eastAsia="Arial" w:hAnsi="Arial"/>
                <w:sz w:val="8"/>
                <w:szCs w:val="8"/>
                <w:color w:val="auto"/>
              </w:rPr>
              <w:t>Page 96</w:t>
            </w:r>
          </w:p>
        </w:tc>
      </w:tr>
      <w:tr>
        <w:trPr>
          <w:trHeight w:val="94"/>
        </w:trPr>
        <w:tc>
          <w:tcPr>
            <w:tcW w:w="526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2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80" w:type="dxa"/>
            <w:vAlign w:val="bottom"/>
            <w:tcBorders>
              <w:bottom w:val="single" w:sz="8" w:color="EEEEEE"/>
            </w:tcBorders>
          </w:tcPr>
          <w:p>
            <w:pPr>
              <w:spacing w:after="0"/>
              <w:rPr>
                <w:sz w:val="18"/>
                <w:szCs w:val="18"/>
                <w:color w:val="auto"/>
              </w:rPr>
            </w:pPr>
          </w:p>
        </w:tc>
        <w:tc>
          <w:tcPr>
            <w:tcW w:w="42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960"/>
          </w:cols>
          <w:pgMar w:left="1360" w:top="865" w:right="580" w:bottom="1440" w:gutter="0" w:footer="0" w:header="0"/>
        </w:sectPr>
      </w:pPr>
    </w:p>
    <w:bookmarkStart w:id="162" w:name="page163"/>
    <w:bookmarkEnd w:id="162"/>
    <w:p>
      <w:pPr>
        <w:ind w:left="400"/>
        <w:spacing w:after="0"/>
        <w:rPr>
          <w:sz w:val="20"/>
          <w:szCs w:val="20"/>
          <w:color w:val="auto"/>
        </w:rPr>
      </w:pPr>
      <w:r>
        <w:rPr>
          <w:rFonts w:ascii="Arial" w:cs="Arial" w:eastAsia="Arial" w:hAnsi="Arial"/>
          <w:sz w:val="15"/>
          <w:szCs w:val="15"/>
          <w:color w:val="auto"/>
        </w:rPr>
        <w:t>Interim Compliance Certificate</w:t>
      </w:r>
    </w:p>
    <w:p>
      <w:pPr>
        <w:sectPr>
          <w:pgSz w:w="11900" w:h="16840" w:orient="portrait"/>
          <w:cols w:equalWidth="0" w:num="1">
            <w:col w:w="9480"/>
          </w:cols>
          <w:pgMar w:left="1360" w:top="807" w:right="106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1"/>
          <w:szCs w:val="11"/>
          <w:color w:val="auto"/>
        </w:rPr>
        <w:t>National Australia Bank Limited Level 28, 500 Collins Street</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Melbourne VIC 3000</w:t>
      </w:r>
    </w:p>
    <w:p>
      <w:pPr>
        <w:spacing w:after="0" w:line="68" w:lineRule="exact"/>
        <w:rPr>
          <w:sz w:val="20"/>
          <w:szCs w:val="20"/>
          <w:color w:val="auto"/>
        </w:rPr>
      </w:pPr>
    </w:p>
    <w:p>
      <w:pPr>
        <w:sectPr>
          <w:pgSz w:w="11900" w:h="16840" w:orient="portrait"/>
          <w:cols w:equalWidth="0" w:num="2">
            <w:col w:w="560" w:space="260"/>
            <w:col w:w="8660"/>
          </w:cols>
          <w:pgMar w:left="1360" w:top="807" w:right="1060" w:bottom="1440" w:gutter="0" w:footer="0" w:header="0"/>
          <w:type w:val="continuous"/>
        </w:sectPr>
      </w:pPr>
    </w:p>
    <w:p>
      <w:pPr>
        <w:ind w:left="400"/>
        <w:spacing w:after="0"/>
        <w:rPr>
          <w:sz w:val="20"/>
          <w:szCs w:val="20"/>
          <w:color w:val="auto"/>
        </w:rPr>
      </w:pPr>
      <w:r>
        <w:rPr>
          <w:rFonts w:ascii="Arial" w:cs="Arial" w:eastAsia="Arial" w:hAnsi="Arial"/>
          <w:sz w:val="11"/>
          <w:szCs w:val="11"/>
          <w:color w:val="auto"/>
        </w:rPr>
        <w:t>[date]</w:t>
      </w:r>
    </w:p>
    <w:p>
      <w:pPr>
        <w:sectPr>
          <w:pgSz w:w="11900" w:h="16840" w:orient="portrait"/>
          <w:cols w:equalWidth="0" w:num="1">
            <w:col w:w="9480"/>
          </w:cols>
          <w:pgMar w:left="1360" w:top="807" w:right="1060" w:bottom="1440" w:gutter="0" w:footer="0" w:header="0"/>
          <w:type w:val="continuous"/>
        </w:sectPr>
      </w:pPr>
    </w:p>
    <w:p>
      <w:pPr>
        <w:spacing w:after="0" w:line="258"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Reading Entertainment Australia Pty Ltd Facility Agreement</w:t>
      </w:r>
    </w:p>
    <w:p>
      <w:pPr>
        <w:spacing w:after="0" w:line="46" w:lineRule="exact"/>
        <w:rPr>
          <w:sz w:val="20"/>
          <w:szCs w:val="20"/>
          <w:color w:val="auto"/>
        </w:rPr>
      </w:pPr>
    </w:p>
    <w:p>
      <w:pPr>
        <w:ind w:left="800" w:hanging="405"/>
        <w:spacing w:after="0"/>
        <w:tabs>
          <w:tab w:leader="none" w:pos="800" w:val="left"/>
        </w:tabs>
        <w:numPr>
          <w:ilvl w:val="0"/>
          <w:numId w:val="265"/>
        </w:numPr>
        <w:rPr>
          <w:rFonts w:ascii="Arial" w:cs="Arial" w:eastAsia="Arial" w:hAnsi="Arial"/>
          <w:sz w:val="11"/>
          <w:szCs w:val="11"/>
          <w:color w:val="auto"/>
        </w:rPr>
      </w:pPr>
      <w:r>
        <w:rPr>
          <w:rFonts w:ascii="Arial" w:cs="Arial" w:eastAsia="Arial" w:hAnsi="Arial"/>
          <w:sz w:val="11"/>
          <w:szCs w:val="11"/>
          <w:color w:val="auto"/>
        </w:rPr>
        <w:t>We refer to the Facility Agreement (</w:t>
      </w:r>
      <w:r>
        <w:rPr>
          <w:rFonts w:ascii="Arial" w:cs="Arial" w:eastAsia="Arial" w:hAnsi="Arial"/>
          <w:sz w:val="11"/>
          <w:szCs w:val="11"/>
          <w:b w:val="1"/>
          <w:bCs w:val="1"/>
          <w:color w:val="auto"/>
        </w:rPr>
        <w:t>Facility Agreement</w:t>
      </w:r>
      <w:r>
        <w:rPr>
          <w:rFonts w:ascii="Arial" w:cs="Arial" w:eastAsia="Arial" w:hAnsi="Arial"/>
          <w:sz w:val="11"/>
          <w:szCs w:val="11"/>
          <w:color w:val="auto"/>
        </w:rPr>
        <w:t>) dated [</w:t>
      </w:r>
      <w:r>
        <w:rPr>
          <w:rFonts w:ascii="Arial" w:cs="Arial" w:eastAsia="Arial" w:hAnsi="Arial"/>
          <w:sz w:val="11"/>
          <w:szCs w:val="11"/>
          <w:i w:val="1"/>
          <w:iCs w:val="1"/>
          <w:color w:val="auto"/>
        </w:rPr>
        <w:t>insert date</w:t>
      </w:r>
      <w:r>
        <w:rPr>
          <w:rFonts w:ascii="Arial" w:cs="Arial" w:eastAsia="Arial" w:hAnsi="Arial"/>
          <w:sz w:val="11"/>
          <w:szCs w:val="11"/>
          <w:color w:val="auto"/>
        </w:rPr>
        <w:t>] between, amongst others, Reading Entertainment Australia Pty Ltd</w:t>
      </w:r>
    </w:p>
    <w:p>
      <w:pPr>
        <w:spacing w:after="0" w:line="7" w:lineRule="exact"/>
        <w:rPr>
          <w:rFonts w:ascii="Arial" w:cs="Arial" w:eastAsia="Arial" w:hAnsi="Arial"/>
          <w:sz w:val="11"/>
          <w:szCs w:val="11"/>
          <w:color w:val="auto"/>
        </w:rPr>
      </w:pPr>
    </w:p>
    <w:p>
      <w:pPr>
        <w:ind w:left="800" w:right="600"/>
        <w:spacing w:after="0" w:line="241" w:lineRule="auto"/>
        <w:rPr>
          <w:rFonts w:ascii="Arial" w:cs="Arial" w:eastAsia="Arial" w:hAnsi="Arial"/>
          <w:sz w:val="11"/>
          <w:szCs w:val="11"/>
          <w:color w:val="auto"/>
        </w:rPr>
      </w:pPr>
      <w:r>
        <w:rPr>
          <w:rFonts w:ascii="Arial" w:cs="Arial" w:eastAsia="Arial" w:hAnsi="Arial"/>
          <w:sz w:val="11"/>
          <w:szCs w:val="11"/>
          <w:color w:val="auto"/>
        </w:rPr>
        <w:t>as Borrower and National Australia Bank Limited as Bank. A term which has a defined meaning in the Facility Agreement has the same meaning in this Compliance Certificate.</w:t>
      </w:r>
    </w:p>
    <w:p>
      <w:pPr>
        <w:spacing w:after="0" w:line="31" w:lineRule="exact"/>
        <w:rPr>
          <w:rFonts w:ascii="Arial" w:cs="Arial" w:eastAsia="Arial" w:hAnsi="Arial"/>
          <w:sz w:val="11"/>
          <w:szCs w:val="11"/>
          <w:color w:val="auto"/>
        </w:rPr>
      </w:pPr>
    </w:p>
    <w:p>
      <w:pPr>
        <w:ind w:left="820" w:right="4740"/>
        <w:spacing w:after="0" w:line="325" w:lineRule="auto"/>
        <w:rPr>
          <w:rFonts w:ascii="Arial" w:cs="Arial" w:eastAsia="Arial" w:hAnsi="Arial"/>
          <w:sz w:val="11"/>
          <w:szCs w:val="11"/>
          <w:color w:val="auto"/>
        </w:rPr>
      </w:pPr>
      <w:r>
        <w:rPr>
          <w:rFonts w:ascii="Arial" w:cs="Arial" w:eastAsia="Arial" w:hAnsi="Arial"/>
          <w:sz w:val="11"/>
          <w:szCs w:val="11"/>
          <w:color w:val="auto"/>
        </w:rPr>
        <w:t xml:space="preserve">This is an Interim Compliance Certificate given for the purpose of </w:t>
      </w:r>
      <w:r>
        <w:rPr>
          <w:rFonts w:ascii="Arial" w:cs="Arial" w:eastAsia="Arial" w:hAnsi="Arial"/>
          <w:sz w:val="11"/>
          <w:szCs w:val="11"/>
          <w:b w:val="1"/>
          <w:bCs w:val="1"/>
          <w:color w:val="auto"/>
        </w:rPr>
        <w:t>clause 9.4(c)</w:t>
      </w:r>
      <w:r>
        <w:rPr>
          <w:rFonts w:ascii="Arial" w:cs="Arial" w:eastAsia="Arial" w:hAnsi="Arial"/>
          <w:sz w:val="11"/>
          <w:szCs w:val="11"/>
          <w:color w:val="auto"/>
        </w:rPr>
        <w:t xml:space="preserve"> of the Facility Agreement.</w:t>
      </w:r>
    </w:p>
    <w:p>
      <w:pPr>
        <w:spacing w:after="0" w:line="16" w:lineRule="exact"/>
        <w:rPr>
          <w:sz w:val="20"/>
          <w:szCs w:val="20"/>
          <w:color w:val="auto"/>
        </w:rPr>
      </w:pPr>
    </w:p>
    <w:p>
      <w:pPr>
        <w:ind w:left="800" w:hanging="405"/>
        <w:spacing w:after="0"/>
        <w:tabs>
          <w:tab w:leader="none" w:pos="800" w:val="left"/>
        </w:tabs>
        <w:numPr>
          <w:ilvl w:val="0"/>
          <w:numId w:val="266"/>
        </w:numPr>
        <w:rPr>
          <w:rFonts w:ascii="Arial" w:cs="Arial" w:eastAsia="Arial" w:hAnsi="Arial"/>
          <w:sz w:val="11"/>
          <w:szCs w:val="11"/>
          <w:color w:val="auto"/>
        </w:rPr>
      </w:pPr>
      <w:r>
        <w:rPr>
          <w:rFonts w:ascii="Arial" w:cs="Arial" w:eastAsia="Arial" w:hAnsi="Arial"/>
          <w:sz w:val="11"/>
          <w:szCs w:val="11"/>
          <w:color w:val="auto"/>
        </w:rPr>
        <w:t>We confirm that:</w:t>
      </w:r>
    </w:p>
    <w:p>
      <w:pPr>
        <w:spacing w:after="0" w:line="76" w:lineRule="exact"/>
        <w:rPr>
          <w:rFonts w:ascii="Arial" w:cs="Arial" w:eastAsia="Arial" w:hAnsi="Arial"/>
          <w:sz w:val="11"/>
          <w:szCs w:val="11"/>
          <w:color w:val="auto"/>
        </w:rPr>
      </w:pPr>
    </w:p>
    <w:p>
      <w:pPr>
        <w:ind w:left="1080" w:hanging="280"/>
        <w:spacing w:after="0"/>
        <w:tabs>
          <w:tab w:leader="none" w:pos="1080" w:val="left"/>
        </w:tabs>
        <w:numPr>
          <w:ilvl w:val="1"/>
          <w:numId w:val="266"/>
        </w:numPr>
        <w:rPr>
          <w:rFonts w:ascii="Arial" w:cs="Arial" w:eastAsia="Arial" w:hAnsi="Arial"/>
          <w:sz w:val="11"/>
          <w:szCs w:val="11"/>
          <w:color w:val="auto"/>
        </w:rPr>
      </w:pPr>
      <w:r>
        <w:rPr>
          <w:rFonts w:ascii="Arial" w:cs="Arial" w:eastAsia="Arial" w:hAnsi="Arial"/>
          <w:sz w:val="11"/>
          <w:szCs w:val="11"/>
          <w:color w:val="auto"/>
        </w:rPr>
        <w:t>the Fixed Charges Cover Ratio for the [3, 6 or 12] month period ending</w:t>
      </w:r>
    </w:p>
    <w:p>
      <w:pPr>
        <w:spacing w:after="0" w:line="15" w:lineRule="exact"/>
        <w:rPr>
          <w:sz w:val="20"/>
          <w:szCs w:val="20"/>
          <w:color w:val="auto"/>
        </w:rPr>
      </w:pPr>
    </w:p>
    <w:tbl>
      <w:tblPr>
        <w:tblLayout w:type="fixed"/>
        <w:tblInd w:w="800" w:type="dxa"/>
        <w:tblCellMar>
          <w:top w:w="0" w:type="dxa"/>
          <w:left w:w="0" w:type="dxa"/>
          <w:bottom w:w="0" w:type="dxa"/>
          <w:right w:w="0" w:type="dxa"/>
        </w:tblCellMar>
      </w:tblPr>
      <w:tr>
        <w:trPr>
          <w:trHeight w:val="135"/>
        </w:trPr>
        <w:tc>
          <w:tcPr>
            <w:tcW w:w="200" w:type="dxa"/>
            <w:vAlign w:val="bottom"/>
          </w:tcPr>
          <w:p>
            <w:pPr>
              <w:spacing w:after="0"/>
              <w:rPr>
                <w:sz w:val="11"/>
                <w:szCs w:val="11"/>
                <w:color w:val="auto"/>
              </w:rPr>
            </w:pPr>
          </w:p>
        </w:tc>
        <w:tc>
          <w:tcPr>
            <w:tcW w:w="1560" w:type="dxa"/>
            <w:vAlign w:val="bottom"/>
          </w:tcPr>
          <w:p>
            <w:pPr>
              <w:ind w:left="100"/>
              <w:spacing w:after="0"/>
              <w:rPr>
                <w:sz w:val="20"/>
                <w:szCs w:val="20"/>
                <w:color w:val="auto"/>
              </w:rPr>
            </w:pPr>
            <w:r>
              <w:rPr>
                <w:rFonts w:ascii="Arial" w:cs="Arial" w:eastAsia="Arial" w:hAnsi="Arial"/>
                <w:sz w:val="11"/>
                <w:szCs w:val="11"/>
                <w:i w:val="1"/>
                <w:iCs w:val="1"/>
                <w:color w:val="auto"/>
              </w:rPr>
              <w:t xml:space="preserve">[Calculation Date] </w:t>
            </w:r>
            <w:r>
              <w:rPr>
                <w:rFonts w:ascii="Arial" w:cs="Arial" w:eastAsia="Arial" w:hAnsi="Arial"/>
                <w:sz w:val="11"/>
                <w:szCs w:val="11"/>
                <w:color w:val="auto"/>
              </w:rPr>
              <w:t>was [</w:t>
            </w:r>
          </w:p>
        </w:tc>
        <w:tc>
          <w:tcPr>
            <w:tcW w:w="2500" w:type="dxa"/>
            <w:vAlign w:val="bottom"/>
          </w:tcPr>
          <w:p>
            <w:pPr>
              <w:jc w:val="right"/>
              <w:ind w:right="2028"/>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r>
      <w:tr>
        <w:trPr>
          <w:trHeight w:val="185"/>
        </w:trPr>
        <w:tc>
          <w:tcPr>
            <w:tcW w:w="200" w:type="dxa"/>
            <w:vAlign w:val="bottom"/>
          </w:tcPr>
          <w:p>
            <w:pPr>
              <w:spacing w:after="0"/>
              <w:rPr>
                <w:sz w:val="20"/>
                <w:szCs w:val="20"/>
                <w:color w:val="auto"/>
              </w:rPr>
            </w:pPr>
            <w:r>
              <w:rPr>
                <w:rFonts w:ascii="Arial" w:cs="Arial" w:eastAsia="Arial" w:hAnsi="Arial"/>
                <w:sz w:val="11"/>
                <w:szCs w:val="11"/>
                <w:color w:val="auto"/>
              </w:rPr>
              <w:t>(b)</w:t>
            </w:r>
          </w:p>
        </w:tc>
        <w:tc>
          <w:tcPr>
            <w:tcW w:w="4060" w:type="dxa"/>
            <w:vAlign w:val="bottom"/>
            <w:gridSpan w:val="2"/>
          </w:tcPr>
          <w:p>
            <w:pPr>
              <w:ind w:left="80"/>
              <w:spacing w:after="0"/>
              <w:rPr>
                <w:sz w:val="20"/>
                <w:szCs w:val="20"/>
                <w:color w:val="auto"/>
              </w:rPr>
            </w:pPr>
            <w:r>
              <w:rPr>
                <w:rFonts w:ascii="Arial" w:cs="Arial" w:eastAsia="Arial" w:hAnsi="Arial"/>
                <w:sz w:val="11"/>
                <w:szCs w:val="11"/>
                <w:color w:val="auto"/>
                <w:w w:val="97"/>
              </w:rPr>
              <w:t xml:space="preserve">the Leverage Ratio for the [3, 6 or 12] month period ending </w:t>
            </w:r>
            <w:r>
              <w:rPr>
                <w:rFonts w:ascii="Arial" w:cs="Arial" w:eastAsia="Arial" w:hAnsi="Arial"/>
                <w:sz w:val="11"/>
                <w:szCs w:val="11"/>
                <w:i w:val="1"/>
                <w:iCs w:val="1"/>
                <w:color w:val="auto"/>
                <w:w w:val="97"/>
              </w:rPr>
              <w:t>[Calculation Date]</w:t>
            </w:r>
            <w:r>
              <w:rPr>
                <w:rFonts w:ascii="Arial" w:cs="Arial" w:eastAsia="Arial" w:hAnsi="Arial"/>
                <w:sz w:val="11"/>
                <w:szCs w:val="11"/>
                <w:color w:val="auto"/>
                <w:w w:val="97"/>
              </w:rPr>
              <w:t xml:space="preserve"> was [</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5"/>
        </w:trPr>
        <w:tc>
          <w:tcPr>
            <w:tcW w:w="200" w:type="dxa"/>
            <w:vAlign w:val="bottom"/>
          </w:tcPr>
          <w:p>
            <w:pPr>
              <w:spacing w:after="0"/>
              <w:rPr>
                <w:sz w:val="20"/>
                <w:szCs w:val="20"/>
                <w:color w:val="auto"/>
              </w:rPr>
            </w:pPr>
            <w:r>
              <w:rPr>
                <w:rFonts w:ascii="Arial" w:cs="Arial" w:eastAsia="Arial" w:hAnsi="Arial"/>
                <w:sz w:val="11"/>
                <w:szCs w:val="11"/>
                <w:color w:val="auto"/>
              </w:rPr>
              <w:t>(c)</w:t>
            </w:r>
          </w:p>
        </w:tc>
        <w:tc>
          <w:tcPr>
            <w:tcW w:w="4060" w:type="dxa"/>
            <w:vAlign w:val="bottom"/>
            <w:gridSpan w:val="2"/>
          </w:tcPr>
          <w:p>
            <w:pPr>
              <w:ind w:left="80"/>
              <w:spacing w:after="0"/>
              <w:rPr>
                <w:sz w:val="20"/>
                <w:szCs w:val="20"/>
                <w:color w:val="auto"/>
              </w:rPr>
            </w:pPr>
            <w:r>
              <w:rPr>
                <w:rFonts w:ascii="Arial" w:cs="Arial" w:eastAsia="Arial" w:hAnsi="Arial"/>
                <w:sz w:val="11"/>
                <w:szCs w:val="11"/>
                <w:color w:val="auto"/>
              </w:rPr>
              <w:t xml:space="preserve">the Loan to Value Ratio for the 12 month period ending </w:t>
            </w:r>
            <w:r>
              <w:rPr>
                <w:rFonts w:ascii="Arial" w:cs="Arial" w:eastAsia="Arial" w:hAnsi="Arial"/>
                <w:sz w:val="11"/>
                <w:szCs w:val="11"/>
                <w:i w:val="1"/>
                <w:iCs w:val="1"/>
                <w:color w:val="auto"/>
              </w:rPr>
              <w:t>[Calculation Date]</w:t>
            </w:r>
            <w:r>
              <w:rPr>
                <w:rFonts w:ascii="Arial" w:cs="Arial" w:eastAsia="Arial" w:hAnsi="Arial"/>
                <w:sz w:val="11"/>
                <w:szCs w:val="11"/>
                <w:color w:val="auto"/>
              </w:rPr>
              <w:t xml:space="preserve"> was [</w:t>
            </w:r>
          </w:p>
        </w:tc>
        <w:tc>
          <w:tcPr>
            <w:tcW w:w="340" w:type="dxa"/>
            <w:vAlign w:val="bottom"/>
          </w:tcPr>
          <w:p>
            <w:pPr>
              <w:jc w:val="right"/>
              <w:ind w:right="108"/>
              <w:spacing w:after="0"/>
              <w:rPr>
                <w:sz w:val="20"/>
                <w:szCs w:val="20"/>
                <w:color w:val="auto"/>
              </w:rPr>
            </w:pPr>
            <w:r>
              <w:rPr>
                <w:rFonts w:ascii="Arial" w:cs="Arial" w:eastAsia="Arial" w:hAnsi="Arial"/>
                <w:sz w:val="11"/>
                <w:szCs w:val="11"/>
                <w:color w:val="auto"/>
              </w:rPr>
              <w:t>].</w:t>
            </w:r>
          </w:p>
        </w:tc>
      </w:tr>
    </w:tbl>
    <w:p>
      <w:pPr>
        <w:spacing w:after="0" w:line="33" w:lineRule="exact"/>
        <w:rPr>
          <w:sz w:val="20"/>
          <w:szCs w:val="20"/>
          <w:color w:val="auto"/>
        </w:rPr>
      </w:pPr>
    </w:p>
    <w:p>
      <w:pPr>
        <w:ind w:left="800" w:hanging="405"/>
        <w:spacing w:after="0"/>
        <w:tabs>
          <w:tab w:leader="none" w:pos="800" w:val="left"/>
        </w:tabs>
        <w:numPr>
          <w:ilvl w:val="0"/>
          <w:numId w:val="267"/>
        </w:numPr>
        <w:rPr>
          <w:rFonts w:ascii="Arial" w:cs="Arial" w:eastAsia="Arial" w:hAnsi="Arial"/>
          <w:sz w:val="11"/>
          <w:szCs w:val="11"/>
          <w:color w:val="auto"/>
        </w:rPr>
      </w:pPr>
      <w:r>
        <w:rPr>
          <w:rFonts w:ascii="Arial" w:cs="Arial" w:eastAsia="Arial" w:hAnsi="Arial"/>
          <w:sz w:val="11"/>
          <w:szCs w:val="11"/>
          <w:color w:val="auto"/>
        </w:rPr>
        <w:t>We confirm that, as at the date of this Compliance Certificate:</w:t>
      </w:r>
    </w:p>
    <w:p>
      <w:pPr>
        <w:spacing w:after="0" w:line="65" w:lineRule="exact"/>
        <w:rPr>
          <w:rFonts w:ascii="Arial" w:cs="Arial" w:eastAsia="Arial" w:hAnsi="Arial"/>
          <w:sz w:val="11"/>
          <w:szCs w:val="11"/>
          <w:color w:val="auto"/>
        </w:rPr>
      </w:pPr>
    </w:p>
    <w:p>
      <w:pPr>
        <w:ind w:left="1260" w:right="1840" w:hanging="430"/>
        <w:spacing w:after="0" w:line="243" w:lineRule="auto"/>
        <w:tabs>
          <w:tab w:leader="none" w:pos="1260" w:val="left"/>
        </w:tabs>
        <w:numPr>
          <w:ilvl w:val="1"/>
          <w:numId w:val="267"/>
        </w:numPr>
        <w:rPr>
          <w:rFonts w:ascii="Arial" w:cs="Arial" w:eastAsia="Arial" w:hAnsi="Arial"/>
          <w:sz w:val="11"/>
          <w:szCs w:val="11"/>
          <w:color w:val="auto"/>
        </w:rPr>
      </w:pPr>
      <w:r>
        <w:rPr>
          <w:rFonts w:ascii="Arial" w:cs="Arial" w:eastAsia="Arial" w:hAnsi="Arial"/>
          <w:sz w:val="11"/>
          <w:szCs w:val="11"/>
          <w:color w:val="auto"/>
        </w:rPr>
        <w:t>no Event of Default, Review Event or Potential Event of Default has occurred and is continuing [</w:t>
      </w:r>
      <w:r>
        <w:rPr>
          <w:rFonts w:ascii="Arial" w:cs="Arial" w:eastAsia="Arial" w:hAnsi="Arial"/>
          <w:sz w:val="11"/>
          <w:szCs w:val="11"/>
          <w:i w:val="1"/>
          <w:iCs w:val="1"/>
          <w:color w:val="auto"/>
        </w:rPr>
        <w:t>or provide details of any Event of Default,</w:t>
      </w:r>
      <w:r>
        <w:rPr>
          <w:rFonts w:ascii="Arial" w:cs="Arial" w:eastAsia="Arial" w:hAnsi="Arial"/>
          <w:sz w:val="11"/>
          <w:szCs w:val="11"/>
          <w:color w:val="auto"/>
        </w:rPr>
        <w:t xml:space="preserve"> </w:t>
      </w:r>
      <w:r>
        <w:rPr>
          <w:rFonts w:ascii="Arial" w:cs="Arial" w:eastAsia="Arial" w:hAnsi="Arial"/>
          <w:sz w:val="11"/>
          <w:szCs w:val="11"/>
          <w:i w:val="1"/>
          <w:iCs w:val="1"/>
          <w:color w:val="auto"/>
        </w:rPr>
        <w:t>Review Event or Potential Event of Default</w:t>
      </w:r>
      <w:r>
        <w:rPr>
          <w:rFonts w:ascii="Arial" w:cs="Arial" w:eastAsia="Arial" w:hAnsi="Arial"/>
          <w:sz w:val="11"/>
          <w:szCs w:val="11"/>
          <w:color w:val="auto"/>
        </w:rPr>
        <w:t>]; and</w:t>
      </w:r>
    </w:p>
    <w:p>
      <w:pPr>
        <w:spacing w:after="0" w:line="41" w:lineRule="exact"/>
        <w:rPr>
          <w:sz w:val="20"/>
          <w:szCs w:val="20"/>
          <w:color w:val="auto"/>
        </w:rPr>
      </w:pPr>
    </w:p>
    <w:p>
      <w:pPr>
        <w:ind w:left="1240" w:hanging="425"/>
        <w:spacing w:after="0"/>
        <w:tabs>
          <w:tab w:leader="none" w:pos="1240" w:val="left"/>
        </w:tabs>
        <w:numPr>
          <w:ilvl w:val="0"/>
          <w:numId w:val="268"/>
        </w:numPr>
        <w:rPr>
          <w:rFonts w:ascii="Arial" w:cs="Arial" w:eastAsia="Arial" w:hAnsi="Arial"/>
          <w:sz w:val="11"/>
          <w:szCs w:val="11"/>
          <w:color w:val="auto"/>
        </w:rPr>
      </w:pPr>
      <w:r>
        <w:rPr>
          <w:rFonts w:ascii="Arial" w:cs="Arial" w:eastAsia="Arial" w:hAnsi="Arial"/>
          <w:sz w:val="11"/>
          <w:szCs w:val="11"/>
          <w:color w:val="auto"/>
        </w:rPr>
        <w:t xml:space="preserve">the representations and warranties in </w:t>
      </w:r>
      <w:r>
        <w:rPr>
          <w:rFonts w:ascii="Arial" w:cs="Arial" w:eastAsia="Arial" w:hAnsi="Arial"/>
          <w:sz w:val="11"/>
          <w:szCs w:val="11"/>
          <w:b w:val="1"/>
          <w:bCs w:val="1"/>
          <w:color w:val="auto"/>
        </w:rPr>
        <w:t>clause 8.1</w:t>
      </w:r>
      <w:r>
        <w:rPr>
          <w:rFonts w:ascii="Arial" w:cs="Arial" w:eastAsia="Arial" w:hAnsi="Arial"/>
          <w:sz w:val="11"/>
          <w:szCs w:val="11"/>
          <w:color w:val="auto"/>
        </w:rPr>
        <w:t xml:space="preserve"> of the Facility Agreement which are to be repeated as at the date of this Compliance Certificate are correct.</w:t>
      </w:r>
    </w:p>
    <w:p>
      <w:pPr>
        <w:spacing w:after="0" w:line="52" w:lineRule="exact"/>
        <w:rPr>
          <w:sz w:val="20"/>
          <w:szCs w:val="20"/>
          <w:color w:val="auto"/>
        </w:rPr>
      </w:pPr>
    </w:p>
    <w:p>
      <w:pPr>
        <w:ind w:left="800" w:hanging="405"/>
        <w:spacing w:after="0"/>
        <w:tabs>
          <w:tab w:leader="none" w:pos="800" w:val="left"/>
        </w:tabs>
        <w:numPr>
          <w:ilvl w:val="0"/>
          <w:numId w:val="269"/>
        </w:numPr>
        <w:rPr>
          <w:rFonts w:ascii="Arial" w:cs="Arial" w:eastAsia="Arial" w:hAnsi="Arial"/>
          <w:sz w:val="11"/>
          <w:szCs w:val="11"/>
          <w:color w:val="auto"/>
        </w:rPr>
      </w:pPr>
      <w:r>
        <w:rPr>
          <w:rFonts w:ascii="Arial" w:cs="Arial" w:eastAsia="Arial" w:hAnsi="Arial"/>
          <w:sz w:val="11"/>
          <w:szCs w:val="11"/>
          <w:color w:val="auto"/>
        </w:rPr>
        <w:t>I confirm that the position of the Reading Entertainment Australia Group with respect to the following liabilities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20" w:type="dxa"/>
            <w:vAlign w:val="bottom"/>
          </w:tcPr>
          <w:p>
            <w:pPr>
              <w:ind w:left="3900"/>
              <w:spacing w:after="0"/>
              <w:rPr>
                <w:sz w:val="20"/>
                <w:szCs w:val="20"/>
                <w:color w:val="auto"/>
              </w:rPr>
            </w:pPr>
            <w:r>
              <w:rPr>
                <w:rFonts w:ascii="Arial" w:cs="Arial" w:eastAsia="Arial" w:hAnsi="Arial"/>
                <w:sz w:val="8"/>
                <w:szCs w:val="8"/>
                <w:color w:val="auto"/>
              </w:rPr>
              <w:t>Page 97</w:t>
            </w:r>
          </w:p>
        </w:tc>
      </w:tr>
      <w:tr>
        <w:trPr>
          <w:trHeight w:val="94"/>
        </w:trPr>
        <w:tc>
          <w:tcPr>
            <w:tcW w:w="526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2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80" w:type="dxa"/>
            <w:vAlign w:val="bottom"/>
            <w:tcBorders>
              <w:bottom w:val="single" w:sz="8" w:color="EEEEEE"/>
            </w:tcBorders>
          </w:tcPr>
          <w:p>
            <w:pPr>
              <w:spacing w:after="0"/>
              <w:rPr>
                <w:sz w:val="18"/>
                <w:szCs w:val="18"/>
                <w:color w:val="auto"/>
              </w:rPr>
            </w:pPr>
          </w:p>
        </w:tc>
        <w:tc>
          <w:tcPr>
            <w:tcW w:w="42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807" w:right="1060" w:bottom="1440" w:gutter="0" w:footer="0" w:header="0"/>
          <w:type w:val="continuous"/>
        </w:sectPr>
      </w:pPr>
    </w:p>
    <w:bookmarkStart w:id="163" w:name="page164"/>
    <w:bookmarkEnd w:id="163"/>
    <w:tbl>
      <w:tblPr>
        <w:tblLayout w:type="fixed"/>
        <w:tblInd w:w="350" w:type="dxa"/>
        <w:tblCellMar>
          <w:top w:w="0" w:type="dxa"/>
          <w:left w:w="0" w:type="dxa"/>
          <w:bottom w:w="0" w:type="dxa"/>
          <w:right w:w="0" w:type="dxa"/>
        </w:tblCellMar>
      </w:tblPr>
      <w:tr>
        <w:trPr>
          <w:trHeight w:val="144"/>
        </w:trPr>
        <w:tc>
          <w:tcPr>
            <w:tcW w:w="1400" w:type="dxa"/>
            <w:vAlign w:val="bottom"/>
            <w:tcBorders>
              <w:top w:val="single" w:sz="8" w:color="auto"/>
              <w:left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9"/>
                <w:szCs w:val="9"/>
                <w:b w:val="1"/>
                <w:bCs w:val="1"/>
                <w:color w:val="auto"/>
              </w:rPr>
              <w:t>Lodgement Cycle</w:t>
            </w:r>
          </w:p>
        </w:tc>
        <w:tc>
          <w:tcPr>
            <w:tcW w:w="84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9"/>
                <w:szCs w:val="9"/>
                <w:b w:val="1"/>
                <w:bCs w:val="1"/>
                <w:color w:val="auto"/>
              </w:rPr>
              <w:t>If Current</w:t>
            </w:r>
          </w:p>
        </w:tc>
        <w:tc>
          <w:tcPr>
            <w:tcW w:w="780" w:type="dxa"/>
            <w:vAlign w:val="bottom"/>
            <w:tcBorders>
              <w:top w:val="single" w:sz="8" w:color="auto"/>
              <w:right w:val="single" w:sz="8" w:color="auto"/>
            </w:tcBorders>
          </w:tcPr>
          <w:p>
            <w:pPr>
              <w:spacing w:after="0"/>
              <w:rPr>
                <w:sz w:val="12"/>
                <w:szCs w:val="12"/>
                <w:color w:val="auto"/>
              </w:rPr>
            </w:pPr>
          </w:p>
        </w:tc>
        <w:tc>
          <w:tcPr>
            <w:tcW w:w="2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9"/>
                <w:szCs w:val="9"/>
                <w:b w:val="1"/>
                <w:bCs w:val="1"/>
                <w:color w:val="auto"/>
              </w:rPr>
              <w:t>Comments</w:t>
            </w:r>
          </w:p>
        </w:tc>
        <w:tc>
          <w:tcPr>
            <w:tcW w:w="0" w:type="dxa"/>
            <w:vAlign w:val="bottom"/>
          </w:tcPr>
          <w:p>
            <w:pPr>
              <w:spacing w:after="0"/>
              <w:rPr>
                <w:sz w:val="1"/>
                <w:szCs w:val="1"/>
                <w:color w:val="auto"/>
              </w:rPr>
            </w:pPr>
          </w:p>
        </w:tc>
      </w:tr>
      <w:tr>
        <w:trPr>
          <w:trHeight w:val="109"/>
        </w:trPr>
        <w:tc>
          <w:tcPr>
            <w:tcW w:w="140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9"/>
                <w:szCs w:val="9"/>
                <w:b w:val="1"/>
                <w:bCs w:val="1"/>
                <w:color w:val="auto"/>
              </w:rPr>
              <w:t>(eg –</w:t>
            </w: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Ann/Qtr/Mth</w:t>
            </w: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9"/>
                <w:szCs w:val="9"/>
                <w:b w:val="1"/>
                <w:bCs w:val="1"/>
                <w:color w:val="auto"/>
              </w:rPr>
              <w:t>Current (Yes/No)</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9"/>
                <w:szCs w:val="9"/>
                <w:b w:val="1"/>
                <w:bCs w:val="1"/>
                <w:color w:val="auto"/>
              </w:rPr>
              <w:t>Last</w:t>
            </w:r>
          </w:p>
        </w:tc>
        <w:tc>
          <w:tcPr>
            <w:tcW w:w="78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9"/>
                <w:szCs w:val="9"/>
                <w:b w:val="1"/>
                <w:bCs w:val="1"/>
                <w:color w:val="auto"/>
              </w:rPr>
              <w:t>Repayment Arrangement entered with ATO)</w:t>
            </w:r>
          </w:p>
        </w:tc>
        <w:tc>
          <w:tcPr>
            <w:tcW w:w="0" w:type="dxa"/>
            <w:vAlign w:val="bottom"/>
          </w:tcPr>
          <w:p>
            <w:pPr>
              <w:spacing w:after="0"/>
              <w:rPr>
                <w:sz w:val="1"/>
                <w:szCs w:val="1"/>
                <w:color w:val="auto"/>
              </w:rPr>
            </w:pPr>
          </w:p>
        </w:tc>
      </w:tr>
      <w:tr>
        <w:trPr>
          <w:trHeight w:val="143"/>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b w:val="1"/>
                <w:bCs w:val="1"/>
                <w:color w:val="auto"/>
              </w:rPr>
              <w:t>Liability Description</w:t>
            </w:r>
          </w:p>
        </w:tc>
        <w:tc>
          <w:tcPr>
            <w:tcW w:w="380" w:type="dxa"/>
            <w:vAlign w:val="bottom"/>
            <w:gridSpan w:val="2"/>
          </w:tcPr>
          <w:p>
            <w:pPr>
              <w:ind w:left="40"/>
              <w:spacing w:after="0"/>
              <w:rPr>
                <w:sz w:val="20"/>
                <w:szCs w:val="20"/>
                <w:color w:val="auto"/>
              </w:rPr>
            </w:pPr>
            <w:r>
              <w:rPr>
                <w:rFonts w:ascii="Arial" w:cs="Arial" w:eastAsia="Arial" w:hAnsi="Arial"/>
                <w:sz w:val="9"/>
                <w:szCs w:val="9"/>
                <w:b w:val="1"/>
                <w:bCs w:val="1"/>
                <w:color w:val="auto"/>
              </w:rPr>
              <w:t>(Please</w:t>
            </w:r>
          </w:p>
        </w:tc>
        <w:tc>
          <w:tcPr>
            <w:tcW w:w="4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9"/>
                <w:szCs w:val="9"/>
                <w:b w:val="1"/>
                <w:bCs w:val="1"/>
                <w:color w:val="auto"/>
              </w:rPr>
              <w:t>(Please Circle)</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9"/>
                <w:szCs w:val="9"/>
                <w:b w:val="1"/>
                <w:bCs w:val="1"/>
                <w:color w:val="auto"/>
              </w:rPr>
              <w:t>Payment Details</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9"/>
                <w:szCs w:val="9"/>
                <w:b w:val="1"/>
                <w:bCs w:val="1"/>
                <w:color w:val="auto"/>
              </w:rPr>
              <w:t>If Not Current</w:t>
            </w:r>
          </w:p>
        </w:tc>
        <w:tc>
          <w:tcPr>
            <w:tcW w:w="2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400" w:type="dxa"/>
            <w:vAlign w:val="bottom"/>
            <w:tcBorders>
              <w:left w:val="single" w:sz="8" w:color="auto"/>
              <w:right w:val="single" w:sz="8" w:color="auto"/>
            </w:tcBorders>
          </w:tcPr>
          <w:p>
            <w:pPr>
              <w:spacing w:after="0"/>
              <w:rPr>
                <w:sz w:val="8"/>
                <w:szCs w:val="8"/>
                <w:color w:val="auto"/>
              </w:rPr>
            </w:pPr>
          </w:p>
        </w:tc>
        <w:tc>
          <w:tcPr>
            <w:tcW w:w="380" w:type="dxa"/>
            <w:vAlign w:val="bottom"/>
            <w:gridSpan w:val="2"/>
          </w:tcPr>
          <w:p>
            <w:pPr>
              <w:ind w:left="40"/>
              <w:spacing w:after="0" w:line="96" w:lineRule="exact"/>
              <w:rPr>
                <w:sz w:val="20"/>
                <w:szCs w:val="20"/>
                <w:color w:val="auto"/>
              </w:rPr>
            </w:pPr>
            <w:r>
              <w:rPr>
                <w:rFonts w:ascii="Arial" w:cs="Arial" w:eastAsia="Arial" w:hAnsi="Arial"/>
                <w:sz w:val="9"/>
                <w:szCs w:val="9"/>
                <w:b w:val="1"/>
                <w:bCs w:val="1"/>
                <w:color w:val="auto"/>
              </w:rPr>
              <w:t>Circle)</w:t>
            </w:r>
          </w:p>
        </w:tc>
        <w:tc>
          <w:tcPr>
            <w:tcW w:w="48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ind w:left="20"/>
              <w:spacing w:after="0" w:line="96" w:lineRule="exact"/>
              <w:rPr>
                <w:sz w:val="20"/>
                <w:szCs w:val="20"/>
                <w:color w:val="auto"/>
              </w:rPr>
            </w:pPr>
            <w:r>
              <w:rPr>
                <w:rFonts w:ascii="Arial" w:cs="Arial" w:eastAsia="Arial" w:hAnsi="Arial"/>
                <w:sz w:val="9"/>
                <w:szCs w:val="9"/>
                <w:b w:val="1"/>
                <w:bCs w:val="1"/>
                <w:color w:val="auto"/>
              </w:rPr>
              <w:t>(Use</w:t>
            </w:r>
          </w:p>
        </w:tc>
        <w:tc>
          <w:tcPr>
            <w:tcW w:w="780" w:type="dxa"/>
            <w:vAlign w:val="bottom"/>
            <w:tcBorders>
              <w:right w:val="single" w:sz="8" w:color="auto"/>
            </w:tcBorders>
            <w:vMerge w:val="restart"/>
          </w:tcPr>
          <w:p>
            <w:pPr>
              <w:ind w:left="20"/>
              <w:spacing w:after="0"/>
              <w:rPr>
                <w:sz w:val="20"/>
                <w:szCs w:val="20"/>
                <w:color w:val="auto"/>
              </w:rPr>
            </w:pPr>
            <w:r>
              <w:rPr>
                <w:rFonts w:ascii="Arial" w:cs="Arial" w:eastAsia="Arial" w:hAnsi="Arial"/>
                <w:sz w:val="9"/>
                <w:szCs w:val="9"/>
                <w:b w:val="1"/>
                <w:bCs w:val="1"/>
                <w:color w:val="auto"/>
              </w:rPr>
              <w:t>Outstanding</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400" w:type="dxa"/>
            <w:vAlign w:val="bottom"/>
            <w:tcBorders>
              <w:left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9"/>
                <w:szCs w:val="9"/>
                <w:b w:val="1"/>
                <w:bCs w:val="1"/>
                <w:color w:val="auto"/>
              </w:rPr>
              <w:t>brackets where</w:t>
            </w:r>
          </w:p>
        </w:tc>
        <w:tc>
          <w:tcPr>
            <w:tcW w:w="780" w:type="dxa"/>
            <w:vAlign w:val="bottom"/>
            <w:tcBorders>
              <w:right w:val="single" w:sz="8" w:color="auto"/>
            </w:tcBorders>
            <w:vMerge w:val="continue"/>
          </w:tcPr>
          <w:p>
            <w:pPr>
              <w:spacing w:after="0"/>
              <w:rPr>
                <w:sz w:val="4"/>
                <w:szCs w:val="4"/>
                <w:color w:val="auto"/>
              </w:rPr>
            </w:pPr>
          </w:p>
        </w:tc>
        <w:tc>
          <w:tcPr>
            <w:tcW w:w="2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400" w:type="dxa"/>
            <w:vAlign w:val="bottom"/>
            <w:tcBorders>
              <w:left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94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ind w:left="20"/>
              <w:spacing w:after="0"/>
              <w:rPr>
                <w:sz w:val="20"/>
                <w:szCs w:val="20"/>
                <w:color w:val="auto"/>
              </w:rPr>
            </w:pPr>
            <w:r>
              <w:rPr>
                <w:rFonts w:ascii="Arial" w:cs="Arial" w:eastAsia="Arial" w:hAnsi="Arial"/>
                <w:sz w:val="9"/>
                <w:szCs w:val="9"/>
                <w:b w:val="1"/>
                <w:bCs w:val="1"/>
                <w:color w:val="auto"/>
              </w:rPr>
              <w:t>Details</w:t>
            </w:r>
          </w:p>
        </w:tc>
        <w:tc>
          <w:tcPr>
            <w:tcW w:w="2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400" w:type="dxa"/>
            <w:vAlign w:val="bottom"/>
            <w:tcBorders>
              <w:left w:val="single" w:sz="8" w:color="auto"/>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9"/>
                <w:szCs w:val="9"/>
                <w:b w:val="1"/>
                <w:bCs w:val="1"/>
                <w:color w:val="auto"/>
              </w:rPr>
              <w:t>refund)</w:t>
            </w:r>
          </w:p>
        </w:tc>
        <w:tc>
          <w:tcPr>
            <w:tcW w:w="78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vMerge w:val="continue"/>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GST</w:t>
            </w:r>
          </w:p>
        </w:tc>
        <w:tc>
          <w:tcPr>
            <w:tcW w:w="160" w:type="dxa"/>
            <w:vAlign w:val="bottom"/>
          </w:tcPr>
          <w:p>
            <w:pPr>
              <w:ind w:left="40"/>
              <w:spacing w:after="0"/>
              <w:rPr>
                <w:sz w:val="20"/>
                <w:szCs w:val="20"/>
                <w:color w:val="auto"/>
              </w:rPr>
            </w:pPr>
            <w:r>
              <w:rPr>
                <w:rFonts w:ascii="Arial" w:cs="Arial" w:eastAsia="Arial" w:hAnsi="Arial"/>
                <w:sz w:val="9"/>
                <w:szCs w:val="9"/>
                <w:color w:val="auto"/>
              </w:rPr>
              <w:t>A</w:t>
            </w:r>
          </w:p>
        </w:tc>
        <w:tc>
          <w:tcPr>
            <w:tcW w:w="220" w:type="dxa"/>
            <w:vAlign w:val="bottom"/>
          </w:tcPr>
          <w:p>
            <w:pPr>
              <w:ind w:left="40"/>
              <w:spacing w:after="0"/>
              <w:rPr>
                <w:sz w:val="20"/>
                <w:szCs w:val="20"/>
                <w:color w:val="auto"/>
              </w:rPr>
            </w:pPr>
            <w:r>
              <w:rPr>
                <w:rFonts w:ascii="Arial" w:cs="Arial" w:eastAsia="Arial" w:hAnsi="Arial"/>
                <w:sz w:val="9"/>
                <w:szCs w:val="9"/>
                <w:color w:val="auto"/>
              </w:rPr>
              <w:t>Q</w:t>
            </w:r>
          </w:p>
        </w:tc>
        <w:tc>
          <w:tcPr>
            <w:tcW w:w="480" w:type="dxa"/>
            <w:vAlign w:val="bottom"/>
            <w:tcBorders>
              <w:right w:val="single" w:sz="8" w:color="auto"/>
            </w:tcBorders>
          </w:tcPr>
          <w:p>
            <w:pPr>
              <w:ind w:left="60"/>
              <w:spacing w:after="0"/>
              <w:rPr>
                <w:sz w:val="20"/>
                <w:szCs w:val="20"/>
                <w:color w:val="auto"/>
              </w:rPr>
            </w:pPr>
            <w:r>
              <w:rPr>
                <w:rFonts w:ascii="Arial" w:cs="Arial" w:eastAsia="Arial" w:hAnsi="Arial"/>
                <w:sz w:val="9"/>
                <w:szCs w:val="9"/>
                <w:color w:val="auto"/>
              </w:rPr>
              <w:t>M</w:t>
            </w: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Yes</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Amt:</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Amt:</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1400" w:type="dxa"/>
            <w:vAlign w:val="bottom"/>
            <w:tcBorders>
              <w:left w:val="single" w:sz="8" w:color="auto"/>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No</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400" w:type="dxa"/>
            <w:vAlign w:val="bottom"/>
            <w:tcBorders>
              <w:left w:val="single" w:sz="8" w:color="auto"/>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00" w:type="dxa"/>
            <w:vAlign w:val="bottom"/>
            <w:tcBorders>
              <w:left w:val="single" w:sz="8" w:color="auto"/>
              <w:right w:val="single" w:sz="8" w:color="auto"/>
            </w:tcBorders>
          </w:tcPr>
          <w:p>
            <w:pPr>
              <w:ind w:left="60"/>
              <w:spacing w:after="0" w:line="95" w:lineRule="exact"/>
              <w:rPr>
                <w:sz w:val="20"/>
                <w:szCs w:val="20"/>
                <w:color w:val="auto"/>
              </w:rPr>
            </w:pPr>
            <w:r>
              <w:rPr>
                <w:rFonts w:ascii="Arial" w:cs="Arial" w:eastAsia="Arial" w:hAnsi="Arial"/>
                <w:sz w:val="9"/>
                <w:szCs w:val="9"/>
                <w:color w:val="auto"/>
              </w:rPr>
              <w:t>PAYG-</w:t>
            </w:r>
          </w:p>
        </w:tc>
        <w:tc>
          <w:tcPr>
            <w:tcW w:w="160" w:type="dxa"/>
            <w:vAlign w:val="bottom"/>
          </w:tcPr>
          <w:p>
            <w:pPr>
              <w:ind w:left="40"/>
              <w:spacing w:after="0" w:line="95" w:lineRule="exact"/>
              <w:rPr>
                <w:sz w:val="20"/>
                <w:szCs w:val="20"/>
                <w:color w:val="auto"/>
              </w:rPr>
            </w:pPr>
            <w:r>
              <w:rPr>
                <w:rFonts w:ascii="Arial" w:cs="Arial" w:eastAsia="Arial" w:hAnsi="Arial"/>
                <w:sz w:val="9"/>
                <w:szCs w:val="9"/>
                <w:color w:val="auto"/>
              </w:rPr>
              <w:t>A</w:t>
            </w:r>
          </w:p>
        </w:tc>
        <w:tc>
          <w:tcPr>
            <w:tcW w:w="220" w:type="dxa"/>
            <w:vAlign w:val="bottom"/>
          </w:tcPr>
          <w:p>
            <w:pPr>
              <w:ind w:left="40"/>
              <w:spacing w:after="0" w:line="95" w:lineRule="exact"/>
              <w:rPr>
                <w:sz w:val="20"/>
                <w:szCs w:val="20"/>
                <w:color w:val="auto"/>
              </w:rPr>
            </w:pPr>
            <w:r>
              <w:rPr>
                <w:rFonts w:ascii="Arial" w:cs="Arial" w:eastAsia="Arial" w:hAnsi="Arial"/>
                <w:sz w:val="9"/>
                <w:szCs w:val="9"/>
                <w:color w:val="auto"/>
              </w:rPr>
              <w:t>Q</w:t>
            </w:r>
          </w:p>
        </w:tc>
        <w:tc>
          <w:tcPr>
            <w:tcW w:w="480" w:type="dxa"/>
            <w:vAlign w:val="bottom"/>
            <w:tcBorders>
              <w:right w:val="single" w:sz="8" w:color="auto"/>
            </w:tcBorders>
          </w:tcPr>
          <w:p>
            <w:pPr>
              <w:ind w:left="60"/>
              <w:spacing w:after="0" w:line="95" w:lineRule="exact"/>
              <w:rPr>
                <w:sz w:val="20"/>
                <w:szCs w:val="20"/>
                <w:color w:val="auto"/>
              </w:rPr>
            </w:pPr>
            <w:r>
              <w:rPr>
                <w:rFonts w:ascii="Arial" w:cs="Arial" w:eastAsia="Arial" w:hAnsi="Arial"/>
                <w:sz w:val="9"/>
                <w:szCs w:val="9"/>
                <w:color w:val="auto"/>
              </w:rPr>
              <w:t>M</w:t>
            </w:r>
          </w:p>
        </w:tc>
        <w:tc>
          <w:tcPr>
            <w:tcW w:w="840" w:type="dxa"/>
            <w:vAlign w:val="bottom"/>
            <w:tcBorders>
              <w:right w:val="single" w:sz="8" w:color="auto"/>
            </w:tcBorders>
          </w:tcPr>
          <w:p>
            <w:pPr>
              <w:ind w:left="40"/>
              <w:spacing w:after="0" w:line="95" w:lineRule="exact"/>
              <w:rPr>
                <w:sz w:val="20"/>
                <w:szCs w:val="20"/>
                <w:color w:val="auto"/>
              </w:rPr>
            </w:pPr>
            <w:r>
              <w:rPr>
                <w:rFonts w:ascii="Arial" w:cs="Arial" w:eastAsia="Arial" w:hAnsi="Arial"/>
                <w:sz w:val="9"/>
                <w:szCs w:val="9"/>
                <w:color w:val="auto"/>
              </w:rPr>
              <w:t>Yes</w:t>
            </w:r>
          </w:p>
        </w:tc>
        <w:tc>
          <w:tcPr>
            <w:tcW w:w="940" w:type="dxa"/>
            <w:vAlign w:val="bottom"/>
            <w:tcBorders>
              <w:right w:val="single" w:sz="8" w:color="auto"/>
            </w:tcBorders>
          </w:tcPr>
          <w:p>
            <w:pPr>
              <w:ind w:left="20"/>
              <w:spacing w:after="0" w:line="95" w:lineRule="exact"/>
              <w:rPr>
                <w:sz w:val="20"/>
                <w:szCs w:val="20"/>
                <w:color w:val="auto"/>
              </w:rPr>
            </w:pPr>
            <w:r>
              <w:rPr>
                <w:rFonts w:ascii="Arial" w:cs="Arial" w:eastAsia="Arial" w:hAnsi="Arial"/>
                <w:sz w:val="9"/>
                <w:szCs w:val="9"/>
                <w:color w:val="auto"/>
              </w:rPr>
              <w:t>Amt:</w:t>
            </w:r>
          </w:p>
        </w:tc>
        <w:tc>
          <w:tcPr>
            <w:tcW w:w="780" w:type="dxa"/>
            <w:vAlign w:val="bottom"/>
            <w:tcBorders>
              <w:right w:val="single" w:sz="8" w:color="auto"/>
            </w:tcBorders>
          </w:tcPr>
          <w:p>
            <w:pPr>
              <w:ind w:left="20"/>
              <w:spacing w:after="0" w:line="95" w:lineRule="exact"/>
              <w:rPr>
                <w:sz w:val="20"/>
                <w:szCs w:val="20"/>
                <w:color w:val="auto"/>
              </w:rPr>
            </w:pPr>
            <w:r>
              <w:rPr>
                <w:rFonts w:ascii="Arial" w:cs="Arial" w:eastAsia="Arial" w:hAnsi="Arial"/>
                <w:sz w:val="9"/>
                <w:szCs w:val="9"/>
                <w:color w:val="auto"/>
              </w:rPr>
              <w:t>Amt:</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Withholding</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No</w:t>
            </w:r>
          </w:p>
        </w:tc>
        <w:tc>
          <w:tcPr>
            <w:tcW w:w="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400" w:type="dxa"/>
            <w:vAlign w:val="bottom"/>
            <w:tcBorders>
              <w:left w:val="single" w:sz="8" w:color="auto"/>
              <w:right w:val="single" w:sz="8" w:color="auto"/>
            </w:tcBorders>
          </w:tcPr>
          <w:p>
            <w:pPr>
              <w:ind w:left="60"/>
              <w:spacing w:after="0" w:line="95" w:lineRule="exact"/>
              <w:rPr>
                <w:sz w:val="20"/>
                <w:szCs w:val="20"/>
                <w:color w:val="auto"/>
              </w:rPr>
            </w:pPr>
            <w:r>
              <w:rPr>
                <w:rFonts w:ascii="Arial" w:cs="Arial" w:eastAsia="Arial" w:hAnsi="Arial"/>
                <w:sz w:val="9"/>
                <w:szCs w:val="9"/>
                <w:color w:val="auto"/>
              </w:rPr>
              <w:t>PAYG-</w:t>
            </w:r>
          </w:p>
        </w:tc>
        <w:tc>
          <w:tcPr>
            <w:tcW w:w="160" w:type="dxa"/>
            <w:vAlign w:val="bottom"/>
          </w:tcPr>
          <w:p>
            <w:pPr>
              <w:ind w:left="40"/>
              <w:spacing w:after="0" w:line="95" w:lineRule="exact"/>
              <w:rPr>
                <w:sz w:val="20"/>
                <w:szCs w:val="20"/>
                <w:color w:val="auto"/>
              </w:rPr>
            </w:pPr>
            <w:r>
              <w:rPr>
                <w:rFonts w:ascii="Arial" w:cs="Arial" w:eastAsia="Arial" w:hAnsi="Arial"/>
                <w:sz w:val="9"/>
                <w:szCs w:val="9"/>
                <w:color w:val="auto"/>
              </w:rPr>
              <w:t>A</w:t>
            </w:r>
          </w:p>
        </w:tc>
        <w:tc>
          <w:tcPr>
            <w:tcW w:w="220" w:type="dxa"/>
            <w:vAlign w:val="bottom"/>
          </w:tcPr>
          <w:p>
            <w:pPr>
              <w:ind w:left="40"/>
              <w:spacing w:after="0" w:line="95" w:lineRule="exact"/>
              <w:rPr>
                <w:sz w:val="20"/>
                <w:szCs w:val="20"/>
                <w:color w:val="auto"/>
              </w:rPr>
            </w:pPr>
            <w:r>
              <w:rPr>
                <w:rFonts w:ascii="Arial" w:cs="Arial" w:eastAsia="Arial" w:hAnsi="Arial"/>
                <w:sz w:val="9"/>
                <w:szCs w:val="9"/>
                <w:color w:val="auto"/>
              </w:rPr>
              <w:t>Q</w:t>
            </w:r>
          </w:p>
        </w:tc>
        <w:tc>
          <w:tcPr>
            <w:tcW w:w="480" w:type="dxa"/>
            <w:vAlign w:val="bottom"/>
            <w:tcBorders>
              <w:right w:val="single" w:sz="8" w:color="auto"/>
            </w:tcBorders>
          </w:tcPr>
          <w:p>
            <w:pPr>
              <w:ind w:left="60"/>
              <w:spacing w:after="0" w:line="95" w:lineRule="exact"/>
              <w:rPr>
                <w:sz w:val="20"/>
                <w:szCs w:val="20"/>
                <w:color w:val="auto"/>
              </w:rPr>
            </w:pPr>
            <w:r>
              <w:rPr>
                <w:rFonts w:ascii="Arial" w:cs="Arial" w:eastAsia="Arial" w:hAnsi="Arial"/>
                <w:sz w:val="9"/>
                <w:szCs w:val="9"/>
                <w:color w:val="auto"/>
              </w:rPr>
              <w:t>M</w:t>
            </w:r>
          </w:p>
        </w:tc>
        <w:tc>
          <w:tcPr>
            <w:tcW w:w="840" w:type="dxa"/>
            <w:vAlign w:val="bottom"/>
            <w:tcBorders>
              <w:right w:val="single" w:sz="8" w:color="auto"/>
            </w:tcBorders>
          </w:tcPr>
          <w:p>
            <w:pPr>
              <w:ind w:left="40"/>
              <w:spacing w:after="0" w:line="95" w:lineRule="exact"/>
              <w:rPr>
                <w:sz w:val="20"/>
                <w:szCs w:val="20"/>
                <w:color w:val="auto"/>
              </w:rPr>
            </w:pPr>
            <w:r>
              <w:rPr>
                <w:rFonts w:ascii="Arial" w:cs="Arial" w:eastAsia="Arial" w:hAnsi="Arial"/>
                <w:sz w:val="9"/>
                <w:szCs w:val="9"/>
                <w:color w:val="auto"/>
              </w:rPr>
              <w:t>Yes</w:t>
            </w:r>
          </w:p>
        </w:tc>
        <w:tc>
          <w:tcPr>
            <w:tcW w:w="940" w:type="dxa"/>
            <w:vAlign w:val="bottom"/>
            <w:tcBorders>
              <w:right w:val="single" w:sz="8" w:color="auto"/>
            </w:tcBorders>
          </w:tcPr>
          <w:p>
            <w:pPr>
              <w:ind w:left="20"/>
              <w:spacing w:after="0" w:line="95" w:lineRule="exact"/>
              <w:rPr>
                <w:sz w:val="20"/>
                <w:szCs w:val="20"/>
                <w:color w:val="auto"/>
              </w:rPr>
            </w:pPr>
            <w:r>
              <w:rPr>
                <w:rFonts w:ascii="Arial" w:cs="Arial" w:eastAsia="Arial" w:hAnsi="Arial"/>
                <w:sz w:val="9"/>
                <w:szCs w:val="9"/>
                <w:color w:val="auto"/>
              </w:rPr>
              <w:t>Amt:</w:t>
            </w:r>
          </w:p>
        </w:tc>
        <w:tc>
          <w:tcPr>
            <w:tcW w:w="780" w:type="dxa"/>
            <w:vAlign w:val="bottom"/>
            <w:tcBorders>
              <w:right w:val="single" w:sz="8" w:color="auto"/>
            </w:tcBorders>
          </w:tcPr>
          <w:p>
            <w:pPr>
              <w:ind w:left="20"/>
              <w:spacing w:after="0" w:line="95" w:lineRule="exact"/>
              <w:rPr>
                <w:sz w:val="20"/>
                <w:szCs w:val="20"/>
                <w:color w:val="auto"/>
              </w:rPr>
            </w:pPr>
            <w:r>
              <w:rPr>
                <w:rFonts w:ascii="Arial" w:cs="Arial" w:eastAsia="Arial" w:hAnsi="Arial"/>
                <w:sz w:val="9"/>
                <w:szCs w:val="9"/>
                <w:color w:val="auto"/>
              </w:rPr>
              <w:t>Amt:</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Instalments (Income Tax)</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No</w:t>
            </w:r>
          </w:p>
        </w:tc>
        <w:tc>
          <w:tcPr>
            <w:tcW w:w="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Employer</w:t>
            </w:r>
          </w:p>
        </w:tc>
        <w:tc>
          <w:tcPr>
            <w:tcW w:w="160" w:type="dxa"/>
            <w:vAlign w:val="bottom"/>
          </w:tcPr>
          <w:p>
            <w:pPr>
              <w:spacing w:after="0"/>
              <w:rPr>
                <w:sz w:val="8"/>
                <w:szCs w:val="8"/>
                <w:color w:val="auto"/>
              </w:rPr>
            </w:pPr>
          </w:p>
        </w:tc>
        <w:tc>
          <w:tcPr>
            <w:tcW w:w="220" w:type="dxa"/>
            <w:vAlign w:val="bottom"/>
          </w:tcPr>
          <w:p>
            <w:pPr>
              <w:ind w:left="80"/>
              <w:spacing w:after="0"/>
              <w:rPr>
                <w:sz w:val="20"/>
                <w:szCs w:val="20"/>
                <w:color w:val="auto"/>
              </w:rPr>
            </w:pPr>
            <w:r>
              <w:rPr>
                <w:rFonts w:ascii="Arial" w:cs="Arial" w:eastAsia="Arial" w:hAnsi="Arial"/>
                <w:sz w:val="9"/>
                <w:szCs w:val="9"/>
                <w:color w:val="auto"/>
              </w:rPr>
              <w:t>Q</w:t>
            </w:r>
          </w:p>
        </w:tc>
        <w:tc>
          <w:tcPr>
            <w:tcW w:w="480" w:type="dxa"/>
            <w:vAlign w:val="bottom"/>
            <w:tcBorders>
              <w:right w:val="single" w:sz="8" w:color="auto"/>
            </w:tcBorders>
          </w:tcPr>
          <w:p>
            <w:pPr>
              <w:ind w:left="280"/>
              <w:spacing w:after="0"/>
              <w:rPr>
                <w:sz w:val="20"/>
                <w:szCs w:val="20"/>
                <w:color w:val="auto"/>
              </w:rPr>
            </w:pPr>
            <w:r>
              <w:rPr>
                <w:rFonts w:ascii="Arial" w:cs="Arial" w:eastAsia="Arial" w:hAnsi="Arial"/>
                <w:sz w:val="9"/>
                <w:szCs w:val="9"/>
                <w:color w:val="auto"/>
              </w:rPr>
              <w:t>M</w:t>
            </w: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Yes</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Amt:</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Amt:</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Superannuation Contributions</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40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right w:val="single" w:sz="8" w:color="auto"/>
            </w:tcBorders>
          </w:tcPr>
          <w:p>
            <w:pPr>
              <w:ind w:left="280"/>
              <w:spacing w:after="0"/>
              <w:rPr>
                <w:sz w:val="20"/>
                <w:szCs w:val="20"/>
                <w:color w:val="auto"/>
              </w:rPr>
            </w:pPr>
            <w:r>
              <w:rPr>
                <w:rFonts w:ascii="Arial" w:cs="Arial" w:eastAsia="Arial" w:hAnsi="Arial"/>
                <w:sz w:val="9"/>
                <w:szCs w:val="9"/>
                <w:color w:val="auto"/>
              </w:rPr>
              <w:t>%</w:t>
            </w: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No</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2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Payroll Tax</w:t>
            </w:r>
          </w:p>
        </w:tc>
        <w:tc>
          <w:tcPr>
            <w:tcW w:w="160" w:type="dxa"/>
            <w:vAlign w:val="bottom"/>
          </w:tcPr>
          <w:p>
            <w:pPr>
              <w:ind w:left="40"/>
              <w:spacing w:after="0"/>
              <w:rPr>
                <w:sz w:val="20"/>
                <w:szCs w:val="20"/>
                <w:color w:val="auto"/>
              </w:rPr>
            </w:pPr>
            <w:r>
              <w:rPr>
                <w:rFonts w:ascii="Arial" w:cs="Arial" w:eastAsia="Arial" w:hAnsi="Arial"/>
                <w:sz w:val="9"/>
                <w:szCs w:val="9"/>
                <w:color w:val="auto"/>
              </w:rPr>
              <w:t>A</w:t>
            </w:r>
          </w:p>
        </w:tc>
        <w:tc>
          <w:tcPr>
            <w:tcW w:w="220" w:type="dxa"/>
            <w:vAlign w:val="bottom"/>
          </w:tcPr>
          <w:p>
            <w:pPr>
              <w:spacing w:after="0"/>
              <w:rPr>
                <w:sz w:val="9"/>
                <w:szCs w:val="9"/>
                <w:color w:val="auto"/>
              </w:rPr>
            </w:pP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M</w:t>
            </w: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Yes</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Amt:</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Amt:</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No</w:t>
            </w:r>
          </w:p>
        </w:tc>
        <w:tc>
          <w:tcPr>
            <w:tcW w:w="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2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Workcover</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Yes</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Amt:</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Amt:</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1400" w:type="dxa"/>
            <w:vAlign w:val="bottom"/>
            <w:tcBorders>
              <w:left w:val="single" w:sz="8" w:color="auto"/>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No</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400" w:type="dxa"/>
            <w:vAlign w:val="bottom"/>
            <w:tcBorders>
              <w:left w:val="single" w:sz="8" w:color="auto"/>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Other Taxes?</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Yes</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Amt:</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Amt:</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No</w:t>
            </w:r>
          </w:p>
        </w:tc>
        <w:tc>
          <w:tcPr>
            <w:tcW w:w="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Date:</w:t>
            </w:r>
          </w:p>
        </w:tc>
        <w:tc>
          <w:tcPr>
            <w:tcW w:w="2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80" w:hanging="77"/>
        <w:spacing w:after="0"/>
        <w:tabs>
          <w:tab w:leader="none" w:pos="480" w:val="left"/>
        </w:tabs>
        <w:numPr>
          <w:ilvl w:val="1"/>
          <w:numId w:val="270"/>
        </w:numPr>
        <w:rPr>
          <w:rFonts w:ascii="Arial" w:cs="Arial" w:eastAsia="Arial" w:hAnsi="Arial"/>
          <w:sz w:val="11"/>
          <w:szCs w:val="11"/>
          <w:b w:val="1"/>
          <w:bCs w:val="1"/>
          <w:color w:val="auto"/>
        </w:rPr>
      </w:pPr>
      <w:r>
        <w:rPr>
          <w:rFonts w:ascii="Arial" w:cs="Arial" w:eastAsia="Arial" w:hAnsi="Arial"/>
          <w:sz w:val="11"/>
          <w:szCs w:val="11"/>
          <w:b w:val="1"/>
          <w:bCs w:val="1"/>
          <w:color w:val="auto"/>
        </w:rPr>
        <w:t>Where amounts are outstanding please provide the following information to support the advised position:</w:t>
      </w:r>
    </w:p>
    <w:p>
      <w:pPr>
        <w:spacing w:after="0" w:line="127" w:lineRule="exact"/>
        <w:rPr>
          <w:rFonts w:ascii="Arial" w:cs="Arial" w:eastAsia="Arial" w:hAnsi="Arial"/>
          <w:sz w:val="11"/>
          <w:szCs w:val="11"/>
          <w:b w:val="1"/>
          <w:bCs w:val="1"/>
          <w:color w:val="auto"/>
        </w:rPr>
      </w:pPr>
    </w:p>
    <w:p>
      <w:pPr>
        <w:ind w:left="560" w:hanging="165"/>
        <w:spacing w:after="0"/>
        <w:tabs>
          <w:tab w:leader="none" w:pos="560" w:val="left"/>
        </w:tabs>
        <w:numPr>
          <w:ilvl w:val="0"/>
          <w:numId w:val="270"/>
        </w:numPr>
        <w:rPr>
          <w:rFonts w:ascii="Arial" w:cs="Arial" w:eastAsia="Arial" w:hAnsi="Arial"/>
          <w:sz w:val="11"/>
          <w:szCs w:val="11"/>
          <w:color w:val="auto"/>
        </w:rPr>
      </w:pPr>
      <w:r>
        <w:rPr>
          <w:rFonts w:ascii="Arial" w:cs="Arial" w:eastAsia="Arial" w:hAnsi="Arial"/>
          <w:sz w:val="11"/>
          <w:szCs w:val="11"/>
          <w:color w:val="auto"/>
        </w:rPr>
        <w:t>Copy of the latest ATO Running Balance Account Statement (RBA);</w:t>
      </w:r>
    </w:p>
    <w:p>
      <w:pPr>
        <w:spacing w:after="0" w:line="115" w:lineRule="exact"/>
        <w:rPr>
          <w:rFonts w:ascii="Arial" w:cs="Arial" w:eastAsia="Arial" w:hAnsi="Arial"/>
          <w:sz w:val="11"/>
          <w:szCs w:val="11"/>
          <w:color w:val="auto"/>
        </w:rPr>
      </w:pPr>
    </w:p>
    <w:p>
      <w:pPr>
        <w:ind w:left="560" w:hanging="165"/>
        <w:spacing w:after="0"/>
        <w:tabs>
          <w:tab w:leader="none" w:pos="560" w:val="left"/>
        </w:tabs>
        <w:numPr>
          <w:ilvl w:val="0"/>
          <w:numId w:val="270"/>
        </w:numPr>
        <w:rPr>
          <w:rFonts w:ascii="Arial" w:cs="Arial" w:eastAsia="Arial" w:hAnsi="Arial"/>
          <w:sz w:val="11"/>
          <w:szCs w:val="11"/>
          <w:color w:val="auto"/>
        </w:rPr>
      </w:pPr>
      <w:r>
        <w:rPr>
          <w:rFonts w:ascii="Arial" w:cs="Arial" w:eastAsia="Arial" w:hAnsi="Arial"/>
          <w:sz w:val="11"/>
          <w:szCs w:val="11"/>
          <w:color w:val="auto"/>
        </w:rPr>
        <w:t xml:space="preserve">Have all BAS’s/IAS’s have been lodged?  </w:t>
      </w:r>
      <w:r>
        <w:rPr>
          <w:rFonts w:ascii="Arial" w:cs="Arial" w:eastAsia="Arial" w:hAnsi="Arial"/>
          <w:sz w:val="11"/>
          <w:szCs w:val="11"/>
          <w:b w:val="1"/>
          <w:bCs w:val="1"/>
          <w:color w:val="auto"/>
        </w:rPr>
        <w:t>Yes / No</w:t>
      </w:r>
      <w:r>
        <w:rPr>
          <w:rFonts w:ascii="Arial" w:cs="Arial" w:eastAsia="Arial" w:hAnsi="Arial"/>
          <w:sz w:val="11"/>
          <w:szCs w:val="11"/>
          <w:color w:val="auto"/>
        </w:rPr>
        <w:t xml:space="preserve"> (please circle);</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 xml:space="preserve">If No - </w:t>
      </w:r>
      <w:r>
        <w:rPr>
          <w:rFonts w:ascii="Arial" w:cs="Arial" w:eastAsia="Arial" w:hAnsi="Arial"/>
          <w:sz w:val="11"/>
          <w:szCs w:val="11"/>
          <w:color w:val="auto"/>
        </w:rPr>
        <w:t>What statements are outstanding with associated liability amount?</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1"/>
          <w:szCs w:val="11"/>
          <w:color w:val="auto"/>
        </w:rPr>
        <w:t>Is any Group Member required to provide superannuation coverage under an industrial award?</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 xml:space="preserve">Yes / No </w:t>
      </w:r>
      <w:r>
        <w:rPr>
          <w:rFonts w:ascii="Arial" w:cs="Arial" w:eastAsia="Arial" w:hAnsi="Arial"/>
          <w:sz w:val="11"/>
          <w:szCs w:val="11"/>
          <w:color w:val="auto"/>
        </w:rPr>
        <w:t>(please circle)</w:t>
      </w:r>
    </w:p>
    <w:p>
      <w:pPr>
        <w:spacing w:after="0" w:line="105" w:lineRule="exact"/>
        <w:rPr>
          <w:sz w:val="20"/>
          <w:szCs w:val="20"/>
          <w:color w:val="auto"/>
        </w:rPr>
      </w:pPr>
    </w:p>
    <w:p>
      <w:pPr>
        <w:ind w:left="400" w:right="1140"/>
        <w:spacing w:after="0" w:line="296" w:lineRule="auto"/>
        <w:rPr>
          <w:sz w:val="20"/>
          <w:szCs w:val="20"/>
          <w:color w:val="auto"/>
        </w:rPr>
      </w:pPr>
      <w:r>
        <w:rPr>
          <w:rFonts w:ascii="Arial" w:cs="Arial" w:eastAsia="Arial" w:hAnsi="Arial"/>
          <w:sz w:val="11"/>
          <w:szCs w:val="11"/>
          <w:b w:val="1"/>
          <w:bCs w:val="1"/>
          <w:color w:val="auto"/>
        </w:rPr>
        <w:t xml:space="preserve">If Yes </w:t>
      </w:r>
      <w:r>
        <w:rPr>
          <w:rFonts w:ascii="Arial" w:cs="Arial" w:eastAsia="Arial" w:hAnsi="Arial"/>
          <w:sz w:val="11"/>
          <w:szCs w:val="11"/>
          <w:color w:val="auto"/>
        </w:rPr>
        <w:t>– With reference to Industrial Awards, in accordance with any Award(s) that may have application to my/our industry and employees, I/We confirm that the</w:t>
      </w:r>
      <w:r>
        <w:rPr>
          <w:rFonts w:ascii="Arial" w:cs="Arial" w:eastAsia="Arial" w:hAnsi="Arial"/>
          <w:sz w:val="11"/>
          <w:szCs w:val="11"/>
          <w:b w:val="1"/>
          <w:bCs w:val="1"/>
          <w:color w:val="auto"/>
        </w:rPr>
        <w:t xml:space="preserve"> </w:t>
      </w:r>
      <w:r>
        <w:rPr>
          <w:rFonts w:ascii="Arial" w:cs="Arial" w:eastAsia="Arial" w:hAnsi="Arial"/>
          <w:sz w:val="11"/>
          <w:szCs w:val="11"/>
          <w:color w:val="auto"/>
        </w:rPr>
        <w:t>prescribed amounts provided for in the Award(s) are being contributed to an eligible fund(s).</w:t>
      </w:r>
    </w:p>
    <w:p>
      <w:pPr>
        <w:spacing w:after="0" w:line="362" w:lineRule="exact"/>
        <w:rPr>
          <w:sz w:val="20"/>
          <w:szCs w:val="20"/>
          <w:color w:val="auto"/>
        </w:rPr>
      </w:pPr>
    </w:p>
    <w:p>
      <w:pPr>
        <w:ind w:left="400"/>
        <w:spacing w:after="0"/>
        <w:rPr>
          <w:sz w:val="20"/>
          <w:szCs w:val="20"/>
          <w:color w:val="auto"/>
        </w:rPr>
      </w:pPr>
      <w:r>
        <w:rPr>
          <w:rFonts w:ascii="Arial" w:cs="Arial" w:eastAsia="Arial" w:hAnsi="Arial"/>
          <w:sz w:val="11"/>
          <w:szCs w:val="11"/>
          <w:color w:val="auto"/>
        </w:rPr>
        <w:t>[Name of person] who is a</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1"/>
          <w:szCs w:val="11"/>
          <w:color w:val="auto"/>
        </w:rPr>
        <w:t>Director of Reading Entertainment Australia Pty Ltd</w:t>
      </w:r>
    </w:p>
    <w:p>
      <w:pPr>
        <w:ind w:left="400"/>
        <w:spacing w:after="0"/>
        <w:rPr>
          <w:sz w:val="20"/>
          <w:szCs w:val="20"/>
          <w:color w:val="auto"/>
        </w:rPr>
      </w:pPr>
      <w:r>
        <w:rPr>
          <w:rFonts w:ascii="Arial" w:cs="Arial" w:eastAsia="Arial" w:hAnsi="Arial"/>
          <w:sz w:val="11"/>
          <w:szCs w:val="11"/>
          <w:color w:val="auto"/>
        </w:rPr>
        <w:t>For and on behalf of Reading Entertainment Australia Pty Ltd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680" w:type="dxa"/>
            <w:vAlign w:val="bottom"/>
            <w:tcBorders>
              <w:bottom w:val="single" w:sz="8" w:color="8BD8FF"/>
            </w:tcBorders>
          </w:tcPr>
          <w:p>
            <w:pPr>
              <w:spacing w:after="0"/>
              <w:rPr>
                <w:sz w:val="20"/>
                <w:szCs w:val="20"/>
                <w:color w:val="auto"/>
              </w:rPr>
            </w:pPr>
            <w:r>
              <w:rPr>
                <w:rFonts w:ascii="Arial" w:cs="Arial" w:eastAsia="Arial" w:hAnsi="Arial"/>
                <w:sz w:val="8"/>
                <w:szCs w:val="8"/>
                <w:color w:val="8BD8FF"/>
                <w:w w:val="98"/>
              </w:rPr>
              <w:t>3468-7174-2245v7</w:t>
            </w:r>
          </w:p>
        </w:tc>
        <w:tc>
          <w:tcPr>
            <w:tcW w:w="4580" w:type="dxa"/>
            <w:vAlign w:val="bottom"/>
          </w:tcPr>
          <w:p>
            <w:pPr>
              <w:spacing w:after="0"/>
              <w:rPr>
                <w:sz w:val="20"/>
                <w:szCs w:val="20"/>
                <w:color w:val="auto"/>
              </w:rPr>
            </w:pPr>
            <w:r>
              <w:rPr>
                <w:rFonts w:ascii="Arial" w:cs="Arial" w:eastAsia="Arial" w:hAnsi="Arial"/>
                <w:sz w:val="8"/>
                <w:szCs w:val="8"/>
                <w:color w:val="FF0000"/>
                <w:strike w:val="1"/>
              </w:rPr>
              <w:t>3468-7174-2245v2</w:t>
            </w:r>
          </w:p>
        </w:tc>
        <w:tc>
          <w:tcPr>
            <w:tcW w:w="4220" w:type="dxa"/>
            <w:vAlign w:val="bottom"/>
          </w:tcPr>
          <w:p>
            <w:pPr>
              <w:ind w:left="3900"/>
              <w:spacing w:after="0"/>
              <w:rPr>
                <w:sz w:val="20"/>
                <w:szCs w:val="20"/>
                <w:color w:val="auto"/>
              </w:rPr>
            </w:pPr>
            <w:r>
              <w:rPr>
                <w:rFonts w:ascii="Arial" w:cs="Arial" w:eastAsia="Arial" w:hAnsi="Arial"/>
                <w:sz w:val="8"/>
                <w:szCs w:val="8"/>
                <w:color w:val="auto"/>
              </w:rPr>
              <w:t>Page 98</w:t>
            </w:r>
          </w:p>
        </w:tc>
      </w:tr>
      <w:tr>
        <w:trPr>
          <w:trHeight w:val="94"/>
        </w:trPr>
        <w:tc>
          <w:tcPr>
            <w:tcW w:w="5260" w:type="dxa"/>
            <w:vAlign w:val="bottom"/>
            <w:gridSpan w:val="2"/>
          </w:tcPr>
          <w:p>
            <w:pPr>
              <w:spacing w:after="0"/>
              <w:rPr>
                <w:sz w:val="20"/>
                <w:szCs w:val="20"/>
                <w:color w:val="auto"/>
              </w:rPr>
            </w:pPr>
            <w:r>
              <w:rPr>
                <w:rFonts w:ascii="Arial" w:cs="Arial" w:eastAsia="Arial" w:hAnsi="Arial"/>
                <w:sz w:val="8"/>
                <w:szCs w:val="8"/>
                <w:color w:val="auto"/>
              </w:rPr>
              <w:t>Facility Agreement</w:t>
            </w:r>
          </w:p>
        </w:tc>
        <w:tc>
          <w:tcPr>
            <w:tcW w:w="4220" w:type="dxa"/>
            <w:vAlign w:val="bottom"/>
          </w:tcPr>
          <w:p>
            <w:pPr>
              <w:spacing w:after="0"/>
              <w:rPr>
                <w:sz w:val="8"/>
                <w:szCs w:val="8"/>
                <w:color w:val="auto"/>
              </w:rPr>
            </w:pPr>
          </w:p>
        </w:tc>
      </w:tr>
      <w:tr>
        <w:trPr>
          <w:trHeight w:val="208"/>
        </w:trPr>
        <w:tc>
          <w:tcPr>
            <w:tcW w:w="680" w:type="dxa"/>
            <w:vAlign w:val="bottom"/>
            <w:tcBorders>
              <w:bottom w:val="single" w:sz="8" w:color="EEEEEE"/>
            </w:tcBorders>
          </w:tcPr>
          <w:p>
            <w:pPr>
              <w:spacing w:after="0"/>
              <w:rPr>
                <w:sz w:val="18"/>
                <w:szCs w:val="18"/>
                <w:color w:val="auto"/>
              </w:rPr>
            </w:pPr>
          </w:p>
        </w:tc>
        <w:tc>
          <w:tcPr>
            <w:tcW w:w="4580" w:type="dxa"/>
            <w:vAlign w:val="bottom"/>
            <w:tcBorders>
              <w:bottom w:val="single" w:sz="8" w:color="EEEEEE"/>
            </w:tcBorders>
          </w:tcPr>
          <w:p>
            <w:pPr>
              <w:spacing w:after="0"/>
              <w:rPr>
                <w:sz w:val="18"/>
                <w:szCs w:val="18"/>
                <w:color w:val="auto"/>
              </w:rPr>
            </w:pPr>
          </w:p>
        </w:tc>
        <w:tc>
          <w:tcPr>
            <w:tcW w:w="42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6054725"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54725" cy="40005"/>
                    </a:xfrm>
                    <a:prstGeom prst="rect">
                      <a:avLst/>
                    </a:prstGeom>
                    <a:noFill/>
                  </pic:spPr>
                </pic:pic>
              </a:graphicData>
            </a:graphic>
          </wp:anchor>
        </w:drawing>
      </w:r>
    </w:p>
    <w:p>
      <w:pPr>
        <w:sectPr>
          <w:pgSz w:w="11900" w:h="16840" w:orient="portrait"/>
          <w:cols w:equalWidth="0" w:num="1">
            <w:col w:w="9480"/>
          </w:cols>
          <w:pgMar w:left="1360" w:top="790" w:right="1060" w:bottom="1440" w:gutter="0" w:footer="0" w:header="0"/>
        </w:sectPr>
      </w:pPr>
    </w:p>
    <w:bookmarkStart w:id="164" w:name="page165"/>
    <w:bookmarkEnd w:id="164"/>
    <w:p>
      <w:pPr>
        <w:jc w:val="right"/>
        <w:spacing w:after="0"/>
        <w:rPr>
          <w:sz w:val="20"/>
          <w:szCs w:val="20"/>
          <w:color w:val="auto"/>
        </w:rPr>
      </w:pPr>
      <w:r>
        <w:rPr>
          <w:rFonts w:ascii="Arial" w:cs="Arial" w:eastAsia="Arial" w:hAnsi="Arial"/>
          <w:sz w:val="9"/>
          <w:szCs w:val="9"/>
          <w:b w:val="1"/>
          <w:bCs w:val="1"/>
          <w:color w:val="auto"/>
        </w:rPr>
        <w:t>EXHIBIT 31.1</w:t>
      </w:r>
    </w:p>
    <w:p>
      <w:pPr>
        <w:spacing w:after="0" w:line="167" w:lineRule="exact"/>
        <w:rPr>
          <w:sz w:val="20"/>
          <w:szCs w:val="20"/>
          <w:color w:val="auto"/>
        </w:rPr>
      </w:pPr>
    </w:p>
    <w:p>
      <w:pPr>
        <w:ind w:left="3340"/>
        <w:spacing w:after="0"/>
        <w:rPr>
          <w:sz w:val="20"/>
          <w:szCs w:val="20"/>
          <w:color w:val="auto"/>
        </w:rPr>
      </w:pPr>
      <w:r>
        <w:rPr>
          <w:rFonts w:ascii="Arial" w:cs="Arial" w:eastAsia="Arial" w:hAnsi="Arial"/>
          <w:sz w:val="10"/>
          <w:szCs w:val="10"/>
          <w:b w:val="1"/>
          <w:bCs w:val="1"/>
          <w:color w:val="auto"/>
        </w:rPr>
        <w:t>CERTIFICATION OF PRINCIPAL EXECUTIVE OFFICER</w:t>
      </w:r>
    </w:p>
    <w:p>
      <w:pPr>
        <w:ind w:left="2900"/>
        <w:spacing w:after="0" w:line="203" w:lineRule="auto"/>
        <w:rPr>
          <w:sz w:val="20"/>
          <w:szCs w:val="20"/>
          <w:color w:val="auto"/>
        </w:rPr>
      </w:pPr>
      <w:r>
        <w:rPr>
          <w:rFonts w:ascii="Arial" w:cs="Arial" w:eastAsia="Arial" w:hAnsi="Arial"/>
          <w:sz w:val="10"/>
          <w:szCs w:val="10"/>
          <w:b w:val="1"/>
          <w:bCs w:val="1"/>
          <w:color w:val="auto"/>
        </w:rPr>
        <w:t>PURSUANT TO EXCHANGE ACT RULE 13a-14(a)/15d-14(a) AS ADOPTED</w:t>
      </w:r>
    </w:p>
    <w:p>
      <w:pPr>
        <w:ind w:left="2920"/>
        <w:spacing w:after="0"/>
        <w:rPr>
          <w:sz w:val="20"/>
          <w:szCs w:val="20"/>
          <w:color w:val="auto"/>
        </w:rPr>
      </w:pPr>
      <w:r>
        <w:rPr>
          <w:rFonts w:ascii="Arial" w:cs="Arial" w:eastAsia="Arial" w:hAnsi="Arial"/>
          <w:sz w:val="10"/>
          <w:szCs w:val="10"/>
          <w:b w:val="1"/>
          <w:bCs w:val="1"/>
          <w:color w:val="auto"/>
        </w:rPr>
        <w:t>PURSUANT TO SECTION 302 OF 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0"/>
          <w:szCs w:val="10"/>
          <w:color w:val="auto"/>
        </w:rPr>
        <w:t>I, Ellen M. Cotter, certify that:</w:t>
      </w:r>
    </w:p>
    <w:p>
      <w:pPr>
        <w:spacing w:after="0" w:line="80" w:lineRule="exact"/>
        <w:rPr>
          <w:sz w:val="20"/>
          <w:szCs w:val="20"/>
          <w:color w:val="auto"/>
        </w:rPr>
      </w:pPr>
    </w:p>
    <w:p>
      <w:pPr>
        <w:ind w:left="360" w:hanging="190"/>
        <w:spacing w:after="0"/>
        <w:tabs>
          <w:tab w:leader="none" w:pos="360" w:val="left"/>
        </w:tabs>
        <w:numPr>
          <w:ilvl w:val="0"/>
          <w:numId w:val="271"/>
        </w:numPr>
        <w:rPr>
          <w:rFonts w:ascii="Arial" w:cs="Arial" w:eastAsia="Arial" w:hAnsi="Arial"/>
          <w:sz w:val="10"/>
          <w:szCs w:val="10"/>
          <w:color w:val="auto"/>
        </w:rPr>
      </w:pPr>
      <w:r>
        <w:rPr>
          <w:rFonts w:ascii="Arial" w:cs="Arial" w:eastAsia="Arial" w:hAnsi="Arial"/>
          <w:sz w:val="10"/>
          <w:szCs w:val="10"/>
          <w:color w:val="auto"/>
        </w:rPr>
        <w:t>I have reviewed this Quarterly Report on Form 10-Q of Reading International, Inc.;</w:t>
      </w:r>
    </w:p>
    <w:p>
      <w:pPr>
        <w:spacing w:after="0" w:line="80" w:lineRule="exact"/>
        <w:rPr>
          <w:rFonts w:ascii="Arial" w:cs="Arial" w:eastAsia="Arial" w:hAnsi="Arial"/>
          <w:sz w:val="10"/>
          <w:szCs w:val="10"/>
          <w:color w:val="auto"/>
        </w:rPr>
      </w:pPr>
    </w:p>
    <w:p>
      <w:pPr>
        <w:ind w:left="360" w:right="20" w:hanging="190"/>
        <w:spacing w:after="0" w:line="229" w:lineRule="auto"/>
        <w:tabs>
          <w:tab w:leader="none" w:pos="360" w:val="left"/>
        </w:tabs>
        <w:numPr>
          <w:ilvl w:val="0"/>
          <w:numId w:val="271"/>
        </w:numPr>
        <w:rPr>
          <w:rFonts w:ascii="Arial" w:cs="Arial" w:eastAsia="Arial" w:hAnsi="Arial"/>
          <w:sz w:val="10"/>
          <w:szCs w:val="10"/>
          <w:color w:val="auto"/>
        </w:rPr>
      </w:pPr>
      <w:r>
        <w:rPr>
          <w:rFonts w:ascii="Arial" w:cs="Arial" w:eastAsia="Arial" w:hAnsi="Arial"/>
          <w:sz w:val="10"/>
          <w:szCs w:val="1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0"/>
          <w:szCs w:val="10"/>
          <w:color w:val="auto"/>
        </w:rPr>
      </w:pPr>
    </w:p>
    <w:p>
      <w:pPr>
        <w:ind w:left="360" w:right="20" w:hanging="190"/>
        <w:spacing w:after="0" w:line="229" w:lineRule="auto"/>
        <w:tabs>
          <w:tab w:leader="none" w:pos="360" w:val="left"/>
        </w:tabs>
        <w:numPr>
          <w:ilvl w:val="0"/>
          <w:numId w:val="271"/>
        </w:numPr>
        <w:rPr>
          <w:rFonts w:ascii="Arial" w:cs="Arial" w:eastAsia="Arial" w:hAnsi="Arial"/>
          <w:sz w:val="10"/>
          <w:szCs w:val="10"/>
          <w:color w:val="auto"/>
        </w:rPr>
      </w:pPr>
      <w:r>
        <w:rPr>
          <w:rFonts w:ascii="Arial" w:cs="Arial" w:eastAsia="Arial" w:hAnsi="Arial"/>
          <w:sz w:val="10"/>
          <w:szCs w:val="1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0"/>
          <w:szCs w:val="10"/>
          <w:color w:val="auto"/>
        </w:rPr>
      </w:pPr>
    </w:p>
    <w:p>
      <w:pPr>
        <w:ind w:left="360" w:right="20" w:hanging="190"/>
        <w:spacing w:after="0" w:line="229" w:lineRule="auto"/>
        <w:tabs>
          <w:tab w:leader="none" w:pos="360" w:val="left"/>
        </w:tabs>
        <w:numPr>
          <w:ilvl w:val="0"/>
          <w:numId w:val="271"/>
        </w:numPr>
        <w:rPr>
          <w:rFonts w:ascii="Arial" w:cs="Arial" w:eastAsia="Arial" w:hAnsi="Arial"/>
          <w:sz w:val="10"/>
          <w:szCs w:val="10"/>
          <w:color w:val="auto"/>
        </w:rPr>
      </w:pPr>
      <w:r>
        <w:rPr>
          <w:rFonts w:ascii="Arial" w:cs="Arial" w:eastAsia="Arial" w:hAnsi="Arial"/>
          <w:sz w:val="10"/>
          <w:szCs w:val="1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0"/>
          <w:szCs w:val="10"/>
          <w:color w:val="auto"/>
        </w:rPr>
      </w:pPr>
    </w:p>
    <w:p>
      <w:pPr>
        <w:ind w:left="720" w:right="20" w:hanging="190"/>
        <w:spacing w:after="0" w:line="209" w:lineRule="auto"/>
        <w:tabs>
          <w:tab w:leader="none" w:pos="720" w:val="left"/>
        </w:tabs>
        <w:numPr>
          <w:ilvl w:val="1"/>
          <w:numId w:val="271"/>
        </w:numPr>
        <w:rPr>
          <w:rFonts w:ascii="Arial" w:cs="Arial" w:eastAsia="Arial" w:hAnsi="Arial"/>
          <w:sz w:val="10"/>
          <w:szCs w:val="10"/>
          <w:color w:val="auto"/>
        </w:rPr>
      </w:pPr>
      <w:r>
        <w:rPr>
          <w:rFonts w:ascii="Arial" w:cs="Arial" w:eastAsia="Arial" w:hAnsi="Arial"/>
          <w:sz w:val="10"/>
          <w:szCs w:val="1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20" w:right="20" w:hanging="190"/>
        <w:spacing w:after="0" w:line="203" w:lineRule="auto"/>
        <w:tabs>
          <w:tab w:leader="none" w:pos="720" w:val="left"/>
        </w:tabs>
        <w:numPr>
          <w:ilvl w:val="1"/>
          <w:numId w:val="271"/>
        </w:numPr>
        <w:rPr>
          <w:rFonts w:ascii="Arial" w:cs="Arial" w:eastAsia="Arial" w:hAnsi="Arial"/>
          <w:sz w:val="10"/>
          <w:szCs w:val="10"/>
          <w:color w:val="auto"/>
        </w:rPr>
      </w:pPr>
      <w:r>
        <w:rPr>
          <w:rFonts w:ascii="Arial" w:cs="Arial" w:eastAsia="Arial" w:hAnsi="Arial"/>
          <w:sz w:val="10"/>
          <w:szCs w:val="1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720" w:right="20" w:hanging="190"/>
        <w:spacing w:after="0" w:line="203" w:lineRule="auto"/>
        <w:tabs>
          <w:tab w:leader="none" w:pos="720" w:val="left"/>
        </w:tabs>
        <w:numPr>
          <w:ilvl w:val="1"/>
          <w:numId w:val="271"/>
        </w:numPr>
        <w:rPr>
          <w:rFonts w:ascii="Arial" w:cs="Arial" w:eastAsia="Arial" w:hAnsi="Arial"/>
          <w:sz w:val="10"/>
          <w:szCs w:val="10"/>
          <w:color w:val="auto"/>
        </w:rPr>
      </w:pPr>
      <w:r>
        <w:rPr>
          <w:rFonts w:ascii="Arial" w:cs="Arial" w:eastAsia="Arial" w:hAnsi="Arial"/>
          <w:sz w:val="10"/>
          <w:szCs w:val="1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20" w:right="20" w:hanging="190"/>
        <w:spacing w:after="0" w:line="223" w:lineRule="auto"/>
        <w:tabs>
          <w:tab w:leader="none" w:pos="720" w:val="left"/>
        </w:tabs>
        <w:numPr>
          <w:ilvl w:val="1"/>
          <w:numId w:val="271"/>
        </w:numPr>
        <w:rPr>
          <w:rFonts w:ascii="Arial" w:cs="Arial" w:eastAsia="Arial" w:hAnsi="Arial"/>
          <w:sz w:val="10"/>
          <w:szCs w:val="10"/>
          <w:color w:val="auto"/>
        </w:rPr>
      </w:pPr>
      <w:r>
        <w:rPr>
          <w:rFonts w:ascii="Arial" w:cs="Arial" w:eastAsia="Arial" w:hAnsi="Arial"/>
          <w:sz w:val="10"/>
          <w:szCs w:val="1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2" w:lineRule="exact"/>
        <w:rPr>
          <w:rFonts w:ascii="Arial" w:cs="Arial" w:eastAsia="Arial" w:hAnsi="Arial"/>
          <w:sz w:val="10"/>
          <w:szCs w:val="10"/>
          <w:color w:val="auto"/>
        </w:rPr>
      </w:pPr>
    </w:p>
    <w:p>
      <w:pPr>
        <w:ind w:left="360" w:right="20" w:hanging="190"/>
        <w:spacing w:after="0" w:line="229" w:lineRule="auto"/>
        <w:tabs>
          <w:tab w:leader="none" w:pos="360" w:val="left"/>
        </w:tabs>
        <w:numPr>
          <w:ilvl w:val="0"/>
          <w:numId w:val="271"/>
        </w:numPr>
        <w:rPr>
          <w:rFonts w:ascii="Arial" w:cs="Arial" w:eastAsia="Arial" w:hAnsi="Arial"/>
          <w:sz w:val="10"/>
          <w:szCs w:val="10"/>
          <w:color w:val="auto"/>
        </w:rPr>
      </w:pPr>
      <w:r>
        <w:rPr>
          <w:rFonts w:ascii="Arial" w:cs="Arial" w:eastAsia="Arial" w:hAnsi="Arial"/>
          <w:sz w:val="10"/>
          <w:szCs w:val="1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0"/>
          <w:szCs w:val="10"/>
          <w:color w:val="auto"/>
        </w:rPr>
      </w:pPr>
    </w:p>
    <w:p>
      <w:pPr>
        <w:ind w:left="720" w:right="20" w:hanging="190"/>
        <w:spacing w:after="0" w:line="209" w:lineRule="auto"/>
        <w:tabs>
          <w:tab w:leader="none" w:pos="720" w:val="left"/>
        </w:tabs>
        <w:numPr>
          <w:ilvl w:val="1"/>
          <w:numId w:val="271"/>
        </w:numPr>
        <w:rPr>
          <w:rFonts w:ascii="Arial" w:cs="Arial" w:eastAsia="Arial" w:hAnsi="Arial"/>
          <w:sz w:val="10"/>
          <w:szCs w:val="10"/>
          <w:color w:val="auto"/>
        </w:rPr>
      </w:pPr>
      <w:r>
        <w:rPr>
          <w:rFonts w:ascii="Arial" w:cs="Arial" w:eastAsia="Arial" w:hAnsi="Arial"/>
          <w:sz w:val="10"/>
          <w:szCs w:val="1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20" w:hanging="190"/>
        <w:spacing w:after="0"/>
        <w:tabs>
          <w:tab w:leader="none" w:pos="720" w:val="left"/>
        </w:tabs>
        <w:numPr>
          <w:ilvl w:val="1"/>
          <w:numId w:val="271"/>
        </w:numPr>
        <w:rPr>
          <w:rFonts w:ascii="Arial" w:cs="Arial" w:eastAsia="Arial" w:hAnsi="Arial"/>
          <w:sz w:val="10"/>
          <w:szCs w:val="10"/>
          <w:color w:val="auto"/>
        </w:rPr>
      </w:pPr>
      <w:r>
        <w:rPr>
          <w:rFonts w:ascii="Arial" w:cs="Arial" w:eastAsia="Arial" w:hAnsi="Arial"/>
          <w:sz w:val="10"/>
          <w:szCs w:val="10"/>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0" w:type="dxa"/>
            <w:vAlign w:val="bottom"/>
          </w:tcPr>
          <w:p>
            <w:pPr>
              <w:spacing w:after="0"/>
              <w:rPr>
                <w:sz w:val="20"/>
                <w:szCs w:val="20"/>
                <w:color w:val="auto"/>
              </w:rPr>
            </w:pPr>
            <w:r>
              <w:rPr>
                <w:rFonts w:ascii="Arial" w:cs="Arial" w:eastAsia="Arial" w:hAnsi="Arial"/>
                <w:sz w:val="10"/>
                <w:szCs w:val="10"/>
                <w:color w:val="auto"/>
              </w:rPr>
              <w:t>By:</w:t>
            </w:r>
          </w:p>
        </w:tc>
        <w:tc>
          <w:tcPr>
            <w:tcW w:w="140" w:type="dxa"/>
            <w:vAlign w:val="bottom"/>
          </w:tcPr>
          <w:p>
            <w:pPr>
              <w:spacing w:after="0"/>
              <w:rPr>
                <w:sz w:val="10"/>
                <w:szCs w:val="10"/>
                <w:color w:val="auto"/>
              </w:rPr>
            </w:pPr>
          </w:p>
        </w:tc>
        <w:tc>
          <w:tcPr>
            <w:tcW w:w="8820" w:type="dxa"/>
            <w:vAlign w:val="bottom"/>
            <w:gridSpan w:val="2"/>
          </w:tcPr>
          <w:p>
            <w:pPr>
              <w:spacing w:after="0"/>
              <w:rPr>
                <w:sz w:val="20"/>
                <w:szCs w:val="20"/>
                <w:color w:val="auto"/>
              </w:rPr>
            </w:pPr>
            <w:r>
              <w:rPr>
                <w:rFonts w:ascii="Arial" w:cs="Arial" w:eastAsia="Arial" w:hAnsi="Arial"/>
                <w:sz w:val="10"/>
                <w:szCs w:val="10"/>
                <w:color w:val="auto"/>
              </w:rPr>
              <w:t>/s/ Ellen M. Cotter</w:t>
            </w:r>
          </w:p>
        </w:tc>
      </w:tr>
      <w:tr>
        <w:trPr>
          <w:trHeight w:val="73"/>
        </w:trPr>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Borders>
              <w:top w:val="single" w:sz="8" w:color="auto"/>
            </w:tcBorders>
          </w:tcPr>
          <w:p>
            <w:pPr>
              <w:spacing w:after="0" w:line="74" w:lineRule="exact"/>
              <w:rPr>
                <w:sz w:val="20"/>
                <w:szCs w:val="20"/>
                <w:color w:val="auto"/>
              </w:rPr>
            </w:pPr>
            <w:r>
              <w:rPr>
                <w:rFonts w:ascii="Arial" w:cs="Arial" w:eastAsia="Arial" w:hAnsi="Arial"/>
                <w:sz w:val="7"/>
                <w:szCs w:val="7"/>
                <w:color w:val="auto"/>
              </w:rPr>
              <w:t>Ellen M. Cotter</w:t>
            </w:r>
          </w:p>
        </w:tc>
        <w:tc>
          <w:tcPr>
            <w:tcW w:w="8040" w:type="dxa"/>
            <w:vAlign w:val="bottom"/>
          </w:tcPr>
          <w:p>
            <w:pPr>
              <w:spacing w:after="0"/>
              <w:rPr>
                <w:sz w:val="6"/>
                <w:szCs w:val="6"/>
                <w:color w:val="auto"/>
              </w:rPr>
            </w:pPr>
          </w:p>
        </w:tc>
      </w:tr>
      <w:tr>
        <w:trPr>
          <w:trHeight w:val="98"/>
        </w:trPr>
        <w:tc>
          <w:tcPr>
            <w:tcW w:w="240" w:type="dxa"/>
            <w:vAlign w:val="bottom"/>
          </w:tcPr>
          <w:p>
            <w:pPr>
              <w:spacing w:after="0"/>
              <w:rPr>
                <w:sz w:val="8"/>
                <w:szCs w:val="8"/>
                <w:color w:val="auto"/>
              </w:rPr>
            </w:pPr>
          </w:p>
        </w:tc>
        <w:tc>
          <w:tcPr>
            <w:tcW w:w="8960" w:type="dxa"/>
            <w:vAlign w:val="bottom"/>
            <w:gridSpan w:val="3"/>
          </w:tcPr>
          <w:p>
            <w:pPr>
              <w:ind w:left="120"/>
              <w:spacing w:after="0" w:line="98" w:lineRule="exact"/>
              <w:rPr>
                <w:sz w:val="20"/>
                <w:szCs w:val="20"/>
                <w:color w:val="auto"/>
              </w:rPr>
            </w:pPr>
            <w:r>
              <w:rPr>
                <w:rFonts w:ascii="Arial" w:cs="Arial" w:eastAsia="Arial" w:hAnsi="Arial"/>
                <w:sz w:val="10"/>
                <w:szCs w:val="10"/>
                <w:color w:val="auto"/>
              </w:rPr>
              <w:t>President and Chief Executive Officer</w:t>
            </w:r>
          </w:p>
        </w:tc>
      </w:tr>
      <w:tr>
        <w:trPr>
          <w:trHeight w:val="122"/>
        </w:trPr>
        <w:tc>
          <w:tcPr>
            <w:tcW w:w="240" w:type="dxa"/>
            <w:vAlign w:val="bottom"/>
          </w:tcPr>
          <w:p>
            <w:pPr>
              <w:spacing w:after="0"/>
              <w:rPr>
                <w:sz w:val="10"/>
                <w:szCs w:val="10"/>
                <w:color w:val="auto"/>
              </w:rPr>
            </w:pPr>
          </w:p>
        </w:tc>
        <w:tc>
          <w:tcPr>
            <w:tcW w:w="8960" w:type="dxa"/>
            <w:vAlign w:val="bottom"/>
            <w:gridSpan w:val="3"/>
          </w:tcPr>
          <w:p>
            <w:pPr>
              <w:ind w:left="120"/>
              <w:spacing w:after="0"/>
              <w:rPr>
                <w:sz w:val="20"/>
                <w:szCs w:val="20"/>
                <w:color w:val="auto"/>
              </w:rPr>
            </w:pPr>
            <w:r>
              <w:rPr>
                <w:rFonts w:ascii="Arial" w:cs="Arial" w:eastAsia="Arial" w:hAnsi="Arial"/>
                <w:sz w:val="10"/>
                <w:szCs w:val="10"/>
                <w:color w:val="auto"/>
              </w:rPr>
              <w:t>November 14, 2023</w:t>
            </w:r>
          </w:p>
        </w:tc>
      </w:tr>
      <w:tr>
        <w:trPr>
          <w:trHeight w:val="219"/>
        </w:trPr>
        <w:tc>
          <w:tcPr>
            <w:tcW w:w="24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80" w:type="dxa"/>
            <w:vAlign w:val="bottom"/>
            <w:tcBorders>
              <w:bottom w:val="single" w:sz="8" w:color="EEEEEE"/>
            </w:tcBorders>
          </w:tcPr>
          <w:p>
            <w:pPr>
              <w:spacing w:after="0"/>
              <w:rPr>
                <w:sz w:val="19"/>
                <w:szCs w:val="19"/>
                <w:color w:val="auto"/>
              </w:rPr>
            </w:pPr>
          </w:p>
        </w:tc>
        <w:tc>
          <w:tcPr>
            <w:tcW w:w="8040" w:type="dxa"/>
            <w:vAlign w:val="bottom"/>
            <w:tcBorders>
              <w:bottom w:val="single" w:sz="8" w:color="EEEEEE"/>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87375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73750" cy="40005"/>
                    </a:xfrm>
                    <a:prstGeom prst="rect">
                      <a:avLst/>
                    </a:prstGeom>
                    <a:noFill/>
                  </pic:spPr>
                </pic:pic>
              </a:graphicData>
            </a:graphic>
          </wp:anchor>
        </w:drawing>
      </w:r>
    </w:p>
    <w:p>
      <w:pPr>
        <w:sectPr>
          <w:pgSz w:w="11900" w:h="16840" w:orient="portrait"/>
          <w:cols w:equalWidth="0" w:num="1">
            <w:col w:w="9200"/>
          </w:cols>
          <w:pgMar w:left="1360" w:top="561" w:right="1340" w:bottom="1440" w:gutter="0" w:footer="0" w:header="0"/>
        </w:sectPr>
      </w:pPr>
    </w:p>
    <w:bookmarkStart w:id="165" w:name="page166"/>
    <w:bookmarkEnd w:id="165"/>
    <w:p>
      <w:pPr>
        <w:jc w:val="right"/>
        <w:ind w:right="20"/>
        <w:spacing w:after="0"/>
        <w:rPr>
          <w:sz w:val="20"/>
          <w:szCs w:val="20"/>
          <w:color w:val="auto"/>
        </w:rPr>
      </w:pPr>
      <w:r>
        <w:rPr>
          <w:rFonts w:ascii="Arial" w:cs="Arial" w:eastAsia="Arial" w:hAnsi="Arial"/>
          <w:sz w:val="9"/>
          <w:szCs w:val="9"/>
          <w:b w:val="1"/>
          <w:bCs w:val="1"/>
          <w:color w:val="auto"/>
        </w:rPr>
        <w:t>EXHIBIT 31.2</w:t>
      </w:r>
    </w:p>
    <w:p>
      <w:pPr>
        <w:spacing w:after="0" w:line="250" w:lineRule="exact"/>
        <w:rPr>
          <w:sz w:val="20"/>
          <w:szCs w:val="20"/>
          <w:color w:val="auto"/>
        </w:rPr>
      </w:pPr>
    </w:p>
    <w:p>
      <w:pPr>
        <w:ind w:left="3340"/>
        <w:spacing w:after="0"/>
        <w:rPr>
          <w:sz w:val="20"/>
          <w:szCs w:val="20"/>
          <w:color w:val="auto"/>
        </w:rPr>
      </w:pPr>
      <w:r>
        <w:rPr>
          <w:rFonts w:ascii="Arial" w:cs="Arial" w:eastAsia="Arial" w:hAnsi="Arial"/>
          <w:sz w:val="10"/>
          <w:szCs w:val="10"/>
          <w:b w:val="1"/>
          <w:bCs w:val="1"/>
          <w:color w:val="auto"/>
        </w:rPr>
        <w:t>CERTIFICATION OF PRINCIPAL FINANCIAL OFFICER</w:t>
      </w:r>
    </w:p>
    <w:p>
      <w:pPr>
        <w:ind w:left="2900"/>
        <w:spacing w:after="0" w:line="203" w:lineRule="auto"/>
        <w:rPr>
          <w:sz w:val="20"/>
          <w:szCs w:val="20"/>
          <w:color w:val="auto"/>
        </w:rPr>
      </w:pPr>
      <w:r>
        <w:rPr>
          <w:rFonts w:ascii="Arial" w:cs="Arial" w:eastAsia="Arial" w:hAnsi="Arial"/>
          <w:sz w:val="10"/>
          <w:szCs w:val="10"/>
          <w:b w:val="1"/>
          <w:bCs w:val="1"/>
          <w:color w:val="auto"/>
        </w:rPr>
        <w:t>PURSUANT TO EXCHANGE ACT RULE 13a-14(a)/15d-14(a) AS ADOPTED</w:t>
      </w:r>
    </w:p>
    <w:p>
      <w:pPr>
        <w:ind w:left="2920"/>
        <w:spacing w:after="0"/>
        <w:rPr>
          <w:sz w:val="20"/>
          <w:szCs w:val="20"/>
          <w:color w:val="auto"/>
        </w:rPr>
      </w:pPr>
      <w:r>
        <w:rPr>
          <w:rFonts w:ascii="Arial" w:cs="Arial" w:eastAsia="Arial" w:hAnsi="Arial"/>
          <w:sz w:val="10"/>
          <w:szCs w:val="10"/>
          <w:b w:val="1"/>
          <w:bCs w:val="1"/>
          <w:color w:val="auto"/>
        </w:rPr>
        <w:t>PURSUANT TO SECTION 302 OF 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0"/>
          <w:szCs w:val="10"/>
          <w:color w:val="auto"/>
        </w:rPr>
        <w:t>I, Gilbert Avanes, certify that:</w:t>
      </w:r>
    </w:p>
    <w:p>
      <w:pPr>
        <w:spacing w:after="0" w:line="80" w:lineRule="exact"/>
        <w:rPr>
          <w:sz w:val="20"/>
          <w:szCs w:val="20"/>
          <w:color w:val="auto"/>
        </w:rPr>
      </w:pPr>
    </w:p>
    <w:p>
      <w:pPr>
        <w:ind w:left="360" w:hanging="190"/>
        <w:spacing w:after="0"/>
        <w:tabs>
          <w:tab w:leader="none" w:pos="360" w:val="left"/>
        </w:tabs>
        <w:numPr>
          <w:ilvl w:val="0"/>
          <w:numId w:val="272"/>
        </w:numPr>
        <w:rPr>
          <w:rFonts w:ascii="Arial" w:cs="Arial" w:eastAsia="Arial" w:hAnsi="Arial"/>
          <w:sz w:val="10"/>
          <w:szCs w:val="10"/>
          <w:color w:val="auto"/>
        </w:rPr>
      </w:pPr>
      <w:r>
        <w:rPr>
          <w:rFonts w:ascii="Arial" w:cs="Arial" w:eastAsia="Arial" w:hAnsi="Arial"/>
          <w:sz w:val="10"/>
          <w:szCs w:val="10"/>
          <w:color w:val="auto"/>
        </w:rPr>
        <w:t>I have reviewed this Quarterly Report on Form 10-Q of Reading International, Inc.;</w:t>
      </w:r>
    </w:p>
    <w:p>
      <w:pPr>
        <w:spacing w:after="0" w:line="80" w:lineRule="exact"/>
        <w:rPr>
          <w:rFonts w:ascii="Arial" w:cs="Arial" w:eastAsia="Arial" w:hAnsi="Arial"/>
          <w:sz w:val="10"/>
          <w:szCs w:val="10"/>
          <w:color w:val="auto"/>
        </w:rPr>
      </w:pPr>
    </w:p>
    <w:p>
      <w:pPr>
        <w:ind w:left="360" w:right="20" w:hanging="190"/>
        <w:spacing w:after="0" w:line="229" w:lineRule="auto"/>
        <w:tabs>
          <w:tab w:leader="none" w:pos="360" w:val="left"/>
        </w:tabs>
        <w:numPr>
          <w:ilvl w:val="0"/>
          <w:numId w:val="272"/>
        </w:numPr>
        <w:rPr>
          <w:rFonts w:ascii="Arial" w:cs="Arial" w:eastAsia="Arial" w:hAnsi="Arial"/>
          <w:sz w:val="10"/>
          <w:szCs w:val="10"/>
          <w:color w:val="auto"/>
        </w:rPr>
      </w:pPr>
      <w:r>
        <w:rPr>
          <w:rFonts w:ascii="Arial" w:cs="Arial" w:eastAsia="Arial" w:hAnsi="Arial"/>
          <w:sz w:val="10"/>
          <w:szCs w:val="1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0"/>
          <w:szCs w:val="10"/>
          <w:color w:val="auto"/>
        </w:rPr>
      </w:pPr>
    </w:p>
    <w:p>
      <w:pPr>
        <w:ind w:left="360" w:right="20" w:hanging="190"/>
        <w:spacing w:after="0" w:line="229" w:lineRule="auto"/>
        <w:tabs>
          <w:tab w:leader="none" w:pos="360" w:val="left"/>
        </w:tabs>
        <w:numPr>
          <w:ilvl w:val="0"/>
          <w:numId w:val="272"/>
        </w:numPr>
        <w:rPr>
          <w:rFonts w:ascii="Arial" w:cs="Arial" w:eastAsia="Arial" w:hAnsi="Arial"/>
          <w:sz w:val="10"/>
          <w:szCs w:val="10"/>
          <w:color w:val="auto"/>
        </w:rPr>
      </w:pPr>
      <w:r>
        <w:rPr>
          <w:rFonts w:ascii="Arial" w:cs="Arial" w:eastAsia="Arial" w:hAnsi="Arial"/>
          <w:sz w:val="10"/>
          <w:szCs w:val="1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0"/>
          <w:szCs w:val="10"/>
          <w:color w:val="auto"/>
        </w:rPr>
      </w:pPr>
    </w:p>
    <w:p>
      <w:pPr>
        <w:ind w:left="360" w:right="20" w:hanging="190"/>
        <w:spacing w:after="0" w:line="229" w:lineRule="auto"/>
        <w:tabs>
          <w:tab w:leader="none" w:pos="360" w:val="left"/>
        </w:tabs>
        <w:numPr>
          <w:ilvl w:val="0"/>
          <w:numId w:val="272"/>
        </w:numPr>
        <w:rPr>
          <w:rFonts w:ascii="Arial" w:cs="Arial" w:eastAsia="Arial" w:hAnsi="Arial"/>
          <w:sz w:val="10"/>
          <w:szCs w:val="10"/>
          <w:color w:val="auto"/>
        </w:rPr>
      </w:pPr>
      <w:r>
        <w:rPr>
          <w:rFonts w:ascii="Arial" w:cs="Arial" w:eastAsia="Arial" w:hAnsi="Arial"/>
          <w:sz w:val="10"/>
          <w:szCs w:val="1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0"/>
          <w:szCs w:val="10"/>
          <w:color w:val="auto"/>
        </w:rPr>
      </w:pPr>
    </w:p>
    <w:p>
      <w:pPr>
        <w:ind w:left="720" w:right="20" w:hanging="190"/>
        <w:spacing w:after="0" w:line="209" w:lineRule="auto"/>
        <w:tabs>
          <w:tab w:leader="none" w:pos="720" w:val="left"/>
        </w:tabs>
        <w:numPr>
          <w:ilvl w:val="1"/>
          <w:numId w:val="272"/>
        </w:numPr>
        <w:rPr>
          <w:rFonts w:ascii="Arial" w:cs="Arial" w:eastAsia="Arial" w:hAnsi="Arial"/>
          <w:sz w:val="10"/>
          <w:szCs w:val="10"/>
          <w:color w:val="auto"/>
        </w:rPr>
      </w:pPr>
      <w:r>
        <w:rPr>
          <w:rFonts w:ascii="Arial" w:cs="Arial" w:eastAsia="Arial" w:hAnsi="Arial"/>
          <w:sz w:val="10"/>
          <w:szCs w:val="1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20" w:right="20" w:hanging="190"/>
        <w:spacing w:after="0" w:line="203" w:lineRule="auto"/>
        <w:tabs>
          <w:tab w:leader="none" w:pos="720" w:val="left"/>
        </w:tabs>
        <w:numPr>
          <w:ilvl w:val="1"/>
          <w:numId w:val="272"/>
        </w:numPr>
        <w:rPr>
          <w:rFonts w:ascii="Arial" w:cs="Arial" w:eastAsia="Arial" w:hAnsi="Arial"/>
          <w:sz w:val="10"/>
          <w:szCs w:val="10"/>
          <w:color w:val="auto"/>
        </w:rPr>
      </w:pPr>
      <w:r>
        <w:rPr>
          <w:rFonts w:ascii="Arial" w:cs="Arial" w:eastAsia="Arial" w:hAnsi="Arial"/>
          <w:sz w:val="10"/>
          <w:szCs w:val="1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720" w:right="20" w:hanging="190"/>
        <w:spacing w:after="0" w:line="203" w:lineRule="auto"/>
        <w:tabs>
          <w:tab w:leader="none" w:pos="720" w:val="left"/>
        </w:tabs>
        <w:numPr>
          <w:ilvl w:val="1"/>
          <w:numId w:val="272"/>
        </w:numPr>
        <w:rPr>
          <w:rFonts w:ascii="Arial" w:cs="Arial" w:eastAsia="Arial" w:hAnsi="Arial"/>
          <w:sz w:val="10"/>
          <w:szCs w:val="10"/>
          <w:color w:val="auto"/>
        </w:rPr>
      </w:pPr>
      <w:r>
        <w:rPr>
          <w:rFonts w:ascii="Arial" w:cs="Arial" w:eastAsia="Arial" w:hAnsi="Arial"/>
          <w:sz w:val="10"/>
          <w:szCs w:val="1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20" w:right="20" w:hanging="190"/>
        <w:spacing w:after="0" w:line="223" w:lineRule="auto"/>
        <w:tabs>
          <w:tab w:leader="none" w:pos="720" w:val="left"/>
        </w:tabs>
        <w:numPr>
          <w:ilvl w:val="1"/>
          <w:numId w:val="272"/>
        </w:numPr>
        <w:rPr>
          <w:rFonts w:ascii="Arial" w:cs="Arial" w:eastAsia="Arial" w:hAnsi="Arial"/>
          <w:sz w:val="10"/>
          <w:szCs w:val="10"/>
          <w:color w:val="auto"/>
        </w:rPr>
      </w:pPr>
      <w:r>
        <w:rPr>
          <w:rFonts w:ascii="Arial" w:cs="Arial" w:eastAsia="Arial" w:hAnsi="Arial"/>
          <w:sz w:val="10"/>
          <w:szCs w:val="1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2" w:lineRule="exact"/>
        <w:rPr>
          <w:rFonts w:ascii="Arial" w:cs="Arial" w:eastAsia="Arial" w:hAnsi="Arial"/>
          <w:sz w:val="10"/>
          <w:szCs w:val="10"/>
          <w:color w:val="auto"/>
        </w:rPr>
      </w:pPr>
    </w:p>
    <w:p>
      <w:pPr>
        <w:ind w:left="360" w:right="20" w:hanging="190"/>
        <w:spacing w:after="0" w:line="229" w:lineRule="auto"/>
        <w:tabs>
          <w:tab w:leader="none" w:pos="360" w:val="left"/>
        </w:tabs>
        <w:numPr>
          <w:ilvl w:val="0"/>
          <w:numId w:val="272"/>
        </w:numPr>
        <w:rPr>
          <w:rFonts w:ascii="Arial" w:cs="Arial" w:eastAsia="Arial" w:hAnsi="Arial"/>
          <w:sz w:val="10"/>
          <w:szCs w:val="10"/>
          <w:color w:val="auto"/>
        </w:rPr>
      </w:pPr>
      <w:r>
        <w:rPr>
          <w:rFonts w:ascii="Arial" w:cs="Arial" w:eastAsia="Arial" w:hAnsi="Arial"/>
          <w:sz w:val="10"/>
          <w:szCs w:val="1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0"/>
          <w:szCs w:val="10"/>
          <w:color w:val="auto"/>
        </w:rPr>
      </w:pPr>
    </w:p>
    <w:p>
      <w:pPr>
        <w:ind w:left="720" w:right="20" w:hanging="190"/>
        <w:spacing w:after="0" w:line="209" w:lineRule="auto"/>
        <w:tabs>
          <w:tab w:leader="none" w:pos="720" w:val="left"/>
        </w:tabs>
        <w:numPr>
          <w:ilvl w:val="1"/>
          <w:numId w:val="272"/>
        </w:numPr>
        <w:rPr>
          <w:rFonts w:ascii="Arial" w:cs="Arial" w:eastAsia="Arial" w:hAnsi="Arial"/>
          <w:sz w:val="10"/>
          <w:szCs w:val="10"/>
          <w:color w:val="auto"/>
        </w:rPr>
      </w:pPr>
      <w:r>
        <w:rPr>
          <w:rFonts w:ascii="Arial" w:cs="Arial" w:eastAsia="Arial" w:hAnsi="Arial"/>
          <w:sz w:val="10"/>
          <w:szCs w:val="1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20" w:hanging="190"/>
        <w:spacing w:after="0"/>
        <w:tabs>
          <w:tab w:leader="none" w:pos="720" w:val="left"/>
        </w:tabs>
        <w:numPr>
          <w:ilvl w:val="1"/>
          <w:numId w:val="272"/>
        </w:numPr>
        <w:rPr>
          <w:rFonts w:ascii="Arial" w:cs="Arial" w:eastAsia="Arial" w:hAnsi="Arial"/>
          <w:sz w:val="10"/>
          <w:szCs w:val="10"/>
          <w:color w:val="auto"/>
        </w:rPr>
      </w:pPr>
      <w:r>
        <w:rPr>
          <w:rFonts w:ascii="Arial" w:cs="Arial" w:eastAsia="Arial" w:hAnsi="Arial"/>
          <w:sz w:val="10"/>
          <w:szCs w:val="10"/>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0" w:type="dxa"/>
            <w:vAlign w:val="bottom"/>
          </w:tcPr>
          <w:p>
            <w:pPr>
              <w:spacing w:after="0"/>
              <w:rPr>
                <w:sz w:val="20"/>
                <w:szCs w:val="20"/>
                <w:color w:val="auto"/>
              </w:rPr>
            </w:pPr>
            <w:r>
              <w:rPr>
                <w:rFonts w:ascii="Arial" w:cs="Arial" w:eastAsia="Arial" w:hAnsi="Arial"/>
                <w:sz w:val="10"/>
                <w:szCs w:val="10"/>
                <w:color w:val="auto"/>
              </w:rPr>
              <w:t>By:</w:t>
            </w:r>
          </w:p>
        </w:tc>
        <w:tc>
          <w:tcPr>
            <w:tcW w:w="140" w:type="dxa"/>
            <w:vAlign w:val="bottom"/>
          </w:tcPr>
          <w:p>
            <w:pPr>
              <w:spacing w:after="0"/>
              <w:rPr>
                <w:sz w:val="10"/>
                <w:szCs w:val="10"/>
                <w:color w:val="auto"/>
              </w:rPr>
            </w:pPr>
          </w:p>
        </w:tc>
        <w:tc>
          <w:tcPr>
            <w:tcW w:w="8820" w:type="dxa"/>
            <w:vAlign w:val="bottom"/>
            <w:gridSpan w:val="2"/>
          </w:tcPr>
          <w:p>
            <w:pPr>
              <w:spacing w:after="0"/>
              <w:rPr>
                <w:sz w:val="20"/>
                <w:szCs w:val="20"/>
                <w:color w:val="auto"/>
              </w:rPr>
            </w:pPr>
            <w:r>
              <w:rPr>
                <w:rFonts w:ascii="Arial" w:cs="Arial" w:eastAsia="Arial" w:hAnsi="Arial"/>
                <w:sz w:val="10"/>
                <w:szCs w:val="10"/>
                <w:color w:val="auto"/>
              </w:rPr>
              <w:t>/s/ Gilbert Avanes</w:t>
            </w:r>
          </w:p>
        </w:tc>
      </w:tr>
      <w:tr>
        <w:trPr>
          <w:trHeight w:val="73"/>
        </w:trPr>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top w:val="single" w:sz="8" w:color="auto"/>
            </w:tcBorders>
          </w:tcPr>
          <w:p>
            <w:pPr>
              <w:spacing w:after="0" w:line="74" w:lineRule="exact"/>
              <w:rPr>
                <w:sz w:val="20"/>
                <w:szCs w:val="20"/>
                <w:color w:val="auto"/>
              </w:rPr>
            </w:pPr>
            <w:r>
              <w:rPr>
                <w:rFonts w:ascii="Arial" w:cs="Arial" w:eastAsia="Arial" w:hAnsi="Arial"/>
                <w:sz w:val="7"/>
                <w:szCs w:val="7"/>
                <w:color w:val="auto"/>
              </w:rPr>
              <w:t>Gilbert Avanes</w:t>
            </w:r>
          </w:p>
        </w:tc>
        <w:tc>
          <w:tcPr>
            <w:tcW w:w="8060" w:type="dxa"/>
            <w:vAlign w:val="bottom"/>
          </w:tcPr>
          <w:p>
            <w:pPr>
              <w:spacing w:after="0"/>
              <w:rPr>
                <w:sz w:val="6"/>
                <w:szCs w:val="6"/>
                <w:color w:val="auto"/>
              </w:rPr>
            </w:pPr>
          </w:p>
        </w:tc>
      </w:tr>
      <w:tr>
        <w:trPr>
          <w:trHeight w:val="98"/>
        </w:trPr>
        <w:tc>
          <w:tcPr>
            <w:tcW w:w="240" w:type="dxa"/>
            <w:vAlign w:val="bottom"/>
          </w:tcPr>
          <w:p>
            <w:pPr>
              <w:spacing w:after="0"/>
              <w:rPr>
                <w:sz w:val="8"/>
                <w:szCs w:val="8"/>
                <w:color w:val="auto"/>
              </w:rPr>
            </w:pPr>
          </w:p>
        </w:tc>
        <w:tc>
          <w:tcPr>
            <w:tcW w:w="8960" w:type="dxa"/>
            <w:vAlign w:val="bottom"/>
            <w:gridSpan w:val="3"/>
          </w:tcPr>
          <w:p>
            <w:pPr>
              <w:ind w:left="120"/>
              <w:spacing w:after="0" w:line="98" w:lineRule="exact"/>
              <w:rPr>
                <w:sz w:val="20"/>
                <w:szCs w:val="20"/>
                <w:color w:val="auto"/>
              </w:rPr>
            </w:pPr>
            <w:r>
              <w:rPr>
                <w:rFonts w:ascii="Arial" w:cs="Arial" w:eastAsia="Arial" w:hAnsi="Arial"/>
                <w:sz w:val="10"/>
                <w:szCs w:val="10"/>
                <w:color w:val="auto"/>
              </w:rPr>
              <w:t>Executive Vice President, Chief Financial Officer and Treasurer</w:t>
            </w:r>
          </w:p>
        </w:tc>
      </w:tr>
      <w:tr>
        <w:trPr>
          <w:trHeight w:val="122"/>
        </w:trPr>
        <w:tc>
          <w:tcPr>
            <w:tcW w:w="240" w:type="dxa"/>
            <w:vAlign w:val="bottom"/>
          </w:tcPr>
          <w:p>
            <w:pPr>
              <w:spacing w:after="0"/>
              <w:rPr>
                <w:sz w:val="10"/>
                <w:szCs w:val="10"/>
                <w:color w:val="auto"/>
              </w:rPr>
            </w:pPr>
          </w:p>
        </w:tc>
        <w:tc>
          <w:tcPr>
            <w:tcW w:w="8960" w:type="dxa"/>
            <w:vAlign w:val="bottom"/>
            <w:gridSpan w:val="3"/>
          </w:tcPr>
          <w:p>
            <w:pPr>
              <w:ind w:left="120"/>
              <w:spacing w:after="0"/>
              <w:rPr>
                <w:sz w:val="20"/>
                <w:szCs w:val="20"/>
                <w:color w:val="auto"/>
              </w:rPr>
            </w:pPr>
            <w:r>
              <w:rPr>
                <w:rFonts w:ascii="Arial" w:cs="Arial" w:eastAsia="Arial" w:hAnsi="Arial"/>
                <w:sz w:val="10"/>
                <w:szCs w:val="10"/>
                <w:color w:val="auto"/>
              </w:rPr>
              <w:t>November 14, 2023</w:t>
            </w:r>
          </w:p>
        </w:tc>
      </w:tr>
      <w:tr>
        <w:trPr>
          <w:trHeight w:val="219"/>
        </w:trPr>
        <w:tc>
          <w:tcPr>
            <w:tcW w:w="24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bottom w:val="single" w:sz="8" w:color="EEEEEE"/>
            </w:tcBorders>
          </w:tcPr>
          <w:p>
            <w:pPr>
              <w:spacing w:after="0"/>
              <w:rPr>
                <w:sz w:val="19"/>
                <w:szCs w:val="19"/>
                <w:color w:val="auto"/>
              </w:rPr>
            </w:pPr>
          </w:p>
        </w:tc>
        <w:tc>
          <w:tcPr>
            <w:tcW w:w="8060" w:type="dxa"/>
            <w:vAlign w:val="bottom"/>
            <w:tcBorders>
              <w:bottom w:val="single" w:sz="8" w:color="EEEEEE"/>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873750"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73750" cy="40005"/>
                    </a:xfrm>
                    <a:prstGeom prst="rect">
                      <a:avLst/>
                    </a:prstGeom>
                    <a:noFill/>
                  </pic:spPr>
                </pic:pic>
              </a:graphicData>
            </a:graphic>
          </wp:anchor>
        </w:drawing>
      </w:r>
    </w:p>
    <w:p>
      <w:pPr>
        <w:sectPr>
          <w:pgSz w:w="11900" w:h="16840" w:orient="portrait"/>
          <w:cols w:equalWidth="0" w:num="1">
            <w:col w:w="9200"/>
          </w:cols>
          <w:pgMar w:left="1360" w:top="561" w:right="1340" w:bottom="1440" w:gutter="0" w:footer="0" w:header="0"/>
        </w:sectPr>
      </w:pPr>
    </w:p>
    <w:bookmarkStart w:id="166" w:name="page167"/>
    <w:bookmarkEnd w:id="166"/>
    <w:p>
      <w:pPr>
        <w:ind w:left="8720"/>
        <w:spacing w:after="0"/>
        <w:rPr>
          <w:sz w:val="20"/>
          <w:szCs w:val="20"/>
          <w:color w:val="auto"/>
        </w:rPr>
      </w:pPr>
      <w:r>
        <w:rPr>
          <w:rFonts w:ascii="Arial" w:cs="Arial" w:eastAsia="Arial" w:hAnsi="Arial"/>
          <w:sz w:val="8"/>
          <w:szCs w:val="8"/>
          <w:b w:val="1"/>
          <w:bCs w:val="1"/>
          <w:color w:val="auto"/>
        </w:rPr>
        <w:t>EXHIBIT 32</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CERTIFICATION PURSUANT TO</w:t>
      </w:r>
    </w:p>
    <w:p>
      <w:pPr>
        <w:jc w:val="center"/>
        <w:ind w:right="40"/>
        <w:spacing w:after="0" w:line="203" w:lineRule="auto"/>
        <w:rPr>
          <w:sz w:val="20"/>
          <w:szCs w:val="20"/>
          <w:color w:val="auto"/>
        </w:rPr>
      </w:pPr>
      <w:r>
        <w:rPr>
          <w:rFonts w:ascii="Arial" w:cs="Arial" w:eastAsia="Arial" w:hAnsi="Arial"/>
          <w:sz w:val="10"/>
          <w:szCs w:val="10"/>
          <w:color w:val="auto"/>
        </w:rPr>
        <w:t>18 U.S.C. SECTION 1350,</w:t>
      </w:r>
    </w:p>
    <w:p>
      <w:pPr>
        <w:jc w:val="center"/>
        <w:ind w:right="20"/>
        <w:spacing w:after="0" w:line="203" w:lineRule="auto"/>
        <w:rPr>
          <w:sz w:val="20"/>
          <w:szCs w:val="20"/>
          <w:color w:val="auto"/>
        </w:rPr>
      </w:pPr>
      <w:r>
        <w:rPr>
          <w:rFonts w:ascii="Arial" w:cs="Arial" w:eastAsia="Arial" w:hAnsi="Arial"/>
          <w:sz w:val="10"/>
          <w:szCs w:val="10"/>
          <w:color w:val="auto"/>
        </w:rPr>
        <w:t>AS ADOPTED PURSUANT TO</w:t>
      </w:r>
    </w:p>
    <w:p>
      <w:pPr>
        <w:jc w:val="center"/>
        <w:ind w:right="40"/>
        <w:spacing w:after="0"/>
        <w:rPr>
          <w:sz w:val="20"/>
          <w:szCs w:val="20"/>
          <w:color w:val="auto"/>
        </w:rPr>
      </w:pPr>
      <w:r>
        <w:rPr>
          <w:rFonts w:ascii="Arial" w:cs="Arial" w:eastAsia="Arial" w:hAnsi="Arial"/>
          <w:sz w:val="10"/>
          <w:szCs w:val="10"/>
          <w:color w:val="auto"/>
        </w:rPr>
        <w:t>SECTION 906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9"/>
          <w:szCs w:val="9"/>
          <w:color w:val="auto"/>
        </w:rPr>
        <w:t>Ellen M. Cotter, Chief Executive Officer, and Gilbert Avanes, Chief Financial Officer, of Reading International, Inc. (the “Company”), pursuant to 18 U.S.C. Section 1350, as adopted pursuant to Section 906 of the</w:t>
      </w:r>
    </w:p>
    <w:p>
      <w:pPr>
        <w:spacing w:after="0"/>
        <w:rPr>
          <w:sz w:val="20"/>
          <w:szCs w:val="20"/>
          <w:color w:val="auto"/>
        </w:rPr>
      </w:pPr>
      <w:r>
        <w:rPr>
          <w:rFonts w:ascii="Arial" w:cs="Arial" w:eastAsia="Arial" w:hAnsi="Arial"/>
          <w:sz w:val="10"/>
          <w:szCs w:val="10"/>
          <w:color w:val="auto"/>
        </w:rPr>
        <w:t>Sarbanes-Oxley Act of 2002, do each hereby certify, that, to his or her knowledge:</w:t>
      </w:r>
    </w:p>
    <w:p>
      <w:pPr>
        <w:spacing w:after="0" w:line="74" w:lineRule="exact"/>
        <w:rPr>
          <w:sz w:val="20"/>
          <w:szCs w:val="20"/>
          <w:color w:val="auto"/>
        </w:rPr>
      </w:pPr>
    </w:p>
    <w:p>
      <w:pPr>
        <w:ind w:left="340" w:right="120" w:hanging="170"/>
        <w:spacing w:after="0" w:line="229" w:lineRule="auto"/>
        <w:tabs>
          <w:tab w:leader="none" w:pos="340" w:val="left"/>
        </w:tabs>
        <w:numPr>
          <w:ilvl w:val="0"/>
          <w:numId w:val="273"/>
        </w:numPr>
        <w:rPr>
          <w:rFonts w:ascii="Arial" w:cs="Arial" w:eastAsia="Arial" w:hAnsi="Arial"/>
          <w:sz w:val="10"/>
          <w:szCs w:val="10"/>
          <w:color w:val="auto"/>
        </w:rPr>
      </w:pPr>
      <w:r>
        <w:rPr>
          <w:rFonts w:ascii="Arial" w:cs="Arial" w:eastAsia="Arial" w:hAnsi="Arial"/>
          <w:sz w:val="10"/>
          <w:szCs w:val="10"/>
          <w:color w:val="auto"/>
        </w:rPr>
        <w:t>The Quarterly Report on Form 10-Q for the period ended September 30, 2023 (the "Report") of the Company fully complies with the requirements of Section 13(a) or 15(d), as applicable, of the Securities Exchange Act of 1934; and</w:t>
      </w:r>
    </w:p>
    <w:p>
      <w:pPr>
        <w:spacing w:after="0" w:line="73" w:lineRule="exact"/>
        <w:rPr>
          <w:rFonts w:ascii="Arial" w:cs="Arial" w:eastAsia="Arial" w:hAnsi="Arial"/>
          <w:sz w:val="10"/>
          <w:szCs w:val="10"/>
          <w:color w:val="auto"/>
        </w:rPr>
      </w:pPr>
    </w:p>
    <w:p>
      <w:pPr>
        <w:ind w:left="340" w:hanging="170"/>
        <w:spacing w:after="0"/>
        <w:tabs>
          <w:tab w:leader="none" w:pos="340" w:val="left"/>
        </w:tabs>
        <w:numPr>
          <w:ilvl w:val="0"/>
          <w:numId w:val="273"/>
        </w:numPr>
        <w:rPr>
          <w:rFonts w:ascii="Arial" w:cs="Arial" w:eastAsia="Arial" w:hAnsi="Arial"/>
          <w:sz w:val="10"/>
          <w:szCs w:val="10"/>
          <w:color w:val="auto"/>
        </w:rPr>
      </w:pPr>
      <w:r>
        <w:rPr>
          <w:rFonts w:ascii="Arial" w:cs="Arial" w:eastAsia="Arial" w:hAnsi="Arial"/>
          <w:sz w:val="10"/>
          <w:szCs w:val="10"/>
          <w:color w:val="auto"/>
        </w:rPr>
        <w:t>The information contained in the Report fairly presents, in all material respects, the financial condition and results of operation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0"/>
          <w:szCs w:val="10"/>
          <w:color w:val="auto"/>
        </w:rPr>
        <w:t>Dated: November 14, 2023</w:t>
      </w:r>
    </w:p>
    <w:p>
      <w:pPr>
        <w:spacing w:after="0" w:line="67" w:lineRule="exact"/>
        <w:rPr>
          <w:sz w:val="20"/>
          <w:szCs w:val="20"/>
          <w:color w:val="auto"/>
        </w:rPr>
      </w:pPr>
    </w:p>
    <w:p>
      <w:pPr>
        <w:spacing w:after="0"/>
        <w:rPr>
          <w:sz w:val="20"/>
          <w:szCs w:val="20"/>
          <w:color w:val="auto"/>
        </w:rPr>
      </w:pPr>
      <w:r>
        <w:rPr>
          <w:rFonts w:ascii="Arial" w:cs="Arial" w:eastAsia="Arial" w:hAnsi="Arial"/>
          <w:sz w:val="10"/>
          <w:szCs w:val="10"/>
          <w:color w:val="auto"/>
        </w:rPr>
        <w:t>/s/ Ellen M. Cotter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53"/>
        </w:trPr>
        <w:tc>
          <w:tcPr>
            <w:tcW w:w="420" w:type="dxa"/>
            <w:vAlign w:val="bottom"/>
          </w:tcPr>
          <w:p>
            <w:pPr>
              <w:spacing w:after="0" w:line="54" w:lineRule="exact"/>
              <w:rPr>
                <w:sz w:val="20"/>
                <w:szCs w:val="20"/>
                <w:color w:val="auto"/>
              </w:rPr>
            </w:pPr>
            <w:r>
              <w:rPr>
                <w:rFonts w:ascii="Arial" w:cs="Arial" w:eastAsia="Arial" w:hAnsi="Arial"/>
                <w:sz w:val="6"/>
                <w:szCs w:val="6"/>
                <w:color w:val="auto"/>
              </w:rPr>
              <w:t>Name:</w:t>
            </w:r>
          </w:p>
        </w:tc>
        <w:tc>
          <w:tcPr>
            <w:tcW w:w="8780" w:type="dxa"/>
            <w:vAlign w:val="bottom"/>
            <w:gridSpan w:val="2"/>
          </w:tcPr>
          <w:p>
            <w:pPr>
              <w:ind w:left="220"/>
              <w:spacing w:after="0" w:line="54" w:lineRule="exact"/>
              <w:rPr>
                <w:sz w:val="20"/>
                <w:szCs w:val="20"/>
                <w:color w:val="auto"/>
              </w:rPr>
            </w:pPr>
            <w:r>
              <w:rPr>
                <w:rFonts w:ascii="Arial" w:cs="Arial" w:eastAsia="Arial" w:hAnsi="Arial"/>
                <w:sz w:val="6"/>
                <w:szCs w:val="6"/>
                <w:color w:val="auto"/>
              </w:rPr>
              <w:t>Ellen M. Cotter</w:t>
            </w:r>
          </w:p>
        </w:tc>
      </w:tr>
      <w:tr>
        <w:trPr>
          <w:trHeight w:val="122"/>
        </w:trPr>
        <w:tc>
          <w:tcPr>
            <w:tcW w:w="420" w:type="dxa"/>
            <w:vAlign w:val="bottom"/>
          </w:tcPr>
          <w:p>
            <w:pPr>
              <w:spacing w:after="0"/>
              <w:rPr>
                <w:sz w:val="20"/>
                <w:szCs w:val="20"/>
                <w:color w:val="auto"/>
              </w:rPr>
            </w:pPr>
            <w:r>
              <w:rPr>
                <w:rFonts w:ascii="Arial" w:cs="Arial" w:eastAsia="Arial" w:hAnsi="Arial"/>
                <w:sz w:val="10"/>
                <w:szCs w:val="10"/>
                <w:color w:val="auto"/>
              </w:rPr>
              <w:t>Title:</w:t>
            </w:r>
          </w:p>
        </w:tc>
        <w:tc>
          <w:tcPr>
            <w:tcW w:w="8780" w:type="dxa"/>
            <w:vAlign w:val="bottom"/>
            <w:gridSpan w:val="2"/>
          </w:tcPr>
          <w:p>
            <w:pPr>
              <w:ind w:left="140"/>
              <w:spacing w:after="0"/>
              <w:rPr>
                <w:sz w:val="20"/>
                <w:szCs w:val="20"/>
                <w:color w:val="auto"/>
              </w:rPr>
            </w:pPr>
            <w:r>
              <w:rPr>
                <w:rFonts w:ascii="Arial" w:cs="Arial" w:eastAsia="Arial" w:hAnsi="Arial"/>
                <w:sz w:val="10"/>
                <w:szCs w:val="10"/>
                <w:color w:val="auto"/>
              </w:rPr>
              <w:t>President and Chief Executive Officer</w:t>
            </w:r>
          </w:p>
        </w:tc>
      </w:tr>
      <w:tr>
        <w:trPr>
          <w:trHeight w:val="174"/>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w w:val="93"/>
              </w:rPr>
              <w:t>/s/ Gilbert Avanes</w:t>
            </w:r>
          </w:p>
        </w:tc>
        <w:tc>
          <w:tcPr>
            <w:tcW w:w="8420" w:type="dxa"/>
            <w:vAlign w:val="bottom"/>
          </w:tcPr>
          <w:p>
            <w:pPr>
              <w:spacing w:after="0"/>
              <w:rPr>
                <w:sz w:val="15"/>
                <w:szCs w:val="15"/>
                <w:color w:val="auto"/>
              </w:rPr>
            </w:pPr>
          </w:p>
        </w:tc>
      </w:tr>
      <w:tr>
        <w:trPr>
          <w:trHeight w:val="73"/>
        </w:trPr>
        <w:tc>
          <w:tcPr>
            <w:tcW w:w="420" w:type="dxa"/>
            <w:vAlign w:val="bottom"/>
          </w:tcPr>
          <w:p>
            <w:pPr>
              <w:spacing w:after="0" w:line="74" w:lineRule="exact"/>
              <w:rPr>
                <w:sz w:val="20"/>
                <w:szCs w:val="20"/>
                <w:color w:val="auto"/>
              </w:rPr>
            </w:pPr>
            <w:r>
              <w:rPr>
                <w:rFonts w:ascii="Arial" w:cs="Arial" w:eastAsia="Arial" w:hAnsi="Arial"/>
                <w:sz w:val="7"/>
                <w:szCs w:val="7"/>
                <w:color w:val="auto"/>
              </w:rPr>
              <w:t>Name:</w:t>
            </w:r>
          </w:p>
        </w:tc>
        <w:tc>
          <w:tcPr>
            <w:tcW w:w="8780" w:type="dxa"/>
            <w:vAlign w:val="bottom"/>
            <w:gridSpan w:val="2"/>
          </w:tcPr>
          <w:p>
            <w:pPr>
              <w:ind w:left="220"/>
              <w:spacing w:after="0" w:line="74" w:lineRule="exact"/>
              <w:rPr>
                <w:sz w:val="20"/>
                <w:szCs w:val="20"/>
                <w:color w:val="auto"/>
              </w:rPr>
            </w:pPr>
            <w:r>
              <w:rPr>
                <w:rFonts w:ascii="Arial" w:cs="Arial" w:eastAsia="Arial" w:hAnsi="Arial"/>
                <w:sz w:val="7"/>
                <w:szCs w:val="7"/>
                <w:color w:val="auto"/>
              </w:rPr>
              <w:t>Gilbert Avanes</w:t>
            </w:r>
          </w:p>
        </w:tc>
      </w:tr>
      <w:tr>
        <w:trPr>
          <w:trHeight w:val="122"/>
        </w:trPr>
        <w:tc>
          <w:tcPr>
            <w:tcW w:w="420" w:type="dxa"/>
            <w:vAlign w:val="bottom"/>
          </w:tcPr>
          <w:p>
            <w:pPr>
              <w:spacing w:after="0"/>
              <w:rPr>
                <w:sz w:val="20"/>
                <w:szCs w:val="20"/>
                <w:color w:val="auto"/>
              </w:rPr>
            </w:pPr>
            <w:r>
              <w:rPr>
                <w:rFonts w:ascii="Arial" w:cs="Arial" w:eastAsia="Arial" w:hAnsi="Arial"/>
                <w:sz w:val="10"/>
                <w:szCs w:val="10"/>
                <w:color w:val="auto"/>
              </w:rPr>
              <w:t>Title:</w:t>
            </w:r>
          </w:p>
        </w:tc>
        <w:tc>
          <w:tcPr>
            <w:tcW w:w="8780" w:type="dxa"/>
            <w:vAlign w:val="bottom"/>
            <w:gridSpan w:val="2"/>
          </w:tcPr>
          <w:p>
            <w:pPr>
              <w:ind w:left="140"/>
              <w:spacing w:after="0"/>
              <w:rPr>
                <w:sz w:val="20"/>
                <w:szCs w:val="20"/>
                <w:color w:val="auto"/>
              </w:rPr>
            </w:pPr>
            <w:r>
              <w:rPr>
                <w:rFonts w:ascii="Arial" w:cs="Arial" w:eastAsia="Arial" w:hAnsi="Arial"/>
                <w:sz w:val="10"/>
                <w:szCs w:val="10"/>
                <w:color w:val="auto"/>
              </w:rPr>
              <w:t>Executive Vice President, Chief Financial Officer and Treasurer</w:t>
            </w:r>
          </w:p>
        </w:tc>
      </w:tr>
      <w:tr>
        <w:trPr>
          <w:trHeight w:val="294"/>
        </w:trPr>
        <w:tc>
          <w:tcPr>
            <w:tcW w:w="4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84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-26670</wp:posOffset>
            </wp:positionV>
            <wp:extent cx="587375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73750" cy="40005"/>
                    </a:xfrm>
                    <a:prstGeom prst="rect">
                      <a:avLst/>
                    </a:prstGeom>
                    <a:noFill/>
                  </pic:spPr>
                </pic:pic>
              </a:graphicData>
            </a:graphic>
          </wp:anchor>
        </w:drawing>
      </w:r>
    </w:p>
    <w:p>
      <w:pPr>
        <w:sectPr>
          <w:pgSz w:w="11900" w:h="16840" w:orient="portrait"/>
          <w:cols w:equalWidth="0" w:num="1">
            <w:col w:w="9200"/>
          </w:cols>
          <w:pgMar w:left="1360" w:top="561" w:right="1340" w:bottom="1440" w:gutter="0" w:footer="0" w:header="0"/>
        </w:sectPr>
      </w:pPr>
    </w:p>
    <w:bookmarkStart w:id="167" w:name="page168"/>
    <w:bookmarkEnd w:id="16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EE5A5B"/>
    <w:multiLevelType w:val="hybridMultilevel"/>
    <w:lvl w:ilvl="0">
      <w:lvlJc w:val="left"/>
      <w:lvlText w:val="☑"/>
      <w:numFmt w:val="bullet"/>
      <w:start w:val="1"/>
    </w:lvl>
  </w:abstractNum>
  <w:abstractNum w:abstractNumId="1">
    <w:nsid w:val="5551B9F3"/>
    <w:multiLevelType w:val="hybridMultilevel"/>
    <w:lvl w:ilvl="0">
      <w:lvlJc w:val="left"/>
      <w:lvlText w:val="☐"/>
      <w:numFmt w:val="bullet"/>
      <w:start w:val="1"/>
    </w:lvl>
  </w:abstractNum>
  <w:abstractNum w:abstractNumId="2">
    <w:nsid w:val="24F6AB8E"/>
    <w:multiLevelType w:val="hybridMultilevel"/>
    <w:lvl w:ilvl="0">
      <w:lvlJc w:val="left"/>
      <w:lvlText w:val="(%1)"/>
      <w:numFmt w:val="lowerRoman"/>
      <w:start w:val="1"/>
    </w:lvl>
  </w:abstractNum>
  <w:abstractNum w:abstractNumId="3">
    <w:nsid w:val="634C574C"/>
    <w:multiLevelType w:val="hybridMultilevel"/>
    <w:lvl w:ilvl="0">
      <w:lvlJc w:val="left"/>
      <w:lvlText w:val="(%1)"/>
      <w:numFmt w:val="decimal"/>
      <w:start w:val="1"/>
    </w:lvl>
  </w:abstractNum>
  <w:abstractNum w:abstractNumId="4">
    <w:nsid w:val="24E99DD7"/>
    <w:multiLevelType w:val="hybridMultilevel"/>
    <w:lvl w:ilvl="0">
      <w:lvlJc w:val="left"/>
      <w:lvlText w:val="(%1)"/>
      <w:numFmt w:val="decimal"/>
      <w:start w:val="1"/>
    </w:lvl>
  </w:abstractNum>
  <w:abstractNum w:abstractNumId="5">
    <w:nsid w:val="2A31B62D"/>
    <w:multiLevelType w:val="hybridMultilevel"/>
    <w:lvl w:ilvl="0">
      <w:lvlJc w:val="left"/>
      <w:lvlText w:val="(%1)"/>
      <w:numFmt w:val="decimal"/>
      <w:start w:val="1"/>
    </w:lvl>
  </w:abstractNum>
  <w:abstractNum w:abstractNumId="6">
    <w:nsid w:val="1849C29B"/>
    <w:multiLevelType w:val="hybridMultilevel"/>
    <w:lvl w:ilvl="0">
      <w:lvlJc w:val="left"/>
      <w:lvlText w:val="(%1)"/>
      <w:numFmt w:val="decimal"/>
      <w:start w:val="1"/>
    </w:lvl>
  </w:abstractNum>
  <w:abstractNum w:abstractNumId="7">
    <w:nsid w:val="7DFF9D09"/>
    <w:multiLevelType w:val="hybridMultilevel"/>
    <w:lvl w:ilvl="0">
      <w:lvlJc w:val="left"/>
      <w:lvlText w:val="(%1)"/>
      <w:numFmt w:val="decimal"/>
      <w:start w:val="1"/>
    </w:lvl>
  </w:abstractNum>
  <w:abstractNum w:abstractNumId="8">
    <w:nsid w:val="754342"/>
    <w:multiLevelType w:val="hybridMultilevel"/>
    <w:lvl w:ilvl="0">
      <w:lvlJc w:val="left"/>
      <w:lvlText w:val="(%1)"/>
      <w:numFmt w:val="lowerRoman"/>
      <w:start w:val="1"/>
    </w:lvl>
  </w:abstractNum>
  <w:abstractNum w:abstractNumId="9">
    <w:nsid w:val="69E7F3E5"/>
    <w:multiLevelType w:val="hybridMultilevel"/>
    <w:lvl w:ilvl="0">
      <w:lvlJc w:val="left"/>
      <w:lvlText w:val="(%1)"/>
      <w:numFmt w:val="lowerRoman"/>
      <w:start w:val="2"/>
    </w:lvl>
  </w:abstractNum>
  <w:abstractNum w:abstractNumId="10">
    <w:nsid w:val="2A6DE806"/>
    <w:multiLevelType w:val="hybridMultilevel"/>
    <w:lvl w:ilvl="0">
      <w:lvlJc w:val="left"/>
      <w:lvlText w:val="%1"/>
      <w:numFmt w:val="decimal"/>
      <w:start w:val="101"/>
    </w:lvl>
  </w:abstractNum>
  <w:abstractNum w:abstractNumId="11">
    <w:nsid w:val="1816F8C4"/>
    <w:multiLevelType w:val="hybridMultilevel"/>
    <w:lvl w:ilvl="0">
      <w:lvlJc w:val="left"/>
      <w:lvlText w:val="*"/>
      <w:numFmt w:val="bullet"/>
      <w:start w:val="1"/>
    </w:lvl>
    <w:lvl w:ilvl="1">
      <w:lvlJc w:val="left"/>
      <w:lvlText w:val="%2"/>
      <w:numFmt w:val="decimal"/>
      <w:start w:val="104"/>
    </w:lvl>
  </w:abstractNum>
  <w:abstractNum w:abstractNumId="12">
    <w:nsid w:val="37DF2233"/>
    <w:multiLevelType w:val="hybridMultilevel"/>
    <w:lvl w:ilvl="0">
      <w:lvlJc w:val="left"/>
      <w:lvlText w:val="**"/>
      <w:numFmt w:val="bullet"/>
      <w:start w:val="1"/>
    </w:lvl>
    <w:lvl w:ilvl="1">
      <w:lvlJc w:val="left"/>
      <w:lvlText w:val="%2"/>
      <w:numFmt w:val="decimal"/>
      <w:start w:val="1"/>
    </w:lvl>
  </w:abstractNum>
  <w:abstractNum w:abstractNumId="13">
    <w:nsid w:val="7AB49DAF"/>
    <w:multiLevelType w:val="hybridMultilevel"/>
    <w:lvl w:ilvl="0">
      <w:lvlJc w:val="left"/>
      <w:lvlText w:val="1"/>
      <w:numFmt w:val="bullet"/>
      <w:start w:val="1"/>
    </w:lvl>
  </w:abstractNum>
  <w:abstractNum w:abstractNumId="14">
    <w:nsid w:val="759F82CD"/>
    <w:multiLevelType w:val="hybridMultilevel"/>
    <w:lvl w:ilvl="0">
      <w:lvlJc w:val="left"/>
      <w:lvlText w:val="2"/>
      <w:numFmt w:val="bullet"/>
      <w:start w:val="1"/>
    </w:lvl>
  </w:abstractNum>
  <w:abstractNum w:abstractNumId="15">
    <w:nsid w:val="61E74EA3"/>
    <w:multiLevelType w:val="hybridMultilevel"/>
    <w:lvl w:ilvl="0">
      <w:lvlJc w:val="left"/>
      <w:lvlText w:val="3"/>
      <w:numFmt w:val="bullet"/>
      <w:start w:val="1"/>
    </w:lvl>
  </w:abstractNum>
  <w:abstractNum w:abstractNumId="16">
    <w:nsid w:val="597B4D8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
    <w:nsid w:val="F819E7F"/>
    <w:multiLevelType w:val="hybridMultilevel"/>
    <w:lvl w:ilvl="0">
      <w:lvlJc w:val="left"/>
      <w:lvlText w:val="(%1)"/>
      <w:numFmt w:val="lowerLetter"/>
      <w:start w:val="3"/>
    </w:lvl>
    <w:lvl w:ilvl="1">
      <w:lvlJc w:val="left"/>
      <w:lvlText w:val="(%2)"/>
      <w:numFmt w:val="lowerLetter"/>
      <w:start w:val="4"/>
    </w:lvl>
  </w:abstractNum>
  <w:abstractNum w:abstractNumId="18">
    <w:nsid w:val="57C7D42D"/>
    <w:multiLevelType w:val="hybridMultilevel"/>
    <w:lvl w:ilvl="0">
      <w:lvlJc w:val="left"/>
      <w:lvlText w:val="%1"/>
      <w:numFmt w:val="lowerLetter"/>
      <w:start w:val="1"/>
    </w:lvl>
    <w:lvl w:ilvl="1">
      <w:lvlJc w:val="left"/>
      <w:lvlText w:val="(%2)"/>
      <w:numFmt w:val="lowerLetter"/>
      <w:start w:val="1"/>
    </w:lvl>
  </w:abstractNum>
  <w:abstractNum w:abstractNumId="19">
    <w:nsid w:val="312167AD"/>
    <w:multiLevelType w:val="hybridMultilevel"/>
    <w:lvl w:ilvl="0">
      <w:lvlJc w:val="left"/>
      <w:lvlText w:val="(%1)"/>
      <w:numFmt w:val="lowerLetter"/>
      <w:start w:val="2"/>
    </w:lvl>
    <w:lvl w:ilvl="1">
      <w:lvlJc w:val="left"/>
      <w:lvlText w:val="%2"/>
      <w:numFmt w:val="lowerLetter"/>
      <w:start w:val="1"/>
    </w:lvl>
  </w:abstractNum>
  <w:abstractNum w:abstractNumId="20">
    <w:nsid w:val="631B64D4"/>
    <w:multiLevelType w:val="hybridMultilevel"/>
    <w:lvl w:ilvl="0">
      <w:lvlJc w:val="left"/>
      <w:lvlText w:val="4"/>
      <w:numFmt w:val="bullet"/>
      <w:start w:val="1"/>
    </w:lvl>
  </w:abstractNum>
  <w:abstractNum w:abstractNumId="21">
    <w:nsid w:val="78B5E776"/>
    <w:multiLevelType w:val="hybridMultilevel"/>
    <w:lvl w:ilvl="0">
      <w:lvlJc w:val="left"/>
      <w:lvlText w:val="5"/>
      <w:numFmt w:val="bullet"/>
      <w:start w:val="1"/>
    </w:lvl>
  </w:abstractNum>
  <w:abstractNum w:abstractNumId="22">
    <w:nsid w:val="75486E47"/>
    <w:multiLevelType w:val="hybridMultilevel"/>
    <w:lvl w:ilvl="0">
      <w:lvlJc w:val="left"/>
      <w:lvlText w:val="(%1)"/>
      <w:numFmt w:val="lowerLetter"/>
      <w:start w:val="1"/>
    </w:lvl>
  </w:abstractNum>
  <w:abstractNum w:abstractNumId="23">
    <w:nsid w:val="6E534CDE"/>
    <w:multiLevelType w:val="hybridMultilevel"/>
    <w:lvl w:ilvl="0">
      <w:lvlJc w:val="left"/>
      <w:lvlText w:val="6"/>
      <w:numFmt w:val="bullet"/>
      <w:start w:val="1"/>
    </w:lvl>
  </w:abstractNum>
  <w:abstractNum w:abstractNumId="24">
    <w:nsid w:val="1A0DDE32"/>
    <w:multiLevelType w:val="hybridMultilevel"/>
    <w:lvl w:ilvl="0">
      <w:lvlJc w:val="left"/>
      <w:lvlText w:val="(%1)"/>
      <w:numFmt w:val="lowerLetter"/>
      <w:start w:val="1"/>
    </w:lvl>
  </w:abstractNum>
  <w:abstractNum w:abstractNumId="25">
    <w:nsid w:val="65968C1C"/>
    <w:multiLevelType w:val="hybridMultilevel"/>
    <w:lvl w:ilvl="0">
      <w:lvlJc w:val="left"/>
      <w:lvlText w:val="7"/>
      <w:numFmt w:val="bullet"/>
      <w:start w:val="1"/>
    </w:lvl>
  </w:abstractNum>
  <w:abstractNum w:abstractNumId="26">
    <w:nsid w:val="46263DEC"/>
    <w:multiLevelType w:val="hybridMultilevel"/>
    <w:lvl w:ilvl="0">
      <w:lvlJc w:val="left"/>
      <w:lvlText w:val="(%1)"/>
      <w:numFmt w:val="lowerLetter"/>
      <w:start w:val="1"/>
    </w:lvl>
    <w:lvl w:ilvl="1">
      <w:lvlJc w:val="left"/>
      <w:lvlText w:val="(%2)"/>
      <w:numFmt w:val="lowerRoman"/>
      <w:start w:val="1"/>
    </w:lvl>
  </w:abstractNum>
  <w:abstractNum w:abstractNumId="27">
    <w:nsid w:val="260D8C4A"/>
    <w:multiLevelType w:val="hybridMultilevel"/>
    <w:lvl w:ilvl="0">
      <w:lvlJc w:val="left"/>
      <w:lvlText w:val="(%1)"/>
      <w:numFmt w:val="lowerLetter"/>
      <w:start w:val="1"/>
    </w:lvl>
  </w:abstractNum>
  <w:abstractNum w:abstractNumId="28">
    <w:nsid w:val="73D4D3C4"/>
    <w:multiLevelType w:val="hybridMultilevel"/>
    <w:lvl w:ilvl="0">
      <w:lvlJc w:val="left"/>
      <w:lvlText w:val="(%1)"/>
      <w:numFmt w:val="lowerLetter"/>
      <w:start w:val="1"/>
    </w:lvl>
    <w:lvl w:ilvl="1">
      <w:lvlJc w:val="left"/>
      <w:lvlText w:val="(%2)"/>
      <w:numFmt w:val="lowerLetter"/>
      <w:start w:val="1"/>
    </w:lvl>
  </w:abstractNum>
  <w:abstractNum w:abstractNumId="29">
    <w:nsid w:val="746F2E30"/>
    <w:multiLevelType w:val="hybridMultilevel"/>
    <w:lvl w:ilvl="0">
      <w:lvlJc w:val="left"/>
      <w:lvlText w:val="1"/>
      <w:numFmt w:val="bullet"/>
      <w:start w:val="1"/>
    </w:lvl>
  </w:abstractNum>
  <w:abstractNum w:abstractNumId="30">
    <w:nsid w:val="6FDE8AF6"/>
    <w:multiLevelType w:val="hybridMultilevel"/>
    <w:lvl w:ilvl="0">
      <w:lvlJc w:val="left"/>
      <w:lvlText w:val="(%1)"/>
      <w:numFmt w:val="lowerLetter"/>
      <w:start w:val="1"/>
    </w:lvl>
  </w:abstractNum>
  <w:abstractNum w:abstractNumId="31">
    <w:nsid w:val="3FC32E20"/>
    <w:multiLevelType w:val="hybridMultilevel"/>
    <w:lvl w:ilvl="0">
      <w:lvlJc w:val="left"/>
      <w:lvlText w:val="(%1)"/>
      <w:numFmt w:val="lowerLetter"/>
      <w:start w:val="1"/>
    </w:lvl>
  </w:abstractNum>
  <w:abstractNum w:abstractNumId="32">
    <w:nsid w:val="49C0E823"/>
    <w:multiLevelType w:val="hybridMultilevel"/>
    <w:lvl w:ilvl="0">
      <w:lvlJc w:val="left"/>
      <w:lvlText w:val="(%1)"/>
      <w:numFmt w:val="lowerLetter"/>
      <w:start w:val="1"/>
    </w:lvl>
    <w:lvl w:ilvl="1">
      <w:lvlJc w:val="left"/>
      <w:lvlText w:val="(%2)"/>
      <w:numFmt w:val="lowerRoman"/>
      <w:start w:val="1"/>
    </w:lvl>
  </w:abstractNum>
  <w:abstractNum w:abstractNumId="33">
    <w:nsid w:val="14D53685"/>
    <w:multiLevelType w:val="hybridMultilevel"/>
    <w:lvl w:ilvl="0">
      <w:lvlJc w:val="left"/>
      <w:lvlText w:val="(%1)"/>
      <w:numFmt w:val="lowerLetter"/>
      <w:start w:val="1"/>
    </w:lvl>
  </w:abstractNum>
  <w:abstractNum w:abstractNumId="34">
    <w:nsid w:val="230F856C"/>
    <w:multiLevelType w:val="hybridMultilevel"/>
    <w:lvl w:ilvl="0">
      <w:lvlJc w:val="left"/>
      <w:lvlText w:val="(%1)"/>
      <w:numFmt w:val="lowerLetter"/>
      <w:start w:val="1"/>
    </w:lvl>
  </w:abstractNum>
  <w:abstractNum w:abstractNumId="35">
    <w:nsid w:val="6EAA85FB"/>
    <w:multiLevelType w:val="hybridMultilevel"/>
    <w:lvl w:ilvl="0">
      <w:lvlJc w:val="left"/>
      <w:lvlText w:val="(%1)"/>
      <w:numFmt w:val="lowerLetter"/>
      <w:start w:val="1"/>
    </w:lvl>
  </w:abstractNum>
  <w:abstractNum w:abstractNumId="36">
    <w:nsid w:val="3F06ECB2"/>
    <w:multiLevelType w:val="hybridMultilevel"/>
    <w:lvl w:ilvl="0">
      <w:lvlJc w:val="left"/>
      <w:lvlText w:val="(%1)"/>
      <w:numFmt w:val="lowerLetter"/>
      <w:start w:val="2"/>
    </w:lvl>
    <w:lvl w:ilvl="1">
      <w:lvlJc w:val="left"/>
      <w:lvlText w:val="(%2)"/>
      <w:numFmt w:val="lowerRoman"/>
      <w:start w:val="1"/>
    </w:lvl>
  </w:abstractNum>
  <w:abstractNum w:abstractNumId="37">
    <w:nsid w:val="3B594807"/>
    <w:multiLevelType w:val="hybridMultilevel"/>
    <w:lvl w:ilvl="0">
      <w:lvlJc w:val="left"/>
      <w:lvlText w:val="(%1)"/>
      <w:numFmt w:val="lowerLetter"/>
      <w:start w:val="1"/>
    </w:lvl>
  </w:abstractNum>
  <w:abstractNum w:abstractNumId="38">
    <w:nsid w:val="6CAA2304"/>
    <w:multiLevelType w:val="hybridMultilevel"/>
    <w:lvl w:ilvl="0">
      <w:lvlJc w:val="left"/>
      <w:lvlText w:val="(%1)"/>
      <w:numFmt w:val="lowerLetter"/>
      <w:start w:val="1"/>
    </w:lvl>
  </w:abstractNum>
  <w:abstractNum w:abstractNumId="39">
    <w:nsid w:val="3F7C2FF4"/>
    <w:multiLevelType w:val="hybridMultilevel"/>
    <w:lvl w:ilvl="0">
      <w:lvlJc w:val="left"/>
      <w:lvlText w:val="(%1)"/>
      <w:numFmt w:val="lowerLetter"/>
      <w:start w:val="1"/>
    </w:lvl>
  </w:abstractNum>
  <w:abstractNum w:abstractNumId="40">
    <w:nsid w:val="25413BEC"/>
    <w:multiLevelType w:val="hybridMultilevel"/>
    <w:lvl w:ilvl="0">
      <w:lvlJc w:val="left"/>
      <w:lvlText w:val="(%1)"/>
      <w:numFmt w:val="lowerLetter"/>
      <w:start w:val="2"/>
    </w:lvl>
  </w:abstractNum>
  <w:abstractNum w:abstractNumId="41">
    <w:nsid w:val="17180B0B"/>
    <w:multiLevelType w:val="hybridMultilevel"/>
    <w:lvl w:ilvl="0">
      <w:lvlJc w:val="left"/>
      <w:lvlText w:val="(%1)"/>
      <w:numFmt w:val="lowerLetter"/>
      <w:start w:val="1"/>
    </w:lvl>
  </w:abstractNum>
  <w:abstractNum w:abstractNumId="42">
    <w:nsid w:val="579328B9"/>
    <w:multiLevelType w:val="hybridMultilevel"/>
    <w:lvl w:ilvl="0">
      <w:lvlJc w:val="left"/>
      <w:lvlText w:val="(%1)"/>
      <w:numFmt w:val="lowerLetter"/>
      <w:start w:val="1"/>
    </w:lvl>
  </w:abstractNum>
  <w:abstractNum w:abstractNumId="43">
    <w:nsid w:val="5D205E20"/>
    <w:multiLevelType w:val="hybridMultilevel"/>
    <w:lvl w:ilvl="0">
      <w:lvlJc w:val="left"/>
      <w:lvlText w:val="(%1)"/>
      <w:numFmt w:val="lowerLetter"/>
      <w:start w:val="1"/>
    </w:lvl>
  </w:abstractNum>
  <w:abstractNum w:abstractNumId="44">
    <w:nsid w:val="11CCA8BA"/>
    <w:multiLevelType w:val="hybridMultilevel"/>
    <w:lvl w:ilvl="0">
      <w:lvlJc w:val="left"/>
      <w:lvlText w:val="(%1)"/>
      <w:numFmt w:val="lowerLetter"/>
      <w:start w:val="7"/>
    </w:lvl>
  </w:abstractNum>
  <w:abstractNum w:abstractNumId="45">
    <w:nsid w:val="4D32AB86"/>
    <w:multiLevelType w:val="hybridMultilevel"/>
    <w:lvl w:ilvl="0">
      <w:lvlJc w:val="left"/>
      <w:lvlText w:val="(%1)"/>
      <w:numFmt w:val="lowerLetter"/>
      <w:start w:val="1"/>
    </w:lvl>
    <w:lvl w:ilvl="1">
      <w:lvlJc w:val="left"/>
      <w:lvlText w:val="(%2)"/>
      <w:numFmt w:val="lowerRoman"/>
      <w:start w:val="1"/>
    </w:lvl>
  </w:abstractNum>
  <w:abstractNum w:abstractNumId="46">
    <w:nsid w:val="3F07ACC3"/>
    <w:multiLevelType w:val="hybridMultilevel"/>
    <w:lvl w:ilvl="0">
      <w:lvlJc w:val="left"/>
      <w:lvlText w:val="(%1)"/>
      <w:numFmt w:val="lowerRoman"/>
      <w:start w:val="1"/>
    </w:lvl>
  </w:abstractNum>
  <w:abstractNum w:abstractNumId="47">
    <w:nsid w:val="6B47F63E"/>
    <w:multiLevelType w:val="hybridMultilevel"/>
    <w:lvl w:ilvl="0">
      <w:lvlJc w:val="left"/>
      <w:lvlText w:val="(%1)"/>
      <w:numFmt w:val="upperLetter"/>
      <w:start w:val="1"/>
    </w:lvl>
  </w:abstractNum>
  <w:abstractNum w:abstractNumId="48">
    <w:nsid w:val="5CB44A05"/>
    <w:multiLevelType w:val="hybridMultilevel"/>
    <w:lvl w:ilvl="0">
      <w:lvlJc w:val="left"/>
      <w:lvlText w:val="(%1)"/>
      <w:numFmt w:val="upperLetter"/>
      <w:start w:val="1"/>
    </w:lvl>
  </w:abstractNum>
  <w:abstractNum w:abstractNumId="49">
    <w:nsid w:val="16CF80F1"/>
    <w:multiLevelType w:val="hybridMultilevel"/>
    <w:lvl w:ilvl="0">
      <w:lvlJc w:val="left"/>
      <w:lvlText w:val="(%1)"/>
      <w:numFmt w:val="upperLetter"/>
      <w:start w:val="2"/>
    </w:lvl>
  </w:abstractNum>
  <w:abstractNum w:abstractNumId="50">
    <w:nsid w:val="1C695DEC"/>
    <w:multiLevelType w:val="hybridMultilevel"/>
    <w:lvl w:ilvl="0">
      <w:lvlJc w:val="left"/>
      <w:lvlText w:val="(%1)"/>
      <w:numFmt w:val="upperLetter"/>
      <w:start w:val="1"/>
    </w:lvl>
  </w:abstractNum>
  <w:abstractNum w:abstractNumId="51">
    <w:nsid w:val="3FCFAED9"/>
    <w:multiLevelType w:val="hybridMultilevel"/>
    <w:lvl w:ilvl="0">
      <w:lvlJc w:val="left"/>
      <w:lvlText w:val="(%1)"/>
      <w:numFmt w:val="upperLetter"/>
      <w:start w:val="1"/>
    </w:lvl>
  </w:abstractNum>
  <w:abstractNum w:abstractNumId="52">
    <w:nsid w:val="F856867"/>
    <w:multiLevelType w:val="hybridMultilevel"/>
    <w:lvl w:ilvl="0">
      <w:lvlJc w:val="left"/>
      <w:lvlText w:val="(%1)"/>
      <w:numFmt w:val="upperLetter"/>
      <w:start w:val="1"/>
    </w:lvl>
  </w:abstractNum>
  <w:abstractNum w:abstractNumId="53">
    <w:nsid w:val="11B1CC33"/>
    <w:multiLevelType w:val="hybridMultilevel"/>
    <w:lvl w:ilvl="0">
      <w:lvlJc w:val="left"/>
      <w:lvlText w:val="(%1)"/>
      <w:numFmt w:val="upperLetter"/>
      <w:start w:val="1"/>
    </w:lvl>
  </w:abstractNum>
  <w:abstractNum w:abstractNumId="54">
    <w:nsid w:val="2E22FBB7"/>
    <w:multiLevelType w:val="hybridMultilevel"/>
    <w:lvl w:ilvl="0">
      <w:lvlJc w:val="left"/>
      <w:lvlText w:val="(%1)"/>
      <w:numFmt w:val="lowerLetter"/>
      <w:start w:val="1"/>
    </w:lvl>
  </w:abstractNum>
  <w:abstractNum w:abstractNumId="55">
    <w:nsid w:val="29934699"/>
    <w:multiLevelType w:val="hybridMultilevel"/>
    <w:lvl w:ilvl="0">
      <w:lvlJc w:val="left"/>
      <w:lvlText w:val="(%1)"/>
      <w:numFmt w:val="lowerLetter"/>
      <w:start w:val="1"/>
    </w:lvl>
    <w:lvl w:ilvl="1">
      <w:lvlJc w:val="left"/>
      <w:lvlText w:val="(%2)"/>
      <w:numFmt w:val="lowerRoman"/>
      <w:start w:val="1"/>
    </w:lvl>
  </w:abstractNum>
  <w:abstractNum w:abstractNumId="56">
    <w:nsid w:val="77485850"/>
    <w:multiLevelType w:val="hybridMultilevel"/>
    <w:lvl w:ilvl="0">
      <w:lvlJc w:val="left"/>
      <w:lvlText w:val="(%1)"/>
      <w:numFmt w:val="lowerLetter"/>
      <w:start w:val="1"/>
    </w:lvl>
  </w:abstractNum>
  <w:abstractNum w:abstractNumId="57">
    <w:nsid w:val="744939A3"/>
    <w:multiLevelType w:val="hybridMultilevel"/>
    <w:lvl w:ilvl="0">
      <w:lvlJc w:val="left"/>
      <w:lvlText w:val="(%1)"/>
      <w:numFmt w:val="lowerLetter"/>
      <w:start w:val="7"/>
    </w:lvl>
  </w:abstractNum>
  <w:abstractNum w:abstractNumId="58">
    <w:nsid w:val="4FA0D2E3"/>
    <w:multiLevelType w:val="hybridMultilevel"/>
    <w:lvl w:ilvl="0">
      <w:lvlJc w:val="left"/>
      <w:lvlText w:val="(%1)"/>
      <w:numFmt w:val="lowerLetter"/>
      <w:start w:val="1"/>
    </w:lvl>
  </w:abstractNum>
  <w:abstractNum w:abstractNumId="59">
    <w:nsid w:val="6B1D2C14"/>
    <w:multiLevelType w:val="hybridMultilevel"/>
    <w:lvl w:ilvl="0">
      <w:lvlJc w:val="left"/>
      <w:lvlText w:val="(%1)"/>
      <w:numFmt w:val="lowerLetter"/>
      <w:start w:val="1"/>
    </w:lvl>
  </w:abstractNum>
  <w:abstractNum w:abstractNumId="60">
    <w:nsid w:val="68B867D3"/>
    <w:multiLevelType w:val="hybridMultilevel"/>
    <w:lvl w:ilvl="0">
      <w:lvlJc w:val="left"/>
      <w:lvlText w:val="(%1)"/>
      <w:numFmt w:val="lowerLetter"/>
      <w:start w:val="3"/>
    </w:lvl>
  </w:abstractNum>
  <w:abstractNum w:abstractNumId="61">
    <w:nsid w:val="3F7F5DD9"/>
    <w:multiLevelType w:val="hybridMultilevel"/>
    <w:lvl w:ilvl="0">
      <w:lvlJc w:val="left"/>
      <w:lvlText w:val="(%1)"/>
      <w:numFmt w:val="lowerLetter"/>
      <w:start w:val="1"/>
    </w:lvl>
  </w:abstractNum>
  <w:abstractNum w:abstractNumId="62">
    <w:nsid w:val="2AE05A34"/>
    <w:multiLevelType w:val="hybridMultilevel"/>
    <w:lvl w:ilvl="0">
      <w:lvlJc w:val="left"/>
      <w:lvlText w:val="(%1)"/>
      <w:numFmt w:val="lowerRoman"/>
      <w:start w:val="1"/>
    </w:lvl>
  </w:abstractNum>
  <w:abstractNum w:abstractNumId="63">
    <w:nsid w:val="32794FF7"/>
    <w:multiLevelType w:val="hybridMultilevel"/>
    <w:lvl w:ilvl="0">
      <w:lvlJc w:val="left"/>
      <w:lvlText w:val="%1"/>
      <w:numFmt w:val="lowerLetter"/>
      <w:start w:val="1"/>
    </w:lvl>
    <w:lvl w:ilvl="1">
      <w:lvlJc w:val="left"/>
      <w:lvlText w:val="(%2)"/>
      <w:numFmt w:val="lowerRoman"/>
      <w:start w:val="1"/>
    </w:lvl>
  </w:abstractNum>
  <w:abstractNum w:abstractNumId="64">
    <w:nsid w:val="5454945E"/>
    <w:multiLevelType w:val="hybridMultilevel"/>
    <w:lvl w:ilvl="0">
      <w:lvlJc w:val="left"/>
      <w:lvlText w:val="(%1)"/>
      <w:numFmt w:val="lowerLetter"/>
      <w:start w:val="6"/>
    </w:lvl>
    <w:lvl w:ilvl="1">
      <w:lvlJc w:val="left"/>
      <w:lvlText w:val="(%2)"/>
      <w:numFmt w:val="lowerRoman"/>
      <w:start w:val="1"/>
    </w:lvl>
  </w:abstractNum>
  <w:abstractNum w:abstractNumId="65">
    <w:nsid w:val="4DEFDFA0"/>
    <w:multiLevelType w:val="hybridMultilevel"/>
    <w:lvl w:ilvl="0">
      <w:lvlJc w:val="left"/>
      <w:lvlText w:val="(%1)"/>
      <w:numFmt w:val="lowerLetter"/>
      <w:start w:val="1"/>
    </w:lvl>
  </w:abstractNum>
  <w:abstractNum w:abstractNumId="66">
    <w:nsid w:val="2123D5F2"/>
    <w:multiLevelType w:val="hybridMultilevel"/>
    <w:lvl w:ilvl="0">
      <w:lvlJc w:val="left"/>
      <w:lvlText w:val="(%1)"/>
      <w:numFmt w:val="lowerLetter"/>
      <w:start w:val="1"/>
    </w:lvl>
  </w:abstractNum>
  <w:abstractNum w:abstractNumId="67">
    <w:nsid w:val="135B8110"/>
    <w:multiLevelType w:val="hybridMultilevel"/>
    <w:lvl w:ilvl="0">
      <w:lvlJc w:val="left"/>
      <w:lvlText w:val="(%1)"/>
      <w:numFmt w:val="lowerLetter"/>
      <w:start w:val="2"/>
    </w:lvl>
    <w:lvl w:ilvl="1">
      <w:lvlJc w:val="left"/>
      <w:lvlText w:val="(%2)"/>
      <w:numFmt w:val="lowerRoman"/>
      <w:start w:val="1"/>
    </w:lvl>
  </w:abstractNum>
  <w:abstractNum w:abstractNumId="68">
    <w:nsid w:val="94927A8"/>
    <w:multiLevelType w:val="hybridMultilevel"/>
    <w:lvl w:ilvl="0">
      <w:lvlJc w:val="left"/>
      <w:lvlText w:val="(%1)"/>
      <w:numFmt w:val="lowerLetter"/>
      <w:start w:val="1"/>
    </w:lvl>
  </w:abstractNum>
  <w:abstractNum w:abstractNumId="69">
    <w:nsid w:val="DCDF8F6"/>
    <w:multiLevelType w:val="hybridMultilevel"/>
    <w:lvl w:ilvl="0">
      <w:lvlJc w:val="left"/>
      <w:lvlText w:val="(%1)"/>
      <w:numFmt w:val="lowerLetter"/>
      <w:start w:val="1"/>
    </w:lvl>
  </w:abstractNum>
  <w:abstractNum w:abstractNumId="70">
    <w:nsid w:val="52D7B105"/>
    <w:multiLevelType w:val="hybridMultilevel"/>
    <w:lvl w:ilvl="0">
      <w:lvlJc w:val="left"/>
      <w:lvlText w:val="(%1)"/>
      <w:numFmt w:val="lowerLetter"/>
      <w:start w:val="2"/>
    </w:lvl>
    <w:lvl w:ilvl="1">
      <w:lvlJc w:val="left"/>
      <w:lvlText w:val="(%2)"/>
      <w:numFmt w:val="lowerRoman"/>
      <w:start w:val="1"/>
    </w:lvl>
  </w:abstractNum>
  <w:abstractNum w:abstractNumId="71">
    <w:nsid w:val="2E8A6394"/>
    <w:multiLevelType w:val="hybridMultilevel"/>
    <w:lvl w:ilvl="0">
      <w:lvlJc w:val="left"/>
      <w:lvlText w:val="(%1)"/>
      <w:numFmt w:val="lowerLetter"/>
      <w:start w:val="1"/>
    </w:lvl>
  </w:abstractNum>
  <w:abstractNum w:abstractNumId="72">
    <w:nsid w:val="24E60401"/>
    <w:multiLevelType w:val="hybridMultilevel"/>
    <w:lvl w:ilvl="0">
      <w:lvlJc w:val="left"/>
      <w:lvlText w:val="(%1)"/>
      <w:numFmt w:val="lowerLetter"/>
      <w:start w:val="7"/>
    </w:lvl>
  </w:abstractNum>
  <w:abstractNum w:abstractNumId="73">
    <w:nsid w:val="2A6AD9BE"/>
    <w:multiLevelType w:val="hybridMultilevel"/>
    <w:lvl w:ilvl="0">
      <w:lvlJc w:val="left"/>
      <w:lvlText w:val="(%1)"/>
      <w:numFmt w:val="lowerLetter"/>
      <w:start w:val="1"/>
    </w:lvl>
  </w:abstractNum>
  <w:abstractNum w:abstractNumId="74">
    <w:nsid w:val="BAAC1B4"/>
    <w:multiLevelType w:val="hybridMultilevel"/>
    <w:lvl w:ilvl="0">
      <w:lvlJc w:val="left"/>
      <w:lvlText w:val="(%1)"/>
      <w:numFmt w:val="lowerRoman"/>
      <w:start w:val="2"/>
    </w:lvl>
  </w:abstractNum>
  <w:abstractNum w:abstractNumId="75">
    <w:nsid w:val="36B2ACBC"/>
    <w:multiLevelType w:val="hybridMultilevel"/>
    <w:lvl w:ilvl="0">
      <w:lvlJc w:val="left"/>
      <w:lvlText w:val="(%1)"/>
      <w:numFmt w:val="lowerLetter"/>
      <w:start w:val="12"/>
    </w:lvl>
  </w:abstractNum>
  <w:abstractNum w:abstractNumId="76">
    <w:nsid w:val="779D8544"/>
    <w:multiLevelType w:val="hybridMultilevel"/>
    <w:lvl w:ilvl="0">
      <w:lvlJc w:val="left"/>
      <w:lvlText w:val="(%1)"/>
      <w:numFmt w:val="lowerLetter"/>
      <w:start w:val="1"/>
    </w:lvl>
  </w:abstractNum>
  <w:abstractNum w:abstractNumId="77">
    <w:nsid w:val="4AB26E78"/>
    <w:multiLevelType w:val="hybridMultilevel"/>
    <w:lvl w:ilvl="0">
      <w:lvlJc w:val="left"/>
      <w:lvlText w:val="(%1)"/>
      <w:numFmt w:val="lowerLetter"/>
      <w:start w:val="4"/>
    </w:lvl>
  </w:abstractNum>
  <w:abstractNum w:abstractNumId="78">
    <w:nsid w:val="21FAA2FA"/>
    <w:multiLevelType w:val="hybridMultilevel"/>
    <w:lvl w:ilvl="0">
      <w:lvlJc w:val="left"/>
      <w:lvlText w:val="%1"/>
      <w:numFmt w:val="lowerLetter"/>
      <w:start w:val="1"/>
    </w:lvl>
    <w:lvl w:ilvl="1">
      <w:lvlJc w:val="left"/>
      <w:lvlText w:val="(%2)"/>
      <w:numFmt w:val="lowerRoman"/>
      <w:start w:val="1"/>
    </w:lvl>
  </w:abstractNum>
  <w:abstractNum w:abstractNumId="79">
    <w:nsid w:val="5451CF49"/>
    <w:multiLevelType w:val="hybridMultilevel"/>
    <w:lvl w:ilvl="0">
      <w:lvlJc w:val="left"/>
      <w:lvlText w:val="(%1)"/>
      <w:numFmt w:val="lowerLetter"/>
      <w:start w:val="8"/>
    </w:lvl>
    <w:lvl w:ilvl="1">
      <w:lvlJc w:val="left"/>
      <w:lvlText w:val="%2"/>
      <w:numFmt w:val="lowerRoman"/>
      <w:start w:val="1"/>
    </w:lvl>
  </w:abstractNum>
  <w:abstractNum w:abstractNumId="80">
    <w:nsid w:val="6181EF69"/>
    <w:multiLevelType w:val="hybridMultilevel"/>
    <w:lvl w:ilvl="0">
      <w:lvlJc w:val="left"/>
      <w:lvlText w:val="(%1)"/>
      <w:numFmt w:val="lowerLetter"/>
      <w:start w:val="1"/>
    </w:lvl>
  </w:abstractNum>
  <w:abstractNum w:abstractNumId="81">
    <w:nsid w:val="3E6400E6"/>
    <w:multiLevelType w:val="hybridMultilevel"/>
    <w:lvl w:ilvl="0">
      <w:lvlJc w:val="left"/>
      <w:lvlText w:val="(%1)"/>
      <w:numFmt w:val="lowerLetter"/>
      <w:start w:val="1"/>
    </w:lvl>
  </w:abstractNum>
  <w:abstractNum w:abstractNumId="82">
    <w:nsid w:val="14217E23"/>
    <w:multiLevelType w:val="hybridMultilevel"/>
    <w:lvl w:ilvl="0">
      <w:lvlJc w:val="left"/>
      <w:lvlText w:val="(%1)"/>
      <w:numFmt w:val="lowerLetter"/>
      <w:start w:val="11"/>
    </w:lvl>
  </w:abstractNum>
  <w:abstractNum w:abstractNumId="83">
    <w:nsid w:val="710757D0"/>
    <w:multiLevelType w:val="hybridMultilevel"/>
    <w:lvl w:ilvl="0">
      <w:lvlJc w:val="left"/>
      <w:lvlText w:val="(%1)"/>
      <w:numFmt w:val="lowerLetter"/>
      <w:start w:val="1"/>
    </w:lvl>
  </w:abstractNum>
  <w:abstractNum w:abstractNumId="84">
    <w:nsid w:val="5015CD1A"/>
    <w:multiLevelType w:val="hybridMultilevel"/>
    <w:lvl w:ilvl="0">
      <w:lvlJc w:val="left"/>
      <w:lvlText w:val="(%1)"/>
      <w:numFmt w:val="lowerLetter"/>
      <w:start w:val="1"/>
    </w:lvl>
  </w:abstractNum>
  <w:abstractNum w:abstractNumId="85">
    <w:nsid w:val="424479DA"/>
    <w:multiLevelType w:val="hybridMultilevel"/>
    <w:lvl w:ilvl="0">
      <w:lvlJc w:val="left"/>
      <w:lvlText w:val="(%1)"/>
      <w:numFmt w:val="lowerLetter"/>
      <w:start w:val="1"/>
    </w:lvl>
  </w:abstractNum>
  <w:abstractNum w:abstractNumId="86">
    <w:nsid w:val="1A9A9E69"/>
    <w:multiLevelType w:val="hybridMultilevel"/>
    <w:lvl w:ilvl="0">
      <w:lvlJc w:val="left"/>
      <w:lvlText w:val="(%1)"/>
      <w:numFmt w:val="lowerLetter"/>
      <w:start w:val="8"/>
    </w:lvl>
  </w:abstractNum>
  <w:abstractNum w:abstractNumId="87">
    <w:nsid w:val="475E256A"/>
    <w:multiLevelType w:val="hybridMultilevel"/>
    <w:lvl w:ilvl="0">
      <w:lvlJc w:val="left"/>
      <w:lvlText w:val="(%1)"/>
      <w:numFmt w:val="lowerLetter"/>
      <w:start w:val="1"/>
    </w:lvl>
    <w:lvl w:ilvl="1">
      <w:lvlJc w:val="left"/>
      <w:lvlText w:val="(%2)"/>
      <w:numFmt w:val="lowerRoman"/>
      <w:start w:val="1"/>
    </w:lvl>
  </w:abstractNum>
  <w:abstractNum w:abstractNumId="88">
    <w:nsid w:val="368DB37E"/>
    <w:multiLevelType w:val="hybridMultilevel"/>
    <w:lvl w:ilvl="0">
      <w:lvlJc w:val="left"/>
      <w:lvlText w:val="(%1)"/>
      <w:numFmt w:val="lowerRoman"/>
      <w:start w:val="8"/>
    </w:lvl>
  </w:abstractNum>
  <w:abstractNum w:abstractNumId="89">
    <w:nsid w:val="6A3B714C"/>
    <w:multiLevelType w:val="hybridMultilevel"/>
    <w:lvl w:ilvl="0">
      <w:lvlJc w:val="left"/>
      <w:lvlText w:val="(%1)"/>
      <w:numFmt w:val="lowerLetter"/>
      <w:start w:val="1"/>
    </w:lvl>
  </w:abstractNum>
  <w:abstractNum w:abstractNumId="90">
    <w:nsid w:val="327B517E"/>
    <w:multiLevelType w:val="hybridMultilevel"/>
    <w:lvl w:ilvl="0">
      <w:lvlJc w:val="left"/>
      <w:lvlText w:val="(%1)"/>
      <w:numFmt w:val="lowerLetter"/>
      <w:start w:val="2"/>
    </w:lvl>
  </w:abstractNum>
  <w:abstractNum w:abstractNumId="91">
    <w:nsid w:val="1F461B51"/>
    <w:multiLevelType w:val="hybridMultilevel"/>
    <w:lvl w:ilvl="0">
      <w:lvlJc w:val="left"/>
      <w:lvlText w:val="(%1)"/>
      <w:numFmt w:val="lowerLetter"/>
      <w:start w:val="1"/>
    </w:lvl>
  </w:abstractNum>
  <w:abstractNum w:abstractNumId="92">
    <w:nsid w:val="29BACF25"/>
    <w:multiLevelType w:val="hybridMultilevel"/>
    <w:lvl w:ilvl="0">
      <w:lvlJc w:val="left"/>
      <w:lvlText w:val="2"/>
      <w:numFmt w:val="bullet"/>
      <w:start w:val="1"/>
    </w:lvl>
  </w:abstractNum>
  <w:abstractNum w:abstractNumId="93">
    <w:nsid w:val="5D5BABB3"/>
    <w:multiLevelType w:val="hybridMultilevel"/>
    <w:lvl w:ilvl="0">
      <w:lvlJc w:val="left"/>
      <w:lvlText w:val="3"/>
      <w:numFmt w:val="bullet"/>
      <w:start w:val="1"/>
    </w:lvl>
  </w:abstractNum>
  <w:abstractNum w:abstractNumId="94">
    <w:nsid w:val="51BF6B48"/>
    <w:multiLevelType w:val="hybridMultilevel"/>
    <w:lvl w:ilvl="0">
      <w:lvlJc w:val="left"/>
      <w:lvlText w:val="(%1)"/>
      <w:numFmt w:val="lowerLetter"/>
      <w:start w:val="1"/>
    </w:lvl>
  </w:abstractNum>
  <w:abstractNum w:abstractNumId="95">
    <w:nsid w:val="7E0F6384"/>
    <w:multiLevelType w:val="hybridMultilevel"/>
    <w:lvl w:ilvl="0">
      <w:lvlJc w:val="left"/>
      <w:lvlText w:val="4"/>
      <w:numFmt w:val="bullet"/>
      <w:start w:val="1"/>
    </w:lvl>
  </w:abstractNum>
  <w:abstractNum w:abstractNumId="96">
    <w:nsid w:val="2B4B8B53"/>
    <w:multiLevelType w:val="hybridMultilevel"/>
    <w:lvl w:ilvl="0">
      <w:lvlJc w:val="left"/>
      <w:lvlText w:val="(%1)"/>
      <w:numFmt w:val="lowerLetter"/>
      <w:start w:val="1"/>
    </w:lvl>
    <w:lvl w:ilvl="1">
      <w:lvlJc w:val="left"/>
      <w:lvlText w:val="(%2)"/>
      <w:numFmt w:val="lowerRoman"/>
      <w:start w:val="1"/>
    </w:lvl>
  </w:abstractNum>
  <w:abstractNum w:abstractNumId="97">
    <w:nsid w:val="72E3413A"/>
    <w:multiLevelType w:val="hybridMultilevel"/>
    <w:lvl w:ilvl="0">
      <w:lvlJc w:val="left"/>
      <w:lvlText w:val="(%1)"/>
      <w:numFmt w:val="lowerLetter"/>
      <w:start w:val="1"/>
    </w:lvl>
    <w:lvl w:ilvl="1">
      <w:lvlJc w:val="left"/>
      <w:lvlText w:val="(%2)"/>
      <w:numFmt w:val="lowerRoman"/>
      <w:start w:val="1"/>
    </w:lvl>
  </w:abstractNum>
  <w:abstractNum w:abstractNumId="98">
    <w:nsid w:val="116AE4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9">
    <w:nsid w:val="3494B2FB"/>
    <w:multiLevelType w:val="hybridMultilevel"/>
    <w:lvl w:ilvl="0">
      <w:lvlJc w:val="left"/>
      <w:lvlText w:val="%1"/>
      <w:numFmt w:val="lowerLetter"/>
      <w:start w:val="1"/>
    </w:lvl>
    <w:lvl w:ilvl="1">
      <w:lvlJc w:val="left"/>
      <w:lvlText w:val="(%2)"/>
      <w:numFmt w:val="upperLetter"/>
      <w:start w:val="2"/>
    </w:lvl>
  </w:abstractNum>
  <w:abstractNum w:abstractNumId="100">
    <w:nsid w:val="B13A31"/>
    <w:multiLevelType w:val="hybridMultilevel"/>
    <w:lvl w:ilvl="0">
      <w:lvlJc w:val="left"/>
      <w:lvlText w:val="(%1)"/>
      <w:numFmt w:val="lowerLetter"/>
      <w:start w:val="2"/>
    </w:lvl>
    <w:lvl w:ilvl="1">
      <w:lvlJc w:val="left"/>
      <w:lvlText w:val="%2"/>
      <w:numFmt w:val="upperLetter"/>
      <w:start w:val="1"/>
    </w:lvl>
  </w:abstractNum>
  <w:abstractNum w:abstractNumId="101">
    <w:nsid w:val="64429599"/>
    <w:multiLevelType w:val="hybridMultilevel"/>
    <w:lvl w:ilvl="0">
      <w:lvlJc w:val="left"/>
      <w:lvlText w:val="(%1)"/>
      <w:numFmt w:val="lowerLetter"/>
      <w:start w:val="1"/>
    </w:lvl>
  </w:abstractNum>
  <w:abstractNum w:abstractNumId="102">
    <w:nsid w:val="631F1690"/>
    <w:multiLevelType w:val="hybridMultilevel"/>
    <w:lvl w:ilvl="0">
      <w:lvlJc w:val="left"/>
      <w:lvlText w:val="(%1)"/>
      <w:numFmt w:val="lowerLetter"/>
      <w:start w:val="1"/>
    </w:lvl>
    <w:lvl w:ilvl="1">
      <w:lvlJc w:val="left"/>
      <w:lvlText w:val="(%2)"/>
      <w:numFmt w:val="lowerRoman"/>
      <w:start w:val="1"/>
    </w:lvl>
  </w:abstractNum>
  <w:abstractNum w:abstractNumId="103">
    <w:nsid w:val="25973E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4">
    <w:nsid w:val="EAD6F5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5">
    <w:nsid w:val="6EC9D844"/>
    <w:multiLevelType w:val="hybridMultilevel"/>
    <w:lvl w:ilvl="0">
      <w:lvlJc w:val="left"/>
      <w:lvlText w:val="(%1)"/>
      <w:numFmt w:val="lowerLetter"/>
      <w:start w:val="1"/>
    </w:lvl>
  </w:abstractNum>
  <w:abstractNum w:abstractNumId="106">
    <w:nsid w:val="5C49EAEE"/>
    <w:multiLevelType w:val="hybridMultilevel"/>
    <w:lvl w:ilvl="0">
      <w:lvlJc w:val="left"/>
      <w:lvlText w:val="%1"/>
      <w:numFmt w:val="lowerLetter"/>
      <w:start w:val="1"/>
    </w:lvl>
    <w:lvl w:ilvl="1">
      <w:lvlJc w:val="left"/>
      <w:lvlText w:val="(%2)"/>
      <w:numFmt w:val="lowerRoman"/>
      <w:start w:val="1"/>
    </w:lvl>
  </w:abstractNum>
  <w:abstractNum w:abstractNumId="107">
    <w:nsid w:val="64AF49B"/>
    <w:multiLevelType w:val="hybridMultilevel"/>
    <w:lvl w:ilvl="0">
      <w:lvlJc w:val="left"/>
      <w:lvlText w:val="(%1)"/>
      <w:numFmt w:val="lowerLetter"/>
      <w:start w:val="2"/>
    </w:lvl>
    <w:lvl w:ilvl="1">
      <w:lvlJc w:val="left"/>
      <w:lvlText w:val="%2"/>
      <w:numFmt w:val="lowerRoman"/>
      <w:start w:val="1"/>
    </w:lvl>
  </w:abstractNum>
  <w:abstractNum w:abstractNumId="108">
    <w:nsid w:val="397C46BC"/>
    <w:multiLevelType w:val="hybridMultilevel"/>
    <w:lvl w:ilvl="0">
      <w:lvlJc w:val="left"/>
      <w:lvlText w:val="5"/>
      <w:numFmt w:val="bullet"/>
      <w:start w:val="1"/>
    </w:lvl>
  </w:abstractNum>
  <w:abstractNum w:abstractNumId="109">
    <w:nsid w:val="7E448DE9"/>
    <w:multiLevelType w:val="hybridMultilevel"/>
    <w:lvl w:ilvl="0">
      <w:lvlJc w:val="left"/>
      <w:lvlText w:val="(%1)"/>
      <w:numFmt w:val="lowerLetter"/>
      <w:start w:val="1"/>
    </w:lvl>
    <w:lvl w:ilvl="1">
      <w:lvlJc w:val="left"/>
      <w:lvlText w:val="(%2)"/>
      <w:numFmt w:val="lowerRoman"/>
      <w:start w:val="1"/>
    </w:lvl>
  </w:abstractNum>
  <w:abstractNum w:abstractNumId="110">
    <w:nsid w:val="5A9CC3E5"/>
    <w:multiLevelType w:val="hybridMultilevel"/>
    <w:lvl w:ilvl="0">
      <w:lvlJc w:val="left"/>
      <w:lvlText w:val="(%1)"/>
      <w:numFmt w:val="lowerLetter"/>
      <w:start w:val="1"/>
    </w:lvl>
    <w:lvl w:ilvl="1">
      <w:lvlJc w:val="left"/>
      <w:lvlText w:val="(%2)"/>
      <w:numFmt w:val="lowerRoman"/>
      <w:start w:val="1"/>
    </w:lvl>
  </w:abstractNum>
  <w:abstractNum w:abstractNumId="111">
    <w:nsid w:val="1AFE3625"/>
    <w:multiLevelType w:val="hybridMultilevel"/>
    <w:lvl w:ilvl="0">
      <w:lvlJc w:val="left"/>
      <w:lvlText w:val="(%1)"/>
      <w:numFmt w:val="lowerLetter"/>
      <w:start w:val="6"/>
    </w:lvl>
  </w:abstractNum>
  <w:abstractNum w:abstractNumId="112">
    <w:nsid w:val="3CA88ECF"/>
    <w:multiLevelType w:val="hybridMultilevel"/>
    <w:lvl w:ilvl="0">
      <w:lvlJc w:val="left"/>
      <w:lvlText w:val="(%1)"/>
      <w:numFmt w:val="lowerLetter"/>
      <w:start w:val="1"/>
    </w:lvl>
  </w:abstractNum>
  <w:abstractNum w:abstractNumId="113">
    <w:nsid w:val="6EBE4208"/>
    <w:multiLevelType w:val="hybridMultilevel"/>
    <w:lvl w:ilvl="0">
      <w:lvlJc w:val="left"/>
      <w:lvlText w:val="(%1)"/>
      <w:numFmt w:val="lowerRoman"/>
      <w:start w:val="1"/>
    </w:lvl>
  </w:abstractNum>
  <w:abstractNum w:abstractNumId="114">
    <w:nsid w:val="C058DF5"/>
    <w:multiLevelType w:val="hybridMultilevel"/>
    <w:lvl w:ilvl="0">
      <w:lvlJc w:val="left"/>
      <w:lvlText w:val="(%1)"/>
      <w:numFmt w:val="lowerLetter"/>
      <w:start w:val="1"/>
    </w:lvl>
    <w:lvl w:ilvl="1">
      <w:lvlJc w:val="left"/>
      <w:lvlText w:val="(%2)"/>
      <w:numFmt w:val="lowerRoman"/>
      <w:start w:val="1"/>
    </w:lvl>
  </w:abstractNum>
  <w:abstractNum w:abstractNumId="115">
    <w:nsid w:val="CBE5BE9"/>
    <w:multiLevelType w:val="hybridMultilevel"/>
    <w:lvl w:ilvl="0">
      <w:lvlJc w:val="left"/>
      <w:lvlText w:val="(%1)"/>
      <w:numFmt w:val="lowerLetter"/>
      <w:start w:val="2"/>
    </w:lvl>
  </w:abstractNum>
  <w:abstractNum w:abstractNumId="116">
    <w:nsid w:val="3102BBE2"/>
    <w:multiLevelType w:val="hybridMultilevel"/>
    <w:lvl w:ilvl="0">
      <w:lvlJc w:val="left"/>
      <w:lvlText w:val="6"/>
      <w:numFmt w:val="bullet"/>
      <w:start w:val="1"/>
    </w:lvl>
  </w:abstractNum>
  <w:abstractNum w:abstractNumId="117">
    <w:nsid w:val="26A02C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8">
    <w:nsid w:val="541C815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9">
    <w:nsid w:val="67906F60"/>
    <w:multiLevelType w:val="hybridMultilevel"/>
    <w:lvl w:ilvl="0">
      <w:lvlJc w:val="left"/>
      <w:lvlText w:val="(%1)"/>
      <w:numFmt w:val="lowerLetter"/>
      <w:start w:val="1"/>
    </w:lvl>
  </w:abstractNum>
  <w:abstractNum w:abstractNumId="120">
    <w:nsid w:val="10DB9DAA"/>
    <w:multiLevelType w:val="hybridMultilevel"/>
    <w:lvl w:ilvl="0">
      <w:lvlJc w:val="left"/>
      <w:lvlText w:val="(%1)"/>
      <w:numFmt w:val="lowerLetter"/>
      <w:start w:val="1"/>
    </w:lvl>
    <w:lvl w:ilvl="1">
      <w:lvlJc w:val="left"/>
      <w:lvlText w:val="(%2)"/>
      <w:numFmt w:val="lowerRoman"/>
      <w:start w:val="1"/>
    </w:lvl>
  </w:abstractNum>
  <w:abstractNum w:abstractNumId="121">
    <w:nsid w:val="697D2D2"/>
    <w:multiLevelType w:val="hybridMultilevel"/>
    <w:lvl w:ilvl="0">
      <w:lvlJc w:val="left"/>
      <w:lvlText w:val="(%1)"/>
      <w:numFmt w:val="lowerLetter"/>
      <w:start w:val="1"/>
    </w:lvl>
    <w:lvl w:ilvl="1">
      <w:lvlJc w:val="left"/>
      <w:lvlText w:val="(%2)"/>
      <w:numFmt w:val="lowerRoman"/>
      <w:start w:val="1"/>
    </w:lvl>
  </w:abstractNum>
  <w:abstractNum w:abstractNumId="122">
    <w:nsid w:val="6D68AB2"/>
    <w:multiLevelType w:val="hybridMultilevel"/>
    <w:lvl w:ilvl="0">
      <w:lvlJc w:val="left"/>
      <w:lvlText w:val="7"/>
      <w:numFmt w:val="bullet"/>
      <w:start w:val="1"/>
    </w:lvl>
  </w:abstractNum>
  <w:abstractNum w:abstractNumId="123">
    <w:nsid w:val="3A966CD0"/>
    <w:multiLevelType w:val="hybridMultilevel"/>
    <w:lvl w:ilvl="0">
      <w:lvlJc w:val="left"/>
      <w:lvlText w:val="(%1)"/>
      <w:numFmt w:val="lowerLetter"/>
      <w:start w:val="1"/>
    </w:lvl>
  </w:abstractNum>
  <w:abstractNum w:abstractNumId="124">
    <w:nsid w:val="63F37E85"/>
    <w:multiLevelType w:val="hybridMultilevel"/>
    <w:lvl w:ilvl="0">
      <w:lvlJc w:val="left"/>
      <w:lvlText w:val="(%1)"/>
      <w:numFmt w:val="lowerLetter"/>
      <w:start w:val="1"/>
    </w:lvl>
  </w:abstractNum>
  <w:abstractNum w:abstractNumId="125">
    <w:nsid w:val="5895F5FA"/>
    <w:multiLevelType w:val="hybridMultilevel"/>
    <w:lvl w:ilvl="0">
      <w:lvlJc w:val="left"/>
      <w:lvlText w:val="8"/>
      <w:numFmt w:val="bullet"/>
      <w:start w:val="1"/>
    </w:lvl>
  </w:abstractNum>
  <w:abstractNum w:abstractNumId="126">
    <w:nsid w:val="38A5D054"/>
    <w:multiLevelType w:val="hybridMultilevel"/>
    <w:lvl w:ilvl="0">
      <w:lvlJc w:val="left"/>
      <w:lvlText w:val="(%1)"/>
      <w:numFmt w:val="lowerLetter"/>
      <w:start w:val="1"/>
    </w:lvl>
  </w:abstractNum>
  <w:abstractNum w:abstractNumId="127">
    <w:nsid w:val="F3F09D8"/>
    <w:multiLevelType w:val="hybridMultilevel"/>
    <w:lvl w:ilvl="0">
      <w:lvlJc w:val="left"/>
      <w:lvlText w:val="(%1)"/>
      <w:numFmt w:val="lowerLetter"/>
      <w:start w:val="7"/>
    </w:lvl>
    <w:lvl w:ilvl="1">
      <w:lvlJc w:val="left"/>
      <w:lvlText w:val="(%2)"/>
      <w:numFmt w:val="lowerRoman"/>
      <w:start w:val="1"/>
    </w:lvl>
  </w:abstractNum>
  <w:abstractNum w:abstractNumId="128">
    <w:nsid w:val="4B793735"/>
    <w:multiLevelType w:val="hybridMultilevel"/>
    <w:lvl w:ilvl="0">
      <w:lvlJc w:val="left"/>
      <w:lvlText w:val="(%1)"/>
      <w:numFmt w:val="lowerLetter"/>
      <w:start w:val="14"/>
    </w:lvl>
    <w:lvl w:ilvl="1">
      <w:lvlJc w:val="left"/>
      <w:lvlText w:val="(%2)"/>
      <w:numFmt w:val="lowerRoman"/>
      <w:start w:val="1"/>
    </w:lvl>
  </w:abstractNum>
  <w:abstractNum w:abstractNumId="129">
    <w:nsid w:val="4A10B4E8"/>
    <w:multiLevelType w:val="hybridMultilevel"/>
    <w:lvl w:ilvl="0">
      <w:lvlJc w:val="left"/>
      <w:lvlText w:val="(%1)"/>
      <w:numFmt w:val="lowerRoman"/>
      <w:start w:val="6"/>
    </w:lvl>
  </w:abstractNum>
  <w:abstractNum w:abstractNumId="130">
    <w:nsid w:val="43D3BC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1">
    <w:nsid w:val="4C2A7166"/>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132">
    <w:nsid w:val="2E534A82"/>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133">
    <w:nsid w:val="26F2D364"/>
    <w:multiLevelType w:val="hybridMultilevel"/>
    <w:lvl w:ilvl="0">
      <w:lvlJc w:val="left"/>
      <w:lvlText w:val="(%1)"/>
      <w:numFmt w:val="lowerLetter"/>
      <w:start w:val="1"/>
    </w:lvl>
  </w:abstractNum>
  <w:abstractNum w:abstractNumId="134">
    <w:nsid w:val="71C1AF98"/>
    <w:multiLevelType w:val="hybridMultilevel"/>
    <w:lvl w:ilvl="0">
      <w:lvlJc w:val="left"/>
      <w:lvlText w:val="9"/>
      <w:numFmt w:val="bullet"/>
      <w:start w:val="1"/>
    </w:lvl>
  </w:abstractNum>
  <w:abstractNum w:abstractNumId="135">
    <w:nsid w:val="3D00B9D9"/>
    <w:multiLevelType w:val="hybridMultilevel"/>
    <w:lvl w:ilvl="0">
      <w:lvlJc w:val="left"/>
      <w:lvlText w:val="(%1)"/>
      <w:numFmt w:val="lowerLetter"/>
      <w:start w:val="1"/>
    </w:lvl>
    <w:lvl w:ilvl="1">
      <w:lvlJc w:val="left"/>
      <w:lvlText w:val="(%2)"/>
      <w:numFmt w:val="lowerRoman"/>
      <w:start w:val="1"/>
    </w:lvl>
  </w:abstractNum>
  <w:abstractNum w:abstractNumId="136">
    <w:nsid w:val="15BCABA8"/>
    <w:multiLevelType w:val="hybridMultilevel"/>
    <w:lvl w:ilvl="0">
      <w:lvlJc w:val="left"/>
      <w:lvlText w:val="(%1)"/>
      <w:numFmt w:val="lowerLetter"/>
      <w:start w:val="6"/>
    </w:lvl>
  </w:abstractNum>
  <w:abstractNum w:abstractNumId="137">
    <w:nsid w:val="4E0B9A87"/>
    <w:multiLevelType w:val="hybridMultilevel"/>
    <w:lvl w:ilvl="0">
      <w:lvlJc w:val="left"/>
      <w:lvlText w:val="(%1)"/>
      <w:numFmt w:val="lowerLetter"/>
      <w:start w:val="1"/>
    </w:lvl>
  </w:abstractNum>
  <w:abstractNum w:abstractNumId="138">
    <w:nsid w:val="434BAE75"/>
    <w:multiLevelType w:val="hybridMultilevel"/>
    <w:lvl w:ilvl="0">
      <w:lvlJc w:val="left"/>
      <w:lvlText w:val="(%1)"/>
      <w:numFmt w:val="lowerLetter"/>
      <w:start w:val="1"/>
    </w:lvl>
  </w:abstractNum>
  <w:abstractNum w:abstractNumId="139">
    <w:nsid w:val="4F38F265"/>
    <w:multiLevelType w:val="hybridMultilevel"/>
    <w:lvl w:ilvl="0">
      <w:lvlJc w:val="left"/>
      <w:lvlText w:val="(%1)"/>
      <w:numFmt w:val="lowerRoman"/>
      <w:start w:val="1"/>
    </w:lvl>
  </w:abstractNum>
  <w:abstractNum w:abstractNumId="140">
    <w:nsid w:val="4C502870"/>
    <w:multiLevelType w:val="hybridMultilevel"/>
    <w:lvl w:ilvl="0">
      <w:lvlJc w:val="left"/>
      <w:lvlText w:val="(%1)"/>
      <w:numFmt w:val="lowerLetter"/>
      <w:start w:val="1"/>
    </w:lvl>
    <w:lvl w:ilvl="1">
      <w:lvlJc w:val="left"/>
      <w:lvlText w:val="(%2)"/>
      <w:numFmt w:val="lowerRoman"/>
      <w:start w:val="1"/>
    </w:lvl>
  </w:abstractNum>
  <w:abstractNum w:abstractNumId="141">
    <w:nsid w:val="1DE8725A"/>
    <w:multiLevelType w:val="hybridMultilevel"/>
    <w:lvl w:ilvl="0">
      <w:lvlJc w:val="left"/>
      <w:lvlText w:val="(%1)"/>
      <w:numFmt w:val="lowerLetter"/>
      <w:start w:val="1"/>
    </w:lvl>
    <w:lvl w:ilvl="1">
      <w:lvlJc w:val="left"/>
      <w:lvlText w:val="(%2)"/>
      <w:numFmt w:val="lowerRoman"/>
      <w:start w:val="1"/>
    </w:lvl>
  </w:abstractNum>
  <w:abstractNum w:abstractNumId="142">
    <w:nsid w:val="6A37288A"/>
    <w:multiLevelType w:val="hybridMultilevel"/>
    <w:lvl w:ilvl="0">
      <w:lvlJc w:val="left"/>
      <w:lvlText w:val="(%1)"/>
      <w:numFmt w:val="lowerLetter"/>
      <w:start w:val="6"/>
    </w:lvl>
  </w:abstractNum>
  <w:abstractNum w:abstractNumId="143">
    <w:nsid w:val="8F8B73F"/>
    <w:multiLevelType w:val="hybridMultilevel"/>
    <w:lvl w:ilvl="0">
      <w:lvlJc w:val="left"/>
      <w:lvlText w:val="(%1)"/>
      <w:numFmt w:val="lowerLetter"/>
      <w:start w:val="1"/>
    </w:lvl>
    <w:lvl w:ilvl="1">
      <w:lvlJc w:val="left"/>
      <w:lvlText w:val="(%2)"/>
      <w:numFmt w:val="lowerRoman"/>
      <w:start w:val="1"/>
    </w:lvl>
  </w:abstractNum>
  <w:abstractNum w:abstractNumId="144">
    <w:nsid w:val="CA6B462"/>
    <w:multiLevelType w:val="hybridMultilevel"/>
    <w:lvl w:ilvl="0">
      <w:lvlJc w:val="left"/>
      <w:lvlText w:val="(%1)"/>
      <w:numFmt w:val="lowerLetter"/>
      <w:start w:val="4"/>
    </w:lvl>
    <w:lvl w:ilvl="1">
      <w:lvlJc w:val="left"/>
      <w:lvlText w:val="(%2)"/>
      <w:numFmt w:val="lowerRoman"/>
      <w:start w:val="1"/>
    </w:lvl>
  </w:abstractNum>
  <w:abstractNum w:abstractNumId="145">
    <w:nsid w:val="763CB68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6">
    <w:nsid w:val="15B71329"/>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47">
    <w:nsid w:val="3DA97044"/>
    <w:multiLevelType w:val="hybridMultilevel"/>
    <w:lvl w:ilvl="0">
      <w:lvlJc w:val="left"/>
      <w:lvlText w:val="(%1)"/>
      <w:numFmt w:val="lowerRoman"/>
      <w:start w:val="2"/>
    </w:lvl>
  </w:abstractNum>
  <w:abstractNum w:abstractNumId="148">
    <w:nsid w:val="1CDCE2DE"/>
    <w:multiLevelType w:val="hybridMultilevel"/>
    <w:lvl w:ilvl="0">
      <w:lvlJc w:val="left"/>
      <w:lvlText w:val="(%1)"/>
      <w:numFmt w:val="upperLetter"/>
      <w:start w:val="1"/>
    </w:lvl>
  </w:abstractNum>
  <w:abstractNum w:abstractNumId="149">
    <w:nsid w:val="69D3947C"/>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150">
    <w:nsid w:val="2539DFA5"/>
    <w:multiLevelType w:val="hybridMultilevel"/>
    <w:lvl w:ilvl="0">
      <w:lvlJc w:val="left"/>
      <w:lvlText w:val="(%1)"/>
      <w:numFmt w:val="upperLetter"/>
      <w:start w:val="2"/>
    </w:lvl>
  </w:abstractNum>
  <w:abstractNum w:abstractNumId="151">
    <w:nsid w:val="2DB88089"/>
    <w:multiLevelType w:val="hybridMultilevel"/>
    <w:lvl w:ilvl="0">
      <w:lvlJc w:val="left"/>
      <w:lvlText w:val="(%1)"/>
      <w:numFmt w:val="lowerLetter"/>
      <w:start w:val="12"/>
    </w:lvl>
    <w:lvl w:ilvl="1">
      <w:lvlJc w:val="left"/>
      <w:lvlText w:val="(%2)"/>
      <w:numFmt w:val="lowerRoman"/>
      <w:start w:val="1"/>
    </w:lvl>
  </w:abstractNum>
  <w:abstractNum w:abstractNumId="152">
    <w:nsid w:val="706B674E"/>
    <w:multiLevelType w:val="hybridMultilevel"/>
    <w:lvl w:ilvl="0">
      <w:lvlJc w:val="left"/>
      <w:lvlText w:val="(%1)"/>
      <w:numFmt w:val="lowerLetter"/>
      <w:start w:val="1"/>
    </w:lvl>
    <w:lvl w:ilvl="1">
      <w:lvlJc w:val="left"/>
      <w:lvlText w:val="(%2)"/>
      <w:numFmt w:val="lowerRoman"/>
      <w:start w:val="1"/>
    </w:lvl>
  </w:abstractNum>
  <w:abstractNum w:abstractNumId="153">
    <w:nsid w:val="2C106A57"/>
    <w:multiLevelType w:val="hybridMultilevel"/>
    <w:lvl w:ilvl="0">
      <w:lvlJc w:val="left"/>
      <w:lvlText w:val="(%1)"/>
      <w:numFmt w:val="lowerLetter"/>
      <w:start w:val="1"/>
    </w:lvl>
  </w:abstractNum>
  <w:abstractNum w:abstractNumId="154">
    <w:nsid w:val="684EED59"/>
    <w:multiLevelType w:val="hybridMultilevel"/>
    <w:lvl w:ilvl="0">
      <w:lvlJc w:val="left"/>
      <w:lvlText w:val="(%1)"/>
      <w:numFmt w:val="lowerRoman"/>
      <w:start w:val="1"/>
    </w:lvl>
  </w:abstractNum>
  <w:abstractNum w:abstractNumId="155">
    <w:nsid w:val="545EE5D3"/>
    <w:multiLevelType w:val="hybridMultilevel"/>
    <w:lvl w:ilvl="0">
      <w:lvlJc w:val="left"/>
      <w:lvlText w:val="(%1)"/>
      <w:numFmt w:val="upperLetter"/>
      <w:start w:val="1"/>
    </w:lvl>
  </w:abstractNum>
  <w:abstractNum w:abstractNumId="156">
    <w:nsid w:val="4A66051"/>
    <w:multiLevelType w:val="hybridMultilevel"/>
    <w:lvl w:ilvl="0">
      <w:lvlJc w:val="left"/>
      <w:lvlText w:val="(%1)"/>
      <w:numFmt w:val="upperLetter"/>
      <w:start w:val="2"/>
    </w:lvl>
  </w:abstractNum>
  <w:abstractNum w:abstractNumId="157">
    <w:nsid w:val="20F4BDAD"/>
    <w:multiLevelType w:val="hybridMultilevel"/>
    <w:lvl w:ilvl="0">
      <w:lvlJc w:val="left"/>
      <w:lvlText w:val="(%1)"/>
      <w:numFmt w:val="upperLetter"/>
      <w:start w:val="3"/>
    </w:lvl>
  </w:abstractNum>
  <w:abstractNum w:abstractNumId="158">
    <w:nsid w:val="639DEFAC"/>
    <w:multiLevelType w:val="hybridMultilevel"/>
    <w:lvl w:ilvl="0">
      <w:lvlJc w:val="left"/>
      <w:lvlText w:val="(%1)"/>
      <w:numFmt w:val="upperLetter"/>
      <w:start w:val="4"/>
    </w:lvl>
  </w:abstractNum>
  <w:abstractNum w:abstractNumId="159">
    <w:nsid w:val="501F9786"/>
    <w:multiLevelType w:val="hybridMultilevel"/>
    <w:lvl w:ilvl="0">
      <w:lvlJc w:val="left"/>
      <w:lvlText w:val="(%1)"/>
      <w:numFmt w:val="upperLetter"/>
      <w:start w:val="5"/>
    </w:lvl>
  </w:abstractNum>
  <w:abstractNum w:abstractNumId="160">
    <w:nsid w:val="6B057295"/>
    <w:multiLevelType w:val="hybridMultilevel"/>
    <w:lvl w:ilvl="0">
      <w:lvlJc w:val="left"/>
      <w:lvlText w:val="(%1)"/>
      <w:numFmt w:val="upperLetter"/>
      <w:start w:val="6"/>
    </w:lvl>
  </w:abstractNum>
  <w:abstractNum w:abstractNumId="161">
    <w:nsid w:val="2771AC80"/>
    <w:multiLevelType w:val="hybridMultilevel"/>
    <w:lvl w:ilvl="0">
      <w:lvlJc w:val="left"/>
      <w:lvlText w:val="(%1)"/>
      <w:numFmt w:val="upperLetter"/>
      <w:start w:val="1"/>
    </w:lvl>
  </w:abstractNum>
  <w:abstractNum w:abstractNumId="162">
    <w:nsid w:val="1C4A08EC"/>
    <w:multiLevelType w:val="hybridMultilevel"/>
    <w:lvl w:ilvl="0">
      <w:lvlJc w:val="left"/>
      <w:lvlText w:val="(%1)"/>
      <w:numFmt w:val="upperLetter"/>
      <w:start w:val="7"/>
    </w:lvl>
  </w:abstractNum>
  <w:abstractNum w:abstractNumId="163">
    <w:nsid w:val="1958BD17"/>
    <w:multiLevelType w:val="hybridMultilevel"/>
    <w:lvl w:ilvl="0">
      <w:lvlJc w:val="left"/>
      <w:lvlText w:val="(%1)"/>
      <w:numFmt w:val="lowerRoman"/>
      <w:start w:val="2"/>
    </w:lvl>
  </w:abstractNum>
  <w:abstractNum w:abstractNumId="164">
    <w:nsid w:val="4E647FE4"/>
    <w:multiLevelType w:val="hybridMultilevel"/>
    <w:lvl w:ilvl="0">
      <w:lvlJc w:val="left"/>
      <w:lvlText w:val="(%1)"/>
      <w:numFmt w:val="upperLetter"/>
      <w:start w:val="1"/>
    </w:lvl>
  </w:abstractNum>
  <w:abstractNum w:abstractNumId="165">
    <w:nsid w:val="E0BB885"/>
    <w:multiLevelType w:val="hybridMultilevel"/>
    <w:lvl w:ilvl="0">
      <w:lvlJc w:val="left"/>
      <w:lvlText w:val="(%1)"/>
      <w:numFmt w:val="upperLetter"/>
      <w:start w:val="2"/>
    </w:lvl>
  </w:abstractNum>
  <w:abstractNum w:abstractNumId="166">
    <w:nsid w:val="565976F1"/>
    <w:multiLevelType w:val="hybridMultilevel"/>
    <w:lvl w:ilvl="0">
      <w:lvlJc w:val="left"/>
      <w:lvlText w:val="(%1)"/>
      <w:numFmt w:val="upperLetter"/>
      <w:start w:val="2"/>
    </w:lvl>
  </w:abstractNum>
  <w:abstractNum w:abstractNumId="167">
    <w:nsid w:val="64212B8C"/>
    <w:multiLevelType w:val="hybridMultilevel"/>
    <w:lvl w:ilvl="0">
      <w:lvlJc w:val="left"/>
      <w:lvlText w:val="(%1)"/>
      <w:numFmt w:val="lowerRoman"/>
      <w:start w:val="3"/>
    </w:lvl>
  </w:abstractNum>
  <w:abstractNum w:abstractNumId="168">
    <w:nsid w:val="5C17530C"/>
    <w:multiLevelType w:val="hybridMultilevel"/>
    <w:lvl w:ilvl="0">
      <w:lvlJc w:val="left"/>
      <w:lvlText w:val="(%1)"/>
      <w:numFmt w:val="lowerLetter"/>
      <w:start w:val="2"/>
    </w:lvl>
  </w:abstractNum>
  <w:abstractNum w:abstractNumId="169">
    <w:nsid w:val="19A5256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0">
    <w:nsid w:val="335A1DF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71">
    <w:nsid w:val="28677B7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2">
    <w:nsid w:val="378D97C0"/>
    <w:multiLevelType w:val="hybridMultilevel"/>
    <w:lvl w:ilvl="0">
      <w:lvlJc w:val="left"/>
      <w:lvlText w:val="(%1)"/>
      <w:numFmt w:val="lowerLetter"/>
      <w:start w:val="6"/>
    </w:lvl>
    <w:lvl w:ilvl="1">
      <w:lvlJc w:val="left"/>
      <w:lvlText w:val="(%2)"/>
      <w:numFmt w:val="lowerRoman"/>
      <w:start w:val="1"/>
    </w:lvl>
  </w:abstractNum>
  <w:abstractNum w:abstractNumId="173">
    <w:nsid w:val="1D91467C"/>
    <w:multiLevelType w:val="hybridMultilevel"/>
    <w:lvl w:ilvl="0">
      <w:lvlJc w:val="left"/>
      <w:lvlText w:val="(%1)"/>
      <w:numFmt w:val="lowerLetter"/>
      <w:start w:val="1"/>
    </w:lvl>
  </w:abstractNum>
  <w:abstractNum w:abstractNumId="174">
    <w:nsid w:val="316032BB"/>
    <w:multiLevelType w:val="hybridMultilevel"/>
    <w:lvl w:ilvl="0">
      <w:lvlJc w:val="left"/>
      <w:lvlText w:val="(%1)"/>
      <w:numFmt w:val="lowerLetter"/>
      <w:start w:val="4"/>
    </w:lvl>
    <w:lvl w:ilvl="1">
      <w:lvlJc w:val="left"/>
      <w:lvlText w:val="(%2)"/>
      <w:numFmt w:val="lowerRoman"/>
      <w:start w:val="1"/>
    </w:lvl>
  </w:abstractNum>
  <w:abstractNum w:abstractNumId="175">
    <w:nsid w:val="44344C22"/>
    <w:multiLevelType w:val="hybridMultilevel"/>
    <w:lvl w:ilvl="0">
      <w:lvlJc w:val="left"/>
      <w:lvlText w:val="(%1)"/>
      <w:numFmt w:val="lowerLetter"/>
      <w:start w:val="6"/>
    </w:lvl>
    <w:lvl w:ilvl="1">
      <w:lvlJc w:val="left"/>
      <w:lvlText w:val="(%2)"/>
      <w:numFmt w:val="lowerRoman"/>
      <w:start w:val="1"/>
    </w:lvl>
  </w:abstractNum>
  <w:abstractNum w:abstractNumId="176">
    <w:nsid w:val="13CDFCFC"/>
    <w:multiLevelType w:val="hybridMultilevel"/>
    <w:lvl w:ilvl="0">
      <w:lvlJc w:val="left"/>
      <w:lvlText w:val="(%1)"/>
      <w:numFmt w:val="lowerLetter"/>
      <w:start w:val="1"/>
    </w:lvl>
  </w:abstractNum>
  <w:abstractNum w:abstractNumId="177">
    <w:nsid w:val="471745E4"/>
    <w:multiLevelType w:val="hybridMultilevel"/>
    <w:lvl w:ilvl="0">
      <w:lvlJc w:val="left"/>
      <w:lvlText w:val="(%1)"/>
      <w:numFmt w:val="lowerLetter"/>
      <w:start w:val="2"/>
    </w:lvl>
    <w:lvl w:ilvl="1">
      <w:lvlJc w:val="left"/>
      <w:lvlText w:val="(%2)"/>
      <w:numFmt w:val="lowerRoman"/>
      <w:start w:val="1"/>
    </w:lvl>
  </w:abstractNum>
  <w:abstractNum w:abstractNumId="178">
    <w:nsid w:val="1DDBC66"/>
    <w:multiLevelType w:val="hybridMultilevel"/>
    <w:lvl w:ilvl="0">
      <w:lvlJc w:val="left"/>
      <w:lvlText w:val="(%1)"/>
      <w:numFmt w:val="lowerRoman"/>
      <w:start w:val="1"/>
    </w:lvl>
  </w:abstractNum>
  <w:abstractNum w:abstractNumId="179">
    <w:nsid w:val="30AADFDA"/>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80">
    <w:nsid w:val="30EADA61"/>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abstractNum>
  <w:abstractNum w:abstractNumId="181">
    <w:nsid w:val="27179C0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2">
    <w:nsid w:val="5E63606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83">
    <w:nsid w:val="215641AF"/>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84">
    <w:nsid w:val="5328066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85">
    <w:nsid w:val="46B24DBC"/>
    <w:multiLevelType w:val="hybridMultilevel"/>
    <w:lvl w:ilvl="0">
      <w:lvlJc w:val="left"/>
      <w:lvlText w:val="(%1)"/>
      <w:numFmt w:val="lowerLetter"/>
      <w:start w:val="1"/>
    </w:lvl>
    <w:lvl w:ilvl="1">
      <w:lvlJc w:val="left"/>
      <w:lvlText w:val="(%2)"/>
      <w:numFmt w:val="lowerRoman"/>
      <w:start w:val="1"/>
    </w:lvl>
  </w:abstractNum>
  <w:abstractNum w:abstractNumId="186">
    <w:nsid w:val="75B52783"/>
    <w:multiLevelType w:val="hybridMultilevel"/>
    <w:lvl w:ilvl="0">
      <w:lvlJc w:val="left"/>
      <w:lvlText w:val="(%1)"/>
      <w:numFmt w:val="lowerLetter"/>
      <w:start w:val="1"/>
    </w:lvl>
  </w:abstractNum>
  <w:abstractNum w:abstractNumId="187">
    <w:nsid w:val="57CE66B4"/>
    <w:multiLevelType w:val="hybridMultilevel"/>
    <w:lvl w:ilvl="0">
      <w:lvlJc w:val="left"/>
      <w:lvlText w:val="(%1)"/>
      <w:numFmt w:val="lowerLetter"/>
      <w:start w:val="1"/>
    </w:lvl>
    <w:lvl w:ilvl="1">
      <w:lvlJc w:val="left"/>
      <w:lvlText w:val="(%2)"/>
      <w:numFmt w:val="lowerRoman"/>
      <w:start w:val="1"/>
    </w:lvl>
  </w:abstractNum>
  <w:abstractNum w:abstractNumId="188">
    <w:nsid w:val="67A70B69"/>
    <w:multiLevelType w:val="hybridMultilevel"/>
    <w:lvl w:ilvl="0">
      <w:lvlJc w:val="left"/>
      <w:lvlText w:val="(%1)"/>
      <w:numFmt w:val="lowerLetter"/>
      <w:start w:val="4"/>
    </w:lvl>
  </w:abstractNum>
  <w:abstractNum w:abstractNumId="189">
    <w:nsid w:val="5953172F"/>
    <w:multiLevelType w:val="hybridMultilevel"/>
    <w:lvl w:ilvl="0">
      <w:lvlJc w:val="left"/>
      <w:lvlText w:val="(%1)"/>
      <w:numFmt w:val="lowerLetter"/>
      <w:start w:val="1"/>
    </w:lvl>
    <w:lvl w:ilvl="1">
      <w:lvlJc w:val="left"/>
      <w:lvlText w:val="(%2)"/>
      <w:numFmt w:val="lowerRoman"/>
      <w:start w:val="1"/>
    </w:lvl>
  </w:abstractNum>
  <w:abstractNum w:abstractNumId="190">
    <w:nsid w:val="27EDFE3A"/>
    <w:multiLevelType w:val="hybridMultilevel"/>
    <w:lvl w:ilvl="0">
      <w:lvlJc w:val="left"/>
      <w:lvlText w:val="(%1)"/>
      <w:numFmt w:val="lowerLetter"/>
      <w:start w:val="1"/>
    </w:lvl>
  </w:abstractNum>
  <w:abstractNum w:abstractNumId="191">
    <w:nsid w:val="52AC7DFF"/>
    <w:multiLevelType w:val="hybridMultilevel"/>
    <w:lvl w:ilvl="0">
      <w:lvlJc w:val="left"/>
      <w:lvlText w:val="%1"/>
      <w:numFmt w:val="lowerLetter"/>
      <w:start w:val="1"/>
    </w:lvl>
    <w:lvl w:ilvl="1">
      <w:lvlJc w:val="left"/>
      <w:lvlText w:val="(%2)"/>
      <w:numFmt w:val="lowerRoman"/>
      <w:start w:val="1"/>
    </w:lvl>
  </w:abstractNum>
  <w:abstractNum w:abstractNumId="192">
    <w:nsid w:val="C4C3AF"/>
    <w:multiLevelType w:val="hybridMultilevel"/>
    <w:lvl w:ilvl="0">
      <w:lvlJc w:val="left"/>
      <w:lvlText w:val="(%1)"/>
      <w:numFmt w:val="lowerLetter"/>
      <w:start w:val="2"/>
    </w:lvl>
    <w:lvl w:ilvl="1">
      <w:lvlJc w:val="left"/>
      <w:lvlText w:val="%2"/>
      <w:numFmt w:val="lowerRoman"/>
      <w:start w:val="1"/>
    </w:lvl>
  </w:abstractNum>
  <w:abstractNum w:abstractNumId="193">
    <w:nsid w:val="44380727"/>
    <w:multiLevelType w:val="hybridMultilevel"/>
    <w:lvl w:ilvl="0">
      <w:lvlJc w:val="left"/>
      <w:lvlText w:val="(%1)"/>
      <w:numFmt w:val="lowerLetter"/>
      <w:start w:val="1"/>
    </w:lvl>
  </w:abstractNum>
  <w:abstractNum w:abstractNumId="194">
    <w:nsid w:val="6C053B16"/>
    <w:multiLevelType w:val="hybridMultilevel"/>
    <w:lvl w:ilvl="0">
      <w:lvlJc w:val="left"/>
      <w:lvlText w:val="(%1)"/>
      <w:numFmt w:val="lowerLetter"/>
      <w:start w:val="6"/>
    </w:lvl>
  </w:abstractNum>
  <w:abstractNum w:abstractNumId="195">
    <w:nsid w:val="4F294393"/>
    <w:multiLevelType w:val="hybridMultilevel"/>
    <w:lvl w:ilvl="0">
      <w:lvlJc w:val="left"/>
      <w:lvlText w:val="(%1)"/>
      <w:numFmt w:val="lowerLetter"/>
      <w:start w:val="1"/>
    </w:lvl>
  </w:abstractNum>
  <w:abstractNum w:abstractNumId="196">
    <w:nsid w:val="5243BFAC"/>
    <w:multiLevelType w:val="hybridMultilevel"/>
    <w:lvl w:ilvl="0">
      <w:lvlJc w:val="left"/>
      <w:lvlText w:val="(%1)"/>
      <w:numFmt w:val="lowerLetter"/>
      <w:start w:val="1"/>
    </w:lvl>
  </w:abstractNum>
  <w:abstractNum w:abstractNumId="197">
    <w:nsid w:val="425EB207"/>
    <w:multiLevelType w:val="hybridMultilevel"/>
    <w:lvl w:ilvl="0">
      <w:lvlJc w:val="left"/>
      <w:lvlText w:val="%1"/>
      <w:numFmt w:val="lowerLetter"/>
      <w:start w:val="1"/>
    </w:lvl>
    <w:lvl w:ilvl="1">
      <w:lvlJc w:val="left"/>
      <w:lvlText w:val="(%2)"/>
      <w:numFmt w:val="lowerRoman"/>
      <w:start w:val="2"/>
    </w:lvl>
  </w:abstractNum>
  <w:abstractNum w:abstractNumId="198">
    <w:nsid w:val="334A6F1F"/>
    <w:multiLevelType w:val="hybridMultilevel"/>
    <w:lvl w:ilvl="0">
      <w:lvlJc w:val="left"/>
      <w:lvlText w:val="(%1)"/>
      <w:numFmt w:val="lowerLetter"/>
      <w:start w:val="5"/>
    </w:lvl>
    <w:lvl w:ilvl="1">
      <w:lvlJc w:val="left"/>
      <w:lvlText w:val="%2"/>
      <w:numFmt w:val="lowerRoman"/>
      <w:start w:val="1"/>
    </w:lvl>
  </w:abstractNum>
  <w:abstractNum w:abstractNumId="199">
    <w:nsid w:val="2E5B12B8"/>
    <w:multiLevelType w:val="hybridMultilevel"/>
    <w:lvl w:ilvl="0">
      <w:lvlJc w:val="left"/>
      <w:lvlText w:val="(%1)"/>
      <w:numFmt w:val="lowerLetter"/>
      <w:start w:val="1"/>
    </w:lvl>
    <w:lvl w:ilvl="1">
      <w:lvlJc w:val="left"/>
      <w:lvlText w:val="(%2)"/>
      <w:numFmt w:val="lowerRoman"/>
      <w:start w:val="1"/>
    </w:lvl>
  </w:abstractNum>
  <w:abstractNum w:abstractNumId="200">
    <w:nsid w:val="5C03D76D"/>
    <w:multiLevelType w:val="hybridMultilevel"/>
    <w:lvl w:ilvl="0">
      <w:lvlJc w:val="left"/>
      <w:lvlText w:val="(%1)"/>
      <w:numFmt w:val="lowerLetter"/>
      <w:start w:val="1"/>
    </w:lvl>
  </w:abstractNum>
  <w:abstractNum w:abstractNumId="201">
    <w:nsid w:val="66A48D11"/>
    <w:multiLevelType w:val="hybridMultilevel"/>
    <w:lvl w:ilvl="0">
      <w:lvlJc w:val="left"/>
      <w:lvlText w:val="(%1)"/>
      <w:numFmt w:val="lowerLetter"/>
      <w:start w:val="1"/>
    </w:lvl>
  </w:abstractNum>
  <w:abstractNum w:abstractNumId="202">
    <w:nsid w:val="56C28E34"/>
    <w:multiLevelType w:val="hybridMultilevel"/>
    <w:lvl w:ilvl="0">
      <w:lvlJc w:val="left"/>
      <w:lvlText w:val="(%1)"/>
      <w:numFmt w:val="lowerLetter"/>
      <w:start w:val="1"/>
    </w:lvl>
  </w:abstractNum>
  <w:abstractNum w:abstractNumId="203">
    <w:nsid w:val="13916F2D"/>
    <w:multiLevelType w:val="hybridMultilevel"/>
    <w:lvl w:ilvl="0">
      <w:lvlJc w:val="left"/>
      <w:lvlText w:val="(%1)"/>
      <w:numFmt w:val="lowerLetter"/>
      <w:start w:val="5"/>
    </w:lvl>
  </w:abstractNum>
  <w:abstractNum w:abstractNumId="204">
    <w:nsid w:val="435D38D"/>
    <w:multiLevelType w:val="hybridMultilevel"/>
    <w:lvl w:ilvl="0">
      <w:lvlJc w:val="left"/>
      <w:lvlText w:val="(%1)"/>
      <w:numFmt w:val="lowerLetter"/>
      <w:start w:val="1"/>
    </w:lvl>
  </w:abstractNum>
  <w:abstractNum w:abstractNumId="205">
    <w:nsid w:val="822C0EF"/>
    <w:multiLevelType w:val="hybridMultilevel"/>
    <w:lvl w:ilvl="0">
      <w:lvlJc w:val="left"/>
      <w:lvlText w:val="(%1)"/>
      <w:numFmt w:val="lowerLetter"/>
      <w:start w:val="3"/>
    </w:lvl>
  </w:abstractNum>
  <w:abstractNum w:abstractNumId="206">
    <w:nsid w:val="57C5BB4F"/>
    <w:multiLevelType w:val="hybridMultilevel"/>
    <w:lvl w:ilvl="0">
      <w:lvlJc w:val="left"/>
      <w:lvlText w:val="(%1)"/>
      <w:numFmt w:val="lowerLetter"/>
      <w:start w:val="1"/>
    </w:lvl>
  </w:abstractNum>
  <w:abstractNum w:abstractNumId="207">
    <w:nsid w:val="1803D089"/>
    <w:multiLevelType w:val="hybridMultilevel"/>
    <w:lvl w:ilvl="0">
      <w:lvlJc w:val="left"/>
      <w:lvlText w:val="(%1)"/>
      <w:numFmt w:val="lowerLetter"/>
      <w:start w:val="2"/>
    </w:lvl>
  </w:abstractNum>
  <w:abstractNum w:abstractNumId="208">
    <w:nsid w:val="4F3A06D4"/>
    <w:multiLevelType w:val="hybridMultilevel"/>
    <w:lvl w:ilvl="0">
      <w:lvlJc w:val="left"/>
      <w:lvlText w:val="(%1)"/>
      <w:numFmt w:val="lowerLetter"/>
      <w:start w:val="1"/>
    </w:lvl>
  </w:abstractNum>
  <w:abstractNum w:abstractNumId="209">
    <w:nsid w:val="59A377B6"/>
    <w:multiLevelType w:val="hybridMultilevel"/>
    <w:lvl w:ilvl="0">
      <w:lvlJc w:val="left"/>
      <w:lvlText w:val="(%1)"/>
      <w:numFmt w:val="lowerLetter"/>
      <w:start w:val="1"/>
    </w:lvl>
    <w:lvl w:ilvl="1">
      <w:lvlJc w:val="left"/>
      <w:lvlText w:val="(%2)"/>
      <w:numFmt w:val="lowerRoman"/>
      <w:start w:val="1"/>
    </w:lvl>
  </w:abstractNum>
  <w:abstractNum w:abstractNumId="210">
    <w:nsid w:val="48AEB063"/>
    <w:multiLevelType w:val="hybridMultilevel"/>
    <w:lvl w:ilvl="0">
      <w:lvlJc w:val="left"/>
      <w:lvlText w:val="(%1)"/>
      <w:numFmt w:val="lowerLetter"/>
      <w:start w:val="1"/>
    </w:lvl>
    <w:lvl w:ilvl="1">
      <w:lvlJc w:val="left"/>
      <w:lvlText w:val="(%2)"/>
      <w:numFmt w:val="lowerRoman"/>
      <w:start w:val="1"/>
    </w:lvl>
  </w:abstractNum>
  <w:abstractNum w:abstractNumId="211">
    <w:nsid w:val="24E135"/>
    <w:multiLevelType w:val="hybridMultilevel"/>
    <w:lvl w:ilvl="0">
      <w:lvlJc w:val="left"/>
      <w:lvlText w:val="(%1)"/>
      <w:numFmt w:val="lowerRoman"/>
      <w:start w:val="2"/>
    </w:lvl>
  </w:abstractNum>
  <w:abstractNum w:abstractNumId="212">
    <w:nsid w:val="BB13C1"/>
    <w:multiLevelType w:val="hybridMultilevel"/>
    <w:lvl w:ilvl="0">
      <w:lvlJc w:val="left"/>
      <w:lvlText w:val="(%1)"/>
      <w:numFmt w:val="lowerLetter"/>
      <w:start w:val="1"/>
    </w:lvl>
  </w:abstractNum>
  <w:abstractNum w:abstractNumId="213">
    <w:nsid w:val="271210C7"/>
    <w:multiLevelType w:val="hybridMultilevel"/>
    <w:lvl w:ilvl="0">
      <w:lvlJc w:val="left"/>
      <w:lvlText w:val="(%1)"/>
      <w:numFmt w:val="lowerLetter"/>
      <w:start w:val="1"/>
    </w:lvl>
    <w:lvl w:ilvl="1">
      <w:lvlJc w:val="left"/>
      <w:lvlText w:val="(%2)"/>
      <w:numFmt w:val="lowerRoman"/>
      <w:start w:val="1"/>
    </w:lvl>
  </w:abstractNum>
  <w:abstractNum w:abstractNumId="214">
    <w:nsid w:val="217B22E4"/>
    <w:multiLevelType w:val="hybridMultilevel"/>
    <w:lvl w:ilvl="0">
      <w:lvlJc w:val="left"/>
      <w:lvlText w:val="(%1)"/>
      <w:numFmt w:val="lowerLetter"/>
      <w:start w:val="2"/>
    </w:lvl>
  </w:abstractNum>
  <w:abstractNum w:abstractNumId="215">
    <w:nsid w:val="53E31A24"/>
    <w:multiLevelType w:val="hybridMultilevel"/>
    <w:lvl w:ilvl="0">
      <w:lvlJc w:val="left"/>
      <w:lvlText w:val="(%1)"/>
      <w:numFmt w:val="lowerLetter"/>
      <w:start w:val="1"/>
    </w:lvl>
  </w:abstractNum>
  <w:abstractNum w:abstractNumId="216">
    <w:nsid w:val="6DC45E83"/>
    <w:multiLevelType w:val="hybridMultilevel"/>
    <w:lvl w:ilvl="0">
      <w:lvlJc w:val="left"/>
      <w:lvlText w:val="(%1)"/>
      <w:numFmt w:val="lowerLetter"/>
      <w:start w:val="1"/>
    </w:lvl>
    <w:lvl w:ilvl="1">
      <w:lvlJc w:val="left"/>
      <w:lvlText w:val="(%2)"/>
      <w:numFmt w:val="lowerRoman"/>
      <w:start w:val="1"/>
    </w:lvl>
  </w:abstractNum>
  <w:abstractNum w:abstractNumId="217">
    <w:nsid w:val="17304A67"/>
    <w:multiLevelType w:val="hybridMultilevel"/>
    <w:lvl w:ilvl="0">
      <w:lvlJc w:val="left"/>
      <w:lvlText w:val="(%1)"/>
      <w:numFmt w:val="lowerLetter"/>
      <w:start w:val="1"/>
    </w:lvl>
  </w:abstractNum>
  <w:abstractNum w:abstractNumId="218">
    <w:nsid w:val="2BB180D8"/>
    <w:multiLevelType w:val="hybridMultilevel"/>
    <w:lvl w:ilvl="0">
      <w:lvlJc w:val="left"/>
      <w:lvlText w:val="(%1)"/>
      <w:numFmt w:val="lowerLetter"/>
      <w:start w:val="1"/>
    </w:lvl>
  </w:abstractNum>
  <w:abstractNum w:abstractNumId="219">
    <w:nsid w:val="556B69ED"/>
    <w:multiLevelType w:val="hybridMultilevel"/>
    <w:lvl w:ilvl="0">
      <w:lvlJc w:val="left"/>
      <w:lvlText w:val="(%1)"/>
      <w:numFmt w:val="lowerLetter"/>
      <w:start w:val="1"/>
    </w:lvl>
    <w:lvl w:ilvl="1">
      <w:lvlJc w:val="left"/>
      <w:lvlText w:val="(%2)"/>
      <w:numFmt w:val="lowerRoman"/>
      <w:start w:val="1"/>
    </w:lvl>
  </w:abstractNum>
  <w:abstractNum w:abstractNumId="220">
    <w:nsid w:val="70836196"/>
    <w:multiLevelType w:val="hybridMultilevel"/>
    <w:lvl w:ilvl="0">
      <w:lvlJc w:val="left"/>
      <w:lvlText w:val="(%1)"/>
      <w:numFmt w:val="lowerLetter"/>
      <w:start w:val="1"/>
    </w:lvl>
  </w:abstractNum>
  <w:abstractNum w:abstractNumId="221">
    <w:nsid w:val="539F7F12"/>
    <w:multiLevelType w:val="hybridMultilevel"/>
    <w:lvl w:ilvl="0">
      <w:lvlJc w:val="left"/>
      <w:lvlText w:val="(%1)"/>
      <w:numFmt w:val="lowerRoman"/>
      <w:start w:val="2"/>
    </w:lvl>
  </w:abstractNum>
  <w:abstractNum w:abstractNumId="222">
    <w:nsid w:val="2817E7EC"/>
    <w:multiLevelType w:val="hybridMultilevel"/>
    <w:lvl w:ilvl="0">
      <w:lvlJc w:val="left"/>
      <w:lvlText w:val="(%1)"/>
      <w:numFmt w:val="lowerLetter"/>
      <w:start w:val="1"/>
    </w:lvl>
  </w:abstractNum>
  <w:abstractNum w:abstractNumId="223">
    <w:nsid w:val="71482545"/>
    <w:multiLevelType w:val="hybridMultilevel"/>
    <w:lvl w:ilvl="0">
      <w:lvlJc w:val="left"/>
      <w:lvlText w:val="(%1)"/>
      <w:numFmt w:val="lowerLetter"/>
      <w:start w:val="1"/>
    </w:lvl>
  </w:abstractNum>
  <w:abstractNum w:abstractNumId="224">
    <w:nsid w:val="17D78639"/>
    <w:multiLevelType w:val="hybridMultilevel"/>
    <w:lvl w:ilvl="0">
      <w:lvlJc w:val="left"/>
      <w:lvlText w:val="(%1)"/>
      <w:numFmt w:val="lowerLetter"/>
      <w:start w:val="1"/>
    </w:lvl>
    <w:lvl w:ilvl="1">
      <w:lvlJc w:val="left"/>
      <w:lvlText w:val="(%2)"/>
      <w:numFmt w:val="lowerRoman"/>
      <w:start w:val="1"/>
    </w:lvl>
  </w:abstractNum>
  <w:abstractNum w:abstractNumId="225">
    <w:nsid w:val="141D2302"/>
    <w:multiLevelType w:val="hybridMultilevel"/>
    <w:lvl w:ilvl="0">
      <w:lvlJc w:val="left"/>
      <w:lvlText w:val="(%1)"/>
      <w:numFmt w:val="lowerLetter"/>
      <w:start w:val="1"/>
    </w:lvl>
    <w:lvl w:ilvl="1">
      <w:lvlJc w:val="left"/>
      <w:lvlText w:val="(%2)"/>
      <w:numFmt w:val="lowerRoman"/>
      <w:start w:val="1"/>
    </w:lvl>
  </w:abstractNum>
  <w:abstractNum w:abstractNumId="226">
    <w:nsid w:val="407168D8"/>
    <w:multiLevelType w:val="hybridMultilevel"/>
    <w:lvl w:ilvl="0">
      <w:lvlJc w:val="left"/>
      <w:lvlText w:val="(%1)"/>
      <w:numFmt w:val="lowerLetter"/>
      <w:start w:val="2"/>
    </w:lvl>
    <w:lvl w:ilvl="1">
      <w:lvlJc w:val="left"/>
      <w:lvlText w:val="(%2)"/>
      <w:numFmt w:val="lowerRoman"/>
      <w:start w:val="1"/>
    </w:lvl>
  </w:abstractNum>
  <w:abstractNum w:abstractNumId="227">
    <w:nsid w:val="6A1B45E5"/>
    <w:multiLevelType w:val="hybridMultilevel"/>
    <w:lvl w:ilvl="0">
      <w:lvlJc w:val="left"/>
      <w:lvlText w:val="(%1)"/>
      <w:numFmt w:val="lowerLetter"/>
      <w:start w:val="1"/>
    </w:lvl>
  </w:abstractNum>
  <w:abstractNum w:abstractNumId="228">
    <w:nsid w:val="567BD50A"/>
    <w:multiLevelType w:val="hybridMultilevel"/>
    <w:lvl w:ilvl="0">
      <w:lvlJc w:val="left"/>
      <w:lvlText w:val="(%1)"/>
      <w:numFmt w:val="lowerLetter"/>
      <w:start w:val="1"/>
    </w:lvl>
  </w:abstractNum>
  <w:abstractNum w:abstractNumId="229">
    <w:nsid w:val="73BBD7F8"/>
    <w:multiLevelType w:val="hybridMultilevel"/>
    <w:lvl w:ilvl="0">
      <w:lvlJc w:val="left"/>
      <w:lvlText w:val="(%1)"/>
      <w:numFmt w:val="lowerLetter"/>
      <w:start w:val="1"/>
    </w:lvl>
  </w:abstractNum>
  <w:abstractNum w:abstractNumId="230">
    <w:nsid w:val="1876589D"/>
    <w:multiLevelType w:val="hybridMultilevel"/>
    <w:lvl w:ilvl="0">
      <w:lvlJc w:val="left"/>
      <w:lvlText w:val="(%1)"/>
      <w:numFmt w:val="lowerLetter"/>
      <w:start w:val="1"/>
    </w:lvl>
    <w:lvl w:ilvl="1">
      <w:lvlJc w:val="left"/>
      <w:lvlText w:val="(%2)"/>
      <w:numFmt w:val="lowerRoman"/>
      <w:start w:val="1"/>
    </w:lvl>
  </w:abstractNum>
  <w:abstractNum w:abstractNumId="231">
    <w:nsid w:val="327FAC77"/>
    <w:multiLevelType w:val="hybridMultilevel"/>
    <w:lvl w:ilvl="0">
      <w:lvlJc w:val="left"/>
      <w:lvlText w:val="(%1)"/>
      <w:numFmt w:val="lowerLetter"/>
      <w:start w:val="1"/>
    </w:lvl>
  </w:abstractNum>
  <w:abstractNum w:abstractNumId="232">
    <w:nsid w:val="5A606509"/>
    <w:multiLevelType w:val="hybridMultilevel"/>
    <w:lvl w:ilvl="0">
      <w:lvlJc w:val="left"/>
      <w:lvlText w:val="(%1)"/>
      <w:numFmt w:val="lowerLetter"/>
      <w:start w:val="4"/>
    </w:lvl>
  </w:abstractNum>
  <w:abstractNum w:abstractNumId="233">
    <w:nsid w:val="6F38E6D1"/>
    <w:multiLevelType w:val="hybridMultilevel"/>
    <w:lvl w:ilvl="0">
      <w:lvlJc w:val="left"/>
      <w:lvlText w:val="(%1)"/>
      <w:numFmt w:val="lowerLetter"/>
      <w:start w:val="1"/>
    </w:lvl>
  </w:abstractNum>
  <w:abstractNum w:abstractNumId="234">
    <w:nsid w:val="46111BA5"/>
    <w:multiLevelType w:val="hybridMultilevel"/>
    <w:lvl w:ilvl="0">
      <w:lvlJc w:val="left"/>
      <w:lvlText w:val="(%1)"/>
      <w:numFmt w:val="lowerLetter"/>
      <w:start w:val="1"/>
    </w:lvl>
  </w:abstractNum>
  <w:abstractNum w:abstractNumId="235">
    <w:nsid w:val="5E963896"/>
    <w:multiLevelType w:val="hybridMultilevel"/>
    <w:lvl w:ilvl="0">
      <w:lvlJc w:val="left"/>
      <w:lvlText w:val="(%1)"/>
      <w:numFmt w:val="lowerLetter"/>
      <w:start w:val="1"/>
    </w:lvl>
  </w:abstractNum>
  <w:abstractNum w:abstractNumId="236">
    <w:nsid w:val="775BA7C1"/>
    <w:multiLevelType w:val="hybridMultilevel"/>
    <w:lvl w:ilvl="0">
      <w:lvlJc w:val="left"/>
      <w:lvlText w:val="(%1)"/>
      <w:numFmt w:val="lowerLetter"/>
      <w:start w:val="1"/>
    </w:lvl>
  </w:abstractNum>
  <w:abstractNum w:abstractNumId="237">
    <w:nsid w:val="1DD6D6F4"/>
    <w:multiLevelType w:val="hybridMultilevel"/>
    <w:lvl w:ilvl="0">
      <w:lvlJc w:val="left"/>
      <w:lvlText w:val="(%1)"/>
      <w:numFmt w:val="lowerLetter"/>
      <w:start w:val="1"/>
    </w:lvl>
  </w:abstractNum>
  <w:abstractNum w:abstractNumId="238">
    <w:nsid w:val="769A091F"/>
    <w:multiLevelType w:val="hybridMultilevel"/>
    <w:lvl w:ilvl="0">
      <w:lvlJc w:val="left"/>
      <w:lvlText w:val="(%1)"/>
      <w:numFmt w:val="lowerLetter"/>
      <w:start w:val="1"/>
    </w:lvl>
  </w:abstractNum>
  <w:abstractNum w:abstractNumId="239">
    <w:nsid w:val="4695AE95"/>
    <w:multiLevelType w:val="hybridMultilevel"/>
    <w:lvl w:ilvl="0">
      <w:lvlJc w:val="left"/>
      <w:lvlText w:val="(%1)"/>
      <w:numFmt w:val="lowerLetter"/>
      <w:start w:val="1"/>
    </w:lvl>
  </w:abstractNum>
  <w:abstractNum w:abstractNumId="240">
    <w:nsid w:val="777A4EAA"/>
    <w:multiLevelType w:val="hybridMultilevel"/>
    <w:lvl w:ilvl="0">
      <w:lvlJc w:val="left"/>
      <w:lvlText w:val="(%1)"/>
      <w:numFmt w:val="lowerLetter"/>
      <w:start w:val="2"/>
    </w:lvl>
  </w:abstractNum>
  <w:abstractNum w:abstractNumId="241">
    <w:nsid w:val="3F48B982"/>
    <w:multiLevelType w:val="hybridMultilevel"/>
    <w:lvl w:ilvl="0">
      <w:lvlJc w:val="left"/>
      <w:lvlText w:val="(%1)"/>
      <w:numFmt w:val="lowerLetter"/>
      <w:start w:val="1"/>
    </w:lvl>
  </w:abstractNum>
  <w:abstractNum w:abstractNumId="242">
    <w:nsid w:val="46BA8FCA"/>
    <w:multiLevelType w:val="hybridMultilevel"/>
    <w:lvl w:ilvl="0">
      <w:lvlJc w:val="left"/>
      <w:lvlText w:val="(%1)"/>
      <w:numFmt w:val="lowerLetter"/>
      <w:start w:val="1"/>
    </w:lvl>
  </w:abstractNum>
  <w:abstractNum w:abstractNumId="243">
    <w:nsid w:val="7835626C"/>
    <w:multiLevelType w:val="hybridMultilevel"/>
    <w:lvl w:ilvl="0">
      <w:lvlJc w:val="left"/>
      <w:lvlText w:val="(%1)"/>
      <w:numFmt w:val="lowerLetter"/>
      <w:start w:val="2"/>
    </w:lvl>
  </w:abstractNum>
  <w:abstractNum w:abstractNumId="244">
    <w:nsid w:val="665ACA49"/>
    <w:multiLevelType w:val="hybridMultilevel"/>
    <w:lvl w:ilvl="0">
      <w:lvlJc w:val="left"/>
      <w:lvlText w:val="1"/>
      <w:numFmt w:val="bullet"/>
      <w:start w:val="1"/>
    </w:lvl>
  </w:abstractNum>
  <w:abstractNum w:abstractNumId="245">
    <w:nsid w:val="6835B2AE"/>
    <w:multiLevelType w:val="hybridMultilevel"/>
    <w:lvl w:ilvl="0">
      <w:lvlJc w:val="left"/>
      <w:lvlText w:val="2"/>
      <w:numFmt w:val="bullet"/>
      <w:start w:val="1"/>
    </w:lvl>
  </w:abstractNum>
  <w:abstractNum w:abstractNumId="246">
    <w:nsid w:val="4C187C90"/>
    <w:multiLevelType w:val="hybridMultilevel"/>
    <w:lvl w:ilvl="0">
      <w:lvlJc w:val="left"/>
      <w:lvlText w:val="3"/>
      <w:numFmt w:val="bullet"/>
      <w:start w:val="1"/>
    </w:lvl>
  </w:abstractNum>
  <w:abstractNum w:abstractNumId="247">
    <w:nsid w:val="541F28CD"/>
    <w:multiLevelType w:val="hybridMultilevel"/>
    <w:lvl w:ilvl="0">
      <w:lvlJc w:val="left"/>
      <w:lvlText w:val="4"/>
      <w:numFmt w:val="bullet"/>
      <w:start w:val="1"/>
    </w:lvl>
    <w:lvl w:ilvl="1">
      <w:lvlJc w:val="left"/>
      <w:lvlText w:val="·"/>
      <w:numFmt w:val="bullet"/>
      <w:start w:val="1"/>
    </w:lvl>
  </w:abstractNum>
  <w:abstractNum w:abstractNumId="248">
    <w:nsid w:val="7F65FD16"/>
    <w:multiLevelType w:val="hybridMultilevel"/>
    <w:lvl w:ilvl="0">
      <w:lvlJc w:val="left"/>
      <w:lvlText w:val="·"/>
      <w:numFmt w:val="bullet"/>
      <w:start w:val="1"/>
    </w:lvl>
  </w:abstractNum>
  <w:abstractNum w:abstractNumId="249">
    <w:nsid w:val="77C9FD68"/>
    <w:multiLevelType w:val="hybridMultilevel"/>
    <w:lvl w:ilvl="0">
      <w:lvlJc w:val="left"/>
      <w:lvlText w:val="5"/>
      <w:numFmt w:val="bullet"/>
      <w:start w:val="1"/>
    </w:lvl>
    <w:lvl w:ilvl="1">
      <w:lvlJc w:val="left"/>
      <w:lvlText w:val="(%2)"/>
      <w:numFmt w:val="lowerLetter"/>
      <w:start w:val="1"/>
    </w:lvl>
    <w:lvl w:ilvl="2">
      <w:lvlJc w:val="left"/>
      <w:lvlText w:val="(%3)"/>
      <w:numFmt w:val="lowerRoman"/>
      <w:start w:val="1"/>
    </w:lvl>
  </w:abstractNum>
  <w:abstractNum w:abstractNumId="250">
    <w:nsid w:val="298A92BA"/>
    <w:multiLevelType w:val="hybridMultilevel"/>
    <w:lvl w:ilvl="0">
      <w:lvlJc w:val="left"/>
      <w:lvlText w:val="6"/>
      <w:numFmt w:val="bullet"/>
      <w:start w:val="1"/>
    </w:lvl>
  </w:abstractNum>
  <w:abstractNum w:abstractNumId="251">
    <w:nsid w:val="6FE95EAC"/>
    <w:multiLevelType w:val="hybridMultilevel"/>
    <w:lvl w:ilvl="0">
      <w:lvlJc w:val="left"/>
      <w:lvlText w:val="7"/>
      <w:numFmt w:val="bullet"/>
      <w:start w:val="1"/>
    </w:lvl>
  </w:abstractNum>
  <w:abstractNum w:abstractNumId="252">
    <w:nsid w:val="4B697C7A"/>
    <w:multiLevelType w:val="hybridMultilevel"/>
    <w:lvl w:ilvl="0">
      <w:lvlJc w:val="left"/>
      <w:lvlText w:val="(%1)"/>
      <w:numFmt w:val="lowerLetter"/>
      <w:start w:val="2"/>
    </w:lvl>
  </w:abstractNum>
  <w:abstractNum w:abstractNumId="253">
    <w:nsid w:val="51A27AA6"/>
    <w:multiLevelType w:val="hybridMultilevel"/>
    <w:lvl w:ilvl="0">
      <w:lvlJc w:val="left"/>
      <w:lvlText w:val="(%1)"/>
      <w:numFmt w:val="lowerLetter"/>
      <w:start w:val="4"/>
    </w:lvl>
  </w:abstractNum>
  <w:abstractNum w:abstractNumId="254">
    <w:nsid w:val="613183F2"/>
    <w:multiLevelType w:val="hybridMultilevel"/>
    <w:lvl w:ilvl="0">
      <w:lvlJc w:val="left"/>
      <w:lvlText w:val="1"/>
      <w:numFmt w:val="bullet"/>
      <w:start w:val="1"/>
    </w:lvl>
  </w:abstractNum>
  <w:abstractNum w:abstractNumId="255">
    <w:nsid w:val="634102B4"/>
    <w:multiLevelType w:val="hybridMultilevel"/>
    <w:lvl w:ilvl="0">
      <w:lvlJc w:val="left"/>
      <w:lvlText w:val="2"/>
      <w:numFmt w:val="bullet"/>
      <w:start w:val="1"/>
    </w:lvl>
  </w:abstractNum>
  <w:abstractNum w:abstractNumId="256">
    <w:nsid w:val="65BF9DA8"/>
    <w:multiLevelType w:val="hybridMultilevel"/>
    <w:lvl w:ilvl="0">
      <w:lvlJc w:val="left"/>
      <w:lvlText w:val="3"/>
      <w:numFmt w:val="bullet"/>
      <w:start w:val="1"/>
    </w:lvl>
    <w:lvl w:ilvl="1">
      <w:lvlJc w:val="left"/>
      <w:lvlText w:val="(%2)"/>
      <w:numFmt w:val="lowerLetter"/>
      <w:start w:val="1"/>
    </w:lvl>
    <w:lvl w:ilvl="2">
      <w:lvlJc w:val="left"/>
      <w:lvlText w:val="(%3)"/>
      <w:numFmt w:val="lowerRoman"/>
      <w:start w:val="1"/>
    </w:lvl>
  </w:abstractNum>
  <w:abstractNum w:abstractNumId="257">
    <w:nsid w:val="21A2ECCA"/>
    <w:multiLevelType w:val="hybridMultilevel"/>
    <w:lvl w:ilvl="0">
      <w:lvlJc w:val="left"/>
      <w:lvlText w:val="4"/>
      <w:numFmt w:val="bullet"/>
      <w:start w:val="1"/>
    </w:lvl>
  </w:abstractNum>
  <w:abstractNum w:abstractNumId="258">
    <w:nsid w:val="4D5C4899"/>
    <w:multiLevelType w:val="hybridMultilevel"/>
    <w:lvl w:ilvl="0">
      <w:lvlJc w:val="left"/>
      <w:lvlText w:val="5"/>
      <w:numFmt w:val="bullet"/>
      <w:start w:val="1"/>
    </w:lvl>
  </w:abstractNum>
  <w:abstractNum w:abstractNumId="259">
    <w:nsid w:val="3C3B72B2"/>
    <w:multiLevelType w:val="hybridMultilevel"/>
    <w:lvl w:ilvl="0">
      <w:lvlJc w:val="left"/>
      <w:lvlText w:val="1"/>
      <w:numFmt w:val="bullet"/>
      <w:start w:val="1"/>
    </w:lvl>
  </w:abstractNum>
  <w:abstractNum w:abstractNumId="260">
    <w:nsid w:val="155EC4C2"/>
    <w:multiLevelType w:val="hybridMultilevel"/>
    <w:lvl w:ilvl="0">
      <w:lvlJc w:val="left"/>
      <w:lvlText w:val="2"/>
      <w:numFmt w:val="bullet"/>
      <w:start w:val="1"/>
    </w:lvl>
  </w:abstractNum>
  <w:abstractNum w:abstractNumId="261">
    <w:nsid w:val="65D2A137"/>
    <w:multiLevelType w:val="hybridMultilevel"/>
    <w:lvl w:ilvl="0">
      <w:lvlJc w:val="left"/>
      <w:lvlText w:val="3"/>
      <w:numFmt w:val="bullet"/>
      <w:start w:val="1"/>
    </w:lvl>
    <w:lvl w:ilvl="1">
      <w:lvlJc w:val="left"/>
      <w:lvlText w:val="(%2)"/>
      <w:numFmt w:val="lowerLetter"/>
      <w:start w:val="1"/>
    </w:lvl>
  </w:abstractNum>
  <w:abstractNum w:abstractNumId="262">
    <w:nsid w:val="6EBB1F2A"/>
    <w:multiLevelType w:val="hybridMultilevel"/>
    <w:lvl w:ilvl="0">
      <w:lvlJc w:val="left"/>
      <w:lvlText w:val="4"/>
      <w:numFmt w:val="bullet"/>
      <w:start w:val="1"/>
    </w:lvl>
  </w:abstractNum>
  <w:abstractNum w:abstractNumId="263">
    <w:nsid w:val="6FBF29CB"/>
    <w:multiLevelType w:val="hybridMultilevel"/>
    <w:lvl w:ilvl="0">
      <w:lvlJc w:val="left"/>
      <w:lvlText w:val="-"/>
      <w:numFmt w:val="bullet"/>
      <w:start w:val="1"/>
    </w:lvl>
  </w:abstractNum>
  <w:abstractNum w:abstractNumId="264">
    <w:nsid w:val="550B8808"/>
    <w:multiLevelType w:val="hybridMultilevel"/>
    <w:lvl w:ilvl="0">
      <w:lvlJc w:val="left"/>
      <w:lvlText w:val="1"/>
      <w:numFmt w:val="bullet"/>
      <w:start w:val="1"/>
    </w:lvl>
  </w:abstractNum>
  <w:abstractNum w:abstractNumId="265">
    <w:nsid w:val="34CC3ACF"/>
    <w:multiLevelType w:val="hybridMultilevel"/>
    <w:lvl w:ilvl="0">
      <w:lvlJc w:val="left"/>
      <w:lvlText w:val="2"/>
      <w:numFmt w:val="bullet"/>
      <w:start w:val="1"/>
    </w:lvl>
    <w:lvl w:ilvl="1">
      <w:lvlJc w:val="left"/>
      <w:lvlText w:val="(%2)"/>
      <w:numFmt w:val="lowerLetter"/>
      <w:start w:val="1"/>
    </w:lvl>
  </w:abstractNum>
  <w:abstractNum w:abstractNumId="266">
    <w:nsid w:val="4E556261"/>
    <w:multiLevelType w:val="hybridMultilevel"/>
    <w:lvl w:ilvl="0">
      <w:lvlJc w:val="left"/>
      <w:lvlText w:val="3"/>
      <w:numFmt w:val="bullet"/>
      <w:start w:val="1"/>
    </w:lvl>
    <w:lvl w:ilvl="1">
      <w:lvlJc w:val="left"/>
      <w:lvlText w:val="(%2)"/>
      <w:numFmt w:val="lowerLetter"/>
      <w:start w:val="1"/>
    </w:lvl>
  </w:abstractNum>
  <w:abstractNum w:abstractNumId="267">
    <w:nsid w:val="4C672FC9"/>
    <w:multiLevelType w:val="hybridMultilevel"/>
    <w:lvl w:ilvl="0">
      <w:lvlJc w:val="left"/>
      <w:lvlText w:val="(%1)"/>
      <w:numFmt w:val="lowerLetter"/>
      <w:start w:val="2"/>
    </w:lvl>
  </w:abstractNum>
  <w:abstractNum w:abstractNumId="268">
    <w:nsid w:val="52A311C3"/>
    <w:multiLevelType w:val="hybridMultilevel"/>
    <w:lvl w:ilvl="0">
      <w:lvlJc w:val="left"/>
      <w:lvlText w:val="4"/>
      <w:numFmt w:val="bullet"/>
      <w:start w:val="1"/>
    </w:lvl>
  </w:abstractNum>
  <w:abstractNum w:abstractNumId="269">
    <w:nsid w:val="44EF6B80"/>
    <w:multiLevelType w:val="hybridMultilevel"/>
    <w:lvl w:ilvl="0">
      <w:lvlJc w:val="left"/>
      <w:lvlText w:val="-"/>
      <w:numFmt w:val="bullet"/>
      <w:start w:val="1"/>
    </w:lvl>
    <w:lvl w:ilvl="1">
      <w:lvlJc w:val="left"/>
      <w:lvlText w:val="*"/>
      <w:numFmt w:val="bullet"/>
      <w:start w:val="1"/>
    </w:lvl>
  </w:abstractNum>
  <w:abstractNum w:abstractNumId="270">
    <w:nsid w:val="12FCDE5E"/>
    <w:multiLevelType w:val="hybridMultilevel"/>
    <w:lvl w:ilvl="0">
      <w:lvlJc w:val="left"/>
      <w:lvlText w:val="%1)"/>
      <w:numFmt w:val="decimal"/>
      <w:start w:val="1"/>
    </w:lvl>
    <w:lvl w:ilvl="1">
      <w:lvlJc w:val="left"/>
      <w:lvlText w:val="%2)"/>
      <w:numFmt w:val="lowerLetter"/>
      <w:start w:val="1"/>
    </w:lvl>
  </w:abstractNum>
  <w:abstractNum w:abstractNumId="271">
    <w:nsid w:val="4A1D606E"/>
    <w:multiLevelType w:val="hybridMultilevel"/>
    <w:lvl w:ilvl="0">
      <w:lvlJc w:val="left"/>
      <w:lvlText w:val="%1)"/>
      <w:numFmt w:val="decimal"/>
      <w:start w:val="1"/>
    </w:lvl>
    <w:lvl w:ilvl="1">
      <w:lvlJc w:val="left"/>
      <w:lvlText w:val="%2)"/>
      <w:numFmt w:val="lowerLetter"/>
      <w:start w:val="1"/>
    </w:lvl>
  </w:abstractNum>
  <w:abstractNum w:abstractNumId="272">
    <w:nsid w:val="438250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2023-11-15T06:03:56Z</dcterms:created>
  <dcterms:modified xsi:type="dcterms:W3CDTF">2023-11-15T06:03:56Z</dcterms:modified>
</cp:coreProperties>
</file>