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59" w:before="240" w:after="283"/>
        <w:rPr>
          <w:rFonts w:ascii="Times New Roman;serif" w:hAnsi="Times New Roman;serif"/>
          <w:b/>
          <w:i w:val="false"/>
          <w:caps w:val="false"/>
          <w:smallCaps w:val="false"/>
          <w:sz w:val="22"/>
        </w:rPr>
      </w:pPr>
      <w:bookmarkStart w:id="0" w:name="rdi-20240930x10q.htm"/>
      <w:bookmarkStart w:id="1" w:name="ksrdi20240930x10q"/>
      <w:bookmarkEnd w:id="0"/>
      <w:bookmarkEnd w:id="1"/>
      <w:r>
        <w:rPr>
          <w:rFonts w:ascii="Times New Roman;serif" w:hAnsi="Times New Roman;serif"/>
          <w:b/>
          <w:i w:val="false"/>
          <w:caps w:val="false"/>
          <w:smallCaps w:val="false"/>
          <w:sz w:val="22"/>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0" w:after="120"/>
        <w:jc w:val="center"/>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_____________________________________________________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September 30, 2024</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___________ to 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1-8625</w:t>
      </w:r>
    </w:p>
    <w:p>
      <w:pPr>
        <w:pStyle w:val="TextBody"/>
        <w:bidi w:val="0"/>
        <w:spacing w:lineRule="auto" w:line="259"/>
        <w:rPr>
          <w:caps w:val="false"/>
          <w:smallCaps w:val="false"/>
        </w:rPr>
      </w:pPr>
      <w:r>
        <w:rPr>
          <w:caps w:val="false"/>
          <w:smallCaps w:val="false"/>
        </w:rPr>
        <w:drawing>
          <wp:inline distT="0" distB="0" distL="0" distR="0">
            <wp:extent cx="2250440" cy="851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0440" cy="851535"/>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082" w:type="dxa"/>
        <w:jc w:val="center"/>
        <w:tblInd w:w="0" w:type="dxa"/>
        <w:tblLayout w:type="fixed"/>
        <w:tblCellMar>
          <w:top w:w="0" w:type="dxa"/>
          <w:left w:w="0" w:type="dxa"/>
          <w:bottom w:w="0" w:type="dxa"/>
          <w:right w:w="0" w:type="dxa"/>
        </w:tblCellMar>
      </w:tblPr>
      <w:tblGrid>
        <w:gridCol w:w="4231"/>
        <w:gridCol w:w="2851"/>
      </w:tblGrid>
      <w:tr>
        <w:trPr/>
        <w:tc>
          <w:tcPr>
            <w:tcW w:w="4231" w:type="dxa"/>
            <w:tcBorders/>
            <w:shd w:fill="FFFFFF" w:val="clear"/>
            <w:vAlign w:val="center"/>
          </w:tcPr>
          <w:p>
            <w:pPr>
              <w:pStyle w:val="TableContents"/>
              <w:bidi w:val="0"/>
              <w:spacing w:before="0" w:after="283"/>
              <w:jc w:val="left"/>
              <w:rPr>
                <w:sz w:val="4"/>
                <w:szCs w:val="4"/>
              </w:rPr>
            </w:pPr>
            <w:r>
              <w:rPr>
                <w:sz w:val="4"/>
                <w:szCs w:val="4"/>
              </w:rPr>
            </w:r>
          </w:p>
        </w:tc>
        <w:tc>
          <w:tcPr>
            <w:tcW w:w="2851" w:type="dxa"/>
            <w:tcBorders/>
            <w:shd w:fill="FFFFFF" w:val="clear"/>
            <w:vAlign w:val="center"/>
          </w:tcPr>
          <w:p>
            <w:pPr>
              <w:pStyle w:val="TableContents"/>
              <w:bidi w:val="0"/>
              <w:spacing w:before="0" w:after="283"/>
              <w:jc w:val="left"/>
              <w:rPr>
                <w:sz w:val="4"/>
                <w:szCs w:val="4"/>
              </w:rPr>
            </w:pPr>
            <w:r>
              <w:rPr>
                <w:sz w:val="4"/>
                <w:szCs w:val="4"/>
              </w:rPr>
            </w:r>
          </w:p>
        </w:tc>
      </w:tr>
      <w:tr>
        <w:trPr/>
        <w:tc>
          <w:tcPr>
            <w:tcW w:w="423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tc>
        <w:tc>
          <w:tcPr>
            <w:tcW w:w="285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tc>
      </w:tr>
      <w:tr>
        <w:trPr/>
        <w:tc>
          <w:tcPr>
            <w:tcW w:w="423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New York, New York</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851" w:type="dxa"/>
            <w:tcBorders/>
            <w:shd w:fill="FFFFFF" w:val="clear"/>
            <w:vAlign w:val="center"/>
          </w:tcPr>
          <w:p>
            <w:pPr>
              <w:pStyle w:val="TableContents"/>
              <w:bidi w:val="0"/>
              <w:spacing w:lineRule="auto" w:line="259"/>
              <w:rPr>
                <w:caps w:val="false"/>
                <w:smallCaps w:val="false"/>
              </w:rPr>
            </w:pPr>
            <w:r>
              <w:rPr>
                <w:caps w:val="false"/>
                <w:smallCaps w:val="false"/>
              </w:rPr>
              <w:t> </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9250" w:type="dxa"/>
        <w:jc w:val="center"/>
        <w:tblInd w:w="0" w:type="dxa"/>
        <w:tblLayout w:type="fixed"/>
        <w:tblCellMar>
          <w:top w:w="0" w:type="dxa"/>
          <w:left w:w="0" w:type="dxa"/>
          <w:bottom w:w="0" w:type="dxa"/>
          <w:right w:w="0" w:type="dxa"/>
        </w:tblCellMar>
      </w:tblPr>
      <w:tblGrid>
        <w:gridCol w:w="4426"/>
        <w:gridCol w:w="146"/>
        <w:gridCol w:w="1261"/>
        <w:gridCol w:w="146"/>
        <w:gridCol w:w="327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bl>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Large 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Non-Accelerated Filer</w:t>
      </w:r>
      <w:r>
        <w:rPr>
          <w:rFonts w:ascii="Times New Roman;serif" w:hAnsi="Times New Roman;serif"/>
          <w:caps w:val="false"/>
          <w:smallCaps w:val="false"/>
          <w:sz w:val="19"/>
        </w:rPr>
        <w:t xml:space="preserve">  ☑ </w:t>
      </w:r>
      <w:r>
        <w:rPr>
          <w:rFonts w:ascii="Times New Roman;serif" w:hAnsi="Times New Roman;serif"/>
          <w:b w:val="false"/>
          <w:i w:val="false"/>
          <w:caps w:val="false"/>
          <w:smallCaps w:val="false"/>
          <w:sz w:val="19"/>
        </w:rPr>
        <w:t>Smaller Reporting Company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Emerging Growth Company </w:t>
      </w:r>
      <w:r>
        <w:rPr>
          <w:rFonts w:ascii="Times New Roman;serif" w:hAnsi="Times New Roman;serif"/>
          <w:caps w:val="false"/>
          <w:smallCaps w:val="false"/>
          <w:sz w:val="19"/>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bookmarkStart w:id="2" w:name="_Hlk77584395"/>
      <w:bookmarkEnd w:id="2"/>
      <w:r>
        <w:rPr>
          <w:rFonts w:ascii="Times New Roman;serif" w:hAnsi="Times New Roman;serif"/>
          <w:b w:val="false"/>
          <w:i w:val="false"/>
          <w:caps w:val="false"/>
          <w:smallCaps w:val="false"/>
          <w:sz w:val="20"/>
        </w:rPr>
        <w:t xml:space="preserve">Indicate the number of shares outstanding of each of the issuer’s classes of common stock, as of the latest practicable date. </w:t>
      </w:r>
      <w:bookmarkStart w:id="3" w:name="_Hlk141393246"/>
      <w:bookmarkEnd w:id="3"/>
      <w:r>
        <w:rPr>
          <w:rFonts w:ascii="Times New Roman;serif" w:hAnsi="Times New Roman;serif"/>
          <w:b w:val="false"/>
          <w:i w:val="false"/>
          <w:caps w:val="false"/>
          <w:smallCaps w:val="false"/>
          <w:sz w:val="20"/>
        </w:rPr>
        <w:t>As of November 13, 2024, there were 20,745,594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$0.01 par value per share, and 1,680,590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B Voting Common Stock, $0.01 par value per share, outstanding.</w:t>
        <w:b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READING </w:t>
      </w:r>
      <w:bookmarkStart w:id="4" w:name="TableOfContents"/>
      <w:bookmarkEnd w:id="4"/>
      <w:r>
        <w:rPr>
          <w:rFonts w:ascii="Times New Roman;serif" w:hAnsi="Times New Roman;serif"/>
          <w:b/>
          <w:i w:val="false"/>
          <w:caps w:val="false"/>
          <w:smallCaps w:val="false"/>
          <w:sz w:val="20"/>
        </w:rPr>
        <w:t>INTERNATIONAL, INC. AND SUBSIDIARIES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TABLE OF CONTENTS</w:t>
      </w:r>
    </w:p>
    <w:tbl>
      <w:tblPr>
        <w:tblW w:w="8627" w:type="dxa"/>
        <w:jc w:val="left"/>
        <w:tblInd w:w="0" w:type="dxa"/>
        <w:tblLayout w:type="fixed"/>
        <w:tblCellMar>
          <w:top w:w="0" w:type="dxa"/>
          <w:left w:w="0" w:type="dxa"/>
          <w:bottom w:w="0" w:type="dxa"/>
          <w:right w:w="0" w:type="dxa"/>
        </w:tblCellMar>
      </w:tblPr>
      <w:tblGrid>
        <w:gridCol w:w="8086"/>
        <w:gridCol w:w="541"/>
      </w:tblGrid>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 - 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color w:val="0000FF"/>
                  <w:sz w:val="20"/>
                  <w:u w:val="single"/>
                </w:rPr>
                <w:t>Item 1 – Financial Statements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shd w:fill="CCEEFF" w:val="clear"/>
            <w:vAlign w:val="center"/>
          </w:tcPr>
          <w:p>
            <w:pPr>
              <w:pStyle w:val="TableContents"/>
              <w:bidi w:val="0"/>
              <w:spacing w:lineRule="auto" w:line="259" w:before="0" w:after="283"/>
              <w:jc w:val="left"/>
              <w:rPr/>
            </w:pPr>
            <w:hyperlink w:anchor="BalSheet">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StmtofOpn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Income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8086" w:type="dxa"/>
            <w:tcBorders/>
            <w:shd w:fill="CCEEFF" w:val="clear"/>
            <w:vAlign w:val="center"/>
          </w:tcPr>
          <w:p>
            <w:pPr>
              <w:pStyle w:val="TableContents"/>
              <w:bidi w:val="0"/>
              <w:spacing w:lineRule="auto" w:line="259" w:before="0" w:after="283"/>
              <w:jc w:val="left"/>
              <w:rPr/>
            </w:pPr>
            <w:hyperlink w:anchor="StmtOfCompr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8086" w:type="dxa"/>
            <w:tcBorders/>
            <w:vAlign w:val="center"/>
          </w:tcPr>
          <w:p>
            <w:pPr>
              <w:pStyle w:val="TableContents"/>
              <w:bidi w:val="0"/>
              <w:spacing w:lineRule="auto" w:line="259" w:before="0" w:after="283"/>
              <w:jc w:val="left"/>
              <w:rPr/>
            </w:pPr>
            <w:hyperlink w:anchor="StmtOf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8086" w:type="dxa"/>
            <w:tcBorders/>
            <w:shd w:fill="CCEEFF" w:val="clear"/>
            <w:vAlign w:val="center"/>
          </w:tcPr>
          <w:p>
            <w:pPr>
              <w:pStyle w:val="TableContents"/>
              <w:bidi w:val="0"/>
              <w:spacing w:lineRule="auto" w:line="259" w:before="0" w:after="283"/>
              <w:jc w:val="left"/>
              <w:rPr/>
            </w:pPr>
            <w:hyperlink w:anchor="_Notes_to_Condensed">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8086" w:type="dxa"/>
            <w:tcBorders/>
            <w:vAlign w:val="center"/>
          </w:tcPr>
          <w:p>
            <w:pPr>
              <w:pStyle w:val="TableContents"/>
              <w:bidi w:val="0"/>
              <w:spacing w:lineRule="auto" w:line="259" w:before="0" w:after="283"/>
              <w:jc w:val="left"/>
              <w:rPr/>
            </w:pPr>
            <w:hyperlink w:anchor="Item2">
              <w:r>
                <w:rPr>
                  <w:rStyle w:val="InternetLink"/>
                  <w:rFonts w:ascii="Times New Roman;serif" w:hAnsi="Times New Roman;serif"/>
                  <w:b w:val="false"/>
                  <w:i w:val="false"/>
                  <w:caps w:val="false"/>
                  <w:smallCaps w:val="false"/>
                  <w:strike w:val="false"/>
                  <w:dstrike w:val="false"/>
                  <w:color w:val="0000FF"/>
                  <w:sz w:val="20"/>
                  <w:u w:val="single"/>
                  <w:effect w:val="none"/>
                </w:rPr>
                <w:t>Item 2 – Management’s Discussion and Analysis of Financial Condition and Results of Operations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8086" w:type="dxa"/>
            <w:tcBorders/>
            <w:shd w:fill="CCEEFF" w:val="clear"/>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20"/>
                  <w:u w:val="single"/>
                  <w:effect w:val="none"/>
                </w:rPr>
                <w:t>Item 3 – Quantitative and Qualitative Disclosure about Market Risk</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r>
      <w:tr>
        <w:trPr/>
        <w:tc>
          <w:tcPr>
            <w:tcW w:w="8086" w:type="dxa"/>
            <w:tcBorders/>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20"/>
                  <w:u w:val="single"/>
                  <w:effect w:val="none"/>
                </w:rPr>
                <w:t>Item 4 – Controls and Procedures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8086" w:type="dxa"/>
            <w:tcBorders/>
            <w:shd w:fill="CCEEFF" w:val="clear"/>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1">
              <w:r>
                <w:rPr>
                  <w:rStyle w:val="InternetLink"/>
                  <w:rFonts w:ascii="Times New Roman;serif" w:hAnsi="Times New Roman;serif"/>
                  <w:b w:val="false"/>
                  <w:i w:val="false"/>
                  <w:caps w:val="false"/>
                  <w:smallCaps w:val="false"/>
                  <w:strike w:val="false"/>
                  <w:dstrike w:val="false"/>
                  <w:color w:val="0000FF"/>
                  <w:sz w:val="20"/>
                  <w:u w:val="single"/>
                  <w:effect w:val="none"/>
                </w:rPr>
                <w:t>Item 1 – Legal Proceedings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2">
              <w:r>
                <w:rPr>
                  <w:rStyle w:val="InternetLink"/>
                  <w:rFonts w:ascii="Times New Roman;serif" w:hAnsi="Times New Roman;serif"/>
                  <w:b w:val="false"/>
                  <w:i w:val="false"/>
                  <w:caps w:val="false"/>
                  <w:smallCaps w:val="false"/>
                  <w:strike w:val="false"/>
                  <w:dstrike w:val="false"/>
                  <w:color w:val="0000FF"/>
                  <w:sz w:val="20"/>
                  <w:u w:val="single"/>
                  <w:effect w:val="none"/>
                </w:rPr>
                <w:t>Item 2 – Unregistered Sales of Equity Securities and Use of Proceeds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3">
              <w:r>
                <w:rPr>
                  <w:rStyle w:val="InternetLink"/>
                  <w:rFonts w:ascii="Times New Roman;serif" w:hAnsi="Times New Roman;serif"/>
                  <w:b w:val="false"/>
                  <w:i w:val="false"/>
                  <w:caps w:val="false"/>
                  <w:smallCaps w:val="false"/>
                  <w:strike w:val="false"/>
                  <w:dstrike w:val="false"/>
                  <w:color w:val="0000FF"/>
                  <w:sz w:val="20"/>
                  <w:u w:val="single"/>
                  <w:effect w:val="none"/>
                </w:rPr>
                <w:t>Item 3 – Defaults Upon Senior Securities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4">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6">
              <w:r>
                <w:rPr>
                  <w:rStyle w:val="InternetLink"/>
                  <w:rFonts w:ascii="Times New Roman;serif" w:hAnsi="Times New Roman;serif"/>
                  <w:b w:val="false"/>
                  <w:i w:val="false"/>
                  <w:caps w:val="false"/>
                  <w:smallCaps w:val="false"/>
                  <w:strike w:val="false"/>
                  <w:dstrike w:val="false"/>
                  <w:color w:val="0000FF"/>
                  <w:sz w:val="20"/>
                  <w:u w:val="single"/>
                  <w:effect w:val="none"/>
                </w:rPr>
                <w:t>Item 6 – Exhibits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r>
      <w:tr>
        <w:trPr/>
        <w:tc>
          <w:tcPr>
            <w:tcW w:w="8086"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FF"/>
                <w:sz w:val="20"/>
              </w:rPr>
            </w:pPr>
            <w:r>
              <w:rPr>
                <w:rFonts w:ascii="Times New Roman;serif" w:hAnsi="Times New Roman;serif"/>
                <w:b/>
                <w:i w:val="false"/>
                <w:caps w:val="false"/>
                <w:smallCaps w:val="false"/>
                <w:color w:val="0000FF"/>
                <w:sz w:val="20"/>
              </w:rPr>
              <w:t>Certifications</w:t>
            </w:r>
          </w:p>
        </w:tc>
        <w:tc>
          <w:tcPr>
            <w:tcW w:w="54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1 – FINANCIAL INFORMATION</w:t>
      </w:r>
      <w:bookmarkStart w:id="5" w:name="Part1"/>
      <w:bookmarkEnd w:id="5"/>
    </w:p>
    <w:p>
      <w:pPr>
        <w:pStyle w:val="TextBody"/>
        <w:bidi w:val="0"/>
        <w:spacing w:lineRule="auto" w:line="259"/>
        <w:rPr>
          <w:rFonts w:ascii="Times New Roman;serif" w:hAnsi="Times New Roman;serif"/>
          <w:b/>
          <w:i w:val="false"/>
          <w:caps w:val="false"/>
          <w:smallCaps w:val="false"/>
          <w:sz w:val="20"/>
          <w:u w:val="single"/>
        </w:rPr>
      </w:pPr>
      <w:bookmarkStart w:id="6" w:name="Item1"/>
      <w:bookmarkEnd w:id="6"/>
      <w:r>
        <w:rPr>
          <w:rFonts w:ascii="Times New Roman;serif" w:hAnsi="Times New Roman;serif"/>
          <w:b/>
          <w:i w:val="false"/>
          <w:caps w:val="false"/>
          <w:smallCaps w:val="false"/>
          <w:sz w:val="20"/>
          <w:u w:val="single"/>
        </w:rPr>
        <w:t>Item 1 -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BALANCE SHEETS</w:t>
      </w:r>
      <w:bookmarkStart w:id="7" w:name="BalSheet"/>
      <w:bookmarkEnd w:id="7"/>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(U.S. dollars in thousands, except share information)</w:t>
      </w:r>
    </w:p>
    <w:tbl>
      <w:tblPr>
        <w:tblW w:w="9474" w:type="dxa"/>
        <w:jc w:val="left"/>
        <w:tblInd w:w="0" w:type="dxa"/>
        <w:tblLayout w:type="fixed"/>
        <w:tblCellMar>
          <w:top w:w="0" w:type="dxa"/>
          <w:left w:w="0" w:type="dxa"/>
          <w:bottom w:w="0" w:type="dxa"/>
          <w:right w:w="0" w:type="dxa"/>
        </w:tblCellMar>
      </w:tblPr>
      <w:tblGrid>
        <w:gridCol w:w="6976"/>
        <w:gridCol w:w="109"/>
        <w:gridCol w:w="216"/>
        <w:gridCol w:w="924"/>
        <w:gridCol w:w="109"/>
        <w:gridCol w:w="232"/>
        <w:gridCol w:w="908"/>
      </w:tblGrid>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9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9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97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697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(unaudited)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10,083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5,435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7,561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1,648</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2,528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2,881</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 and property held for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11,179</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59,046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38,710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225,065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262,417</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170,549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181,542</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and development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8,789</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in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25,535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2,038</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8,938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8,965</w:t>
            </w:r>
          </w:p>
        </w:tc>
      </w:tr>
      <w:tr>
        <w:trPr/>
        <w:tc>
          <w:tcPr>
            <w:tcW w:w="69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495,686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533,051</w:t>
            </w:r>
          </w:p>
        </w:tc>
      </w:tr>
      <w:tr>
        <w:trPr/>
        <w:tc>
          <w:tcPr>
            <w:tcW w:w="697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2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44,636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43,828</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6,038</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52,624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586</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 - current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10,993</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22,182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23,047</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6,731</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139,536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127,083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6,772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180,898</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12,967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11,711</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491,080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500,055</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 (Note 15)</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33,681,705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20,745,594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outstanding at September 30, 2024 and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33,602,627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20,666,516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September 30, 2024 and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September 30, 2024 and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155,402</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earnings/(deficits)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(108,974)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(79,489)</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(2,831)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(2,673)</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33,087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32,996</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495,686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533,051</w:t>
            </w:r>
          </w:p>
        </w:tc>
      </w:tr>
    </w:tbl>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See accompanying Notes to the Unaudited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INCOME</w:t>
      </w:r>
      <w:bookmarkStart w:id="8" w:name="StmtofOpns"/>
      <w:bookmarkEnd w:id="8"/>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 except per share data)</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473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7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56,357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62,688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140,570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165,731</w:t>
            </w:r>
          </w:p>
        </w:tc>
      </w:tr>
      <w:tr>
        <w:trPr/>
        <w:tc>
          <w:tcPr>
            <w:tcW w:w="47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11,694</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60,090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66,563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151,951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177,425</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(129,509)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(146,297)</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(6,600)</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(13,908)</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(15,693)</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(164,078)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(182,498)</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(5,073)</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(14,063)</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(18,780)</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(29,645)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(18,337)</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(18,650)</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w:t>
            </w:r>
          </w:p>
        </w:tc>
      </w:tr>
      <w:tr>
        <w:trPr/>
        <w:tc>
          <w:tcPr>
            <w:tcW w:w="4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(18,289)</w:t>
            </w:r>
          </w:p>
        </w:tc>
      </w:tr>
      <w:tr>
        <w:trPr/>
        <w:tc>
          <w:tcPr>
            <w:tcW w:w="47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(0.82)</w:t>
            </w:r>
          </w:p>
        </w:tc>
      </w:tr>
      <w:tr>
        <w:trPr/>
        <w:tc>
          <w:tcPr>
            <w:tcW w:w="47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(0.82)</w:t>
            </w:r>
          </w:p>
        </w:tc>
      </w:tr>
      <w:tr>
        <w:trPr/>
        <w:tc>
          <w:tcPr>
            <w:tcW w:w="473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22,273,423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22,394,385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22,208,757</w:t>
            </w:r>
          </w:p>
        </w:tc>
      </w:tr>
      <w:tr>
        <w:trPr/>
        <w:tc>
          <w:tcPr>
            <w:tcW w:w="473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23,202,192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23,513,715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23,265,575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23,449,049</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8"/>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w:t>
      </w:r>
      <w:bookmarkStart w:id="9" w:name="StmtOfCompre"/>
      <w:bookmarkEnd w:id="9"/>
      <w:r>
        <w:rPr>
          <w:rFonts w:ascii="Times New Roman;serif" w:hAnsi="Times New Roman;serif"/>
          <w:b/>
          <w:i w:val="false"/>
          <w:caps w:val="false"/>
          <w:smallCaps w:val="false"/>
          <w:sz w:val="20"/>
        </w:rPr>
        <w:t>ONSOLIDATED STATEMENTS OF COMPREHENSIVE INCOME</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10205" w:type="dxa"/>
        <w:jc w:val="left"/>
        <w:tblInd w:w="0" w:type="dxa"/>
        <w:tblLayout w:type="fixed"/>
        <w:tblCellMar>
          <w:top w:w="0" w:type="dxa"/>
          <w:left w:w="0" w:type="dxa"/>
          <w:bottom w:w="0" w:type="dxa"/>
          <w:right w:w="0" w:type="dxa"/>
        </w:tblCellMar>
      </w:tblPr>
      <w:tblGrid>
        <w:gridCol w:w="5917"/>
        <w:gridCol w:w="109"/>
        <w:gridCol w:w="211"/>
        <w:gridCol w:w="688"/>
        <w:gridCol w:w="109"/>
        <w:gridCol w:w="211"/>
        <w:gridCol w:w="688"/>
        <w:gridCol w:w="109"/>
        <w:gridCol w:w="211"/>
        <w:gridCol w:w="793"/>
        <w:gridCol w:w="109"/>
        <w:gridCol w:w="211"/>
        <w:gridCol w:w="839"/>
      </w:tblGrid>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r>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39" w:type="dxa"/>
            <w:tcBorders/>
            <w:shd w:fill="FFFFFF" w:val="clear"/>
            <w:vAlign w:val="center"/>
          </w:tcPr>
          <w:p>
            <w:pPr>
              <w:pStyle w:val="TableContents"/>
              <w:bidi w:val="0"/>
              <w:spacing w:before="0" w:after="283"/>
              <w:jc w:val="left"/>
              <w:rPr>
                <w:sz w:val="4"/>
                <w:szCs w:val="4"/>
              </w:rPr>
            </w:pPr>
            <w:r>
              <w:rPr>
                <w:sz w:val="4"/>
                <w:szCs w:val="4"/>
              </w:rPr>
            </w:r>
          </w:p>
        </w:tc>
      </w:tr>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7"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59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7"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5917"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59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(18,650)</w:t>
            </w:r>
          </w:p>
        </w:tc>
      </w:tr>
      <w:tr>
        <w:trPr/>
        <w:tc>
          <w:tcPr>
            <w:tcW w:w="59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(3,038)</w:t>
            </w:r>
          </w:p>
        </w:tc>
      </w:tr>
      <w:tr>
        <w:trPr/>
        <w:tc>
          <w:tcPr>
            <w:tcW w:w="5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(813)</w:t>
            </w:r>
          </w:p>
        </w:tc>
      </w:tr>
      <w:tr>
        <w:trPr/>
        <w:tc>
          <w:tcPr>
            <w:tcW w:w="59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w:t>
            </w:r>
          </w:p>
        </w:tc>
      </w:tr>
      <w:tr>
        <w:trPr/>
        <w:tc>
          <w:tcPr>
            <w:tcW w:w="59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(6,125)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(22,345)</w:t>
            </w:r>
          </w:p>
        </w:tc>
      </w:tr>
      <w:tr>
        <w:trPr/>
        <w:tc>
          <w:tcPr>
            <w:tcW w:w="59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w:t>
            </w:r>
          </w:p>
        </w:tc>
      </w:tr>
      <w:tr>
        <w:trPr/>
        <w:tc>
          <w:tcPr>
            <w:tcW w:w="5917"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comprehensive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591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(29,643)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(21,979)</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w:t>
      </w:r>
      <w:bookmarkStart w:id="10" w:name="StmtOfCF"/>
      <w:bookmarkEnd w:id="10"/>
      <w:r>
        <w:rPr>
          <w:rFonts w:ascii="Times New Roman;serif" w:hAnsi="Times New Roman;serif"/>
          <w:b/>
          <w:i w:val="false"/>
          <w:caps w:val="false"/>
          <w:smallCaps w:val="false"/>
          <w:sz w:val="20"/>
        </w:rPr>
        <w:t xml:space="preserve">SOLIDATED STATEMENTS OF CASH FLOWS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9478" w:type="dxa"/>
        <w:jc w:val="left"/>
        <w:tblInd w:w="0" w:type="dxa"/>
        <w:tblLayout w:type="fixed"/>
        <w:tblCellMar>
          <w:top w:w="0" w:type="dxa"/>
          <w:left w:w="0" w:type="dxa"/>
          <w:bottom w:w="0" w:type="dxa"/>
          <w:right w:w="0" w:type="dxa"/>
        </w:tblCellMar>
      </w:tblPr>
      <w:tblGrid>
        <w:gridCol w:w="7201"/>
        <w:gridCol w:w="109"/>
        <w:gridCol w:w="211"/>
        <w:gridCol w:w="796"/>
        <w:gridCol w:w="109"/>
        <w:gridCol w:w="211"/>
        <w:gridCol w:w="841"/>
      </w:tblGrid>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720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(18,650)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(loss)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recognized on foreign currency transactions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14,871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(15,998)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 of derivative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13,908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1,157</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932</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(2,127)</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2,155</w:t>
            </w:r>
          </w:p>
        </w:tc>
      </w:tr>
      <w:tr>
        <w:trPr/>
        <w:tc>
          <w:tcPr>
            <w:tcW w:w="720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(3,257)</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(6,366)</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(6,191)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(6,191)</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borrowings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(6,862)</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borrowings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3,839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proceeds from the settlement of employee share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(244)</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(3,886)</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(897)</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(17,340)</w:t>
            </w:r>
          </w:p>
        </w:tc>
      </w:tr>
      <w:tr>
        <w:trPr/>
        <w:tc>
          <w:tcPr>
            <w:tcW w:w="720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r>
      <w:tr>
        <w:trPr/>
        <w:tc>
          <w:tcPr>
            <w:tcW w:w="7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17,639</w:t>
            </w:r>
          </w:p>
        </w:tc>
      </w:tr>
      <w:tr>
        <w:trPr/>
        <w:tc>
          <w:tcPr>
            <w:tcW w:w="7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11,925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5,714</w:t>
            </w:r>
          </w:p>
        </w:tc>
      </w:tr>
      <w:tr>
        <w:trPr/>
        <w:tc>
          <w:tcPr>
            <w:tcW w:w="7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17,639</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13,826</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(refunded)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(697)</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2,557</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1" w:name="NotestoFinancialStatements"/>
      <w:bookmarkStart w:id="12" w:name="_Toc133383085"/>
      <w:bookmarkStart w:id="13" w:name="_Toc229486209"/>
      <w:bookmarkStart w:id="14" w:name="_Notes_to_Condensed"/>
      <w:bookmarkEnd w:id="11"/>
      <w:bookmarkEnd w:id="12"/>
      <w:bookmarkEnd w:id="13"/>
      <w:bookmarkEnd w:id="14"/>
      <w:r>
        <w:rPr>
          <w:rFonts w:ascii="Times New Roman;serif" w:hAnsi="Times New Roman;serif"/>
          <w:b/>
          <w:i w:val="false"/>
          <w:caps w:val="false"/>
          <w:smallCaps w:val="false"/>
          <w:sz w:val="20"/>
        </w:rPr>
        <w:t>NOTES TO</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CONSOLIDATED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 – Description of Business and Segment Reporting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Our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owned and operated through our various subsidiaries, consist primarily of:</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Business 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Reported below are the operating segments of our Company for which separate financial information is available and evaluated regularly by the Chief Executive Officer, the chief operating decision-maker of our Company</w:t>
      </w:r>
      <w:bookmarkStart w:id="15" w:name="_Hlk77769583"/>
      <w:bookmarkEnd w:id="15"/>
      <w:r>
        <w:rPr>
          <w:rFonts w:ascii="Times New Roman;serif" w:hAnsi="Times New Roman;serif"/>
          <w:b w:val="false"/>
          <w:i w:val="false"/>
          <w:caps w:val="false"/>
          <w:smallCaps w:val="false"/>
          <w:sz w:val="20"/>
        </w:rPr>
        <w:t>. As part of our real estate activities, we hold undeveloped land in urban and suburban centers in the United States and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summarizes the results of operations for each of our business segments for the quarter and nine months ended September 30, 2024, and 2023, respectively. Operating expense includes costs associated with the day-to-day operations of the cinemas and the management of rental properties, including our live theatre assets.</w:t>
      </w:r>
    </w:p>
    <w:tbl>
      <w:tblPr>
        <w:tblW w:w="7225" w:type="dxa"/>
        <w:jc w:val="left"/>
        <w:tblInd w:w="0" w:type="dxa"/>
        <w:tblLayout w:type="fixed"/>
        <w:tblCellMar>
          <w:top w:w="0" w:type="dxa"/>
          <w:left w:w="0" w:type="dxa"/>
          <w:bottom w:w="0" w:type="dxa"/>
          <w:right w:w="0" w:type="dxa"/>
        </w:tblCellMar>
      </w:tblPr>
      <w:tblGrid>
        <w:gridCol w:w="2956"/>
        <w:gridCol w:w="109"/>
        <w:gridCol w:w="211"/>
        <w:gridCol w:w="691"/>
        <w:gridCol w:w="109"/>
        <w:gridCol w:w="211"/>
        <w:gridCol w:w="691"/>
        <w:gridCol w:w="109"/>
        <w:gridCol w:w="211"/>
        <w:gridCol w:w="781"/>
        <w:gridCol w:w="109"/>
        <w:gridCol w:w="211"/>
        <w:gridCol w:w="826"/>
      </w:tblGrid>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3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3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295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9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Revenue: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56,357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62,687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140,570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165,731</w:t>
            </w:r>
          </w:p>
        </w:tc>
      </w:tr>
      <w:tr>
        <w:trPr/>
        <w:tc>
          <w:tcPr>
            <w:tcW w:w="29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15,338</w:t>
            </w:r>
          </w:p>
        </w:tc>
      </w:tr>
      <w:tr>
        <w:trPr/>
        <w:tc>
          <w:tcPr>
            <w:tcW w:w="29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(3,644)</w:t>
            </w:r>
          </w:p>
        </w:tc>
      </w:tr>
      <w:tr>
        <w:trPr/>
        <w:tc>
          <w:tcPr>
            <w:tcW w:w="29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60,090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66,562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151,951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177,425</w:t>
            </w:r>
          </w:p>
        </w:tc>
      </w:tr>
      <w:tr>
        <w:trPr/>
        <w:tc>
          <w:tcPr>
            <w:tcW w:w="295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Segment operating income (loss):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9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4,256</w:t>
            </w:r>
          </w:p>
        </w:tc>
      </w:tr>
      <w:tr>
        <w:trPr/>
        <w:tc>
          <w:tcPr>
            <w:tcW w:w="29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3,212</w:t>
            </w:r>
          </w:p>
        </w:tc>
      </w:tr>
      <w:tr>
        <w:trPr/>
        <w:tc>
          <w:tcPr>
            <w:tcW w:w="29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7,468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reconciliation of segment operating income to income before income taxes is as follows: </w:t>
      </w:r>
    </w:p>
    <w:tbl>
      <w:tblPr>
        <w:tblW w:w="8395" w:type="dxa"/>
        <w:jc w:val="left"/>
        <w:tblInd w:w="0" w:type="dxa"/>
        <w:tblLayout w:type="fixed"/>
        <w:tblCellMar>
          <w:top w:w="0" w:type="dxa"/>
          <w:left w:w="0" w:type="dxa"/>
          <w:bottom w:w="0" w:type="dxa"/>
          <w:right w:w="0" w:type="dxa"/>
        </w:tblCellMar>
      </w:tblPr>
      <w:tblGrid>
        <w:gridCol w:w="4096"/>
        <w:gridCol w:w="109"/>
        <w:gridCol w:w="211"/>
        <w:gridCol w:w="691"/>
        <w:gridCol w:w="109"/>
        <w:gridCol w:w="211"/>
        <w:gridCol w:w="691"/>
        <w:gridCol w:w="109"/>
        <w:gridCol w:w="211"/>
        <w:gridCol w:w="796"/>
        <w:gridCol w:w="109"/>
        <w:gridCol w:w="211"/>
        <w:gridCol w:w="841"/>
      </w:tblGrid>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1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40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0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7,468</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Unallocated corporate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(12,014)</w:t>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(14,063)</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w:t>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0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w:t>
            </w:r>
          </w:p>
        </w:tc>
      </w:tr>
      <w:tr>
        <w:trPr/>
        <w:tc>
          <w:tcPr>
            <w:tcW w:w="40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(29,645)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(18,337)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 Summary of Significant Accounting Policies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Basis of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2023 (“2023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results for the quarter and nine months ended September 30, 2024, are not necessarily indicative of the results that may be expected for the year ending December 31, 2024.</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Use of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Times New Roman;serif" w:hAnsi="Times New Roman;serif"/>
          <w:b w:val="false"/>
          <w:i/>
          <w:color w:val="000000"/>
          <w:sz w:val="20"/>
        </w:rPr>
        <w:t>.</w:t>
      </w:r>
    </w:p>
    <w:p>
      <w:pPr>
        <w:pStyle w:val="TextBody"/>
        <w:bidi w:val="0"/>
        <w:spacing w:lineRule="auto" w:line="259"/>
        <w:rPr>
          <w:caps w:val="false"/>
          <w:smallCaps w:val="false"/>
        </w:rPr>
      </w:pPr>
      <w:bookmarkStart w:id="16" w:name="_Hlk43382269"/>
      <w:bookmarkStart w:id="17" w:name="_Hlk182379097"/>
      <w:bookmarkEnd w:id="16"/>
      <w:bookmarkEnd w:id="17"/>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 Liquidity and Impairment Assessment</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Going Concern</w:t>
      </w:r>
    </w:p>
    <w:p>
      <w:pPr>
        <w:pStyle w:val="TextBody"/>
        <w:bidi w:val="0"/>
        <w:spacing w:lineRule="auto" w:line="259"/>
        <w:rPr>
          <w:rFonts w:ascii="Times New Roman;serif" w:hAnsi="Times New Roman;serif"/>
          <w:sz w:val="20"/>
        </w:rPr>
      </w:pPr>
      <w:bookmarkStart w:id="18" w:name="_Hlk182379065"/>
      <w:bookmarkEnd w:id="18"/>
      <w:r>
        <w:rPr>
          <w:rFonts w:ascii="Times New Roman;serif" w:hAnsi="Times New Roman;serif"/>
          <w:b w:val="false"/>
          <w:i w:val="false"/>
          <w:caps w:val="false"/>
          <w:smallCaps w:val="false"/>
          <w:sz w:val="20"/>
        </w:rPr>
        <w:t xml:space="preserve">We continue to evaluate the going concern assertion required by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liquidity positions, debt obligations,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 evaluation of </w:t>
      </w:r>
      <w:r>
        <w:rPr>
          <w:rFonts w:ascii="Times New Roman;serif" w:hAnsi="Times New Roman;serif"/>
          <w:b w:val="false"/>
          <w:i/>
          <w:sz w:val="20"/>
        </w:rPr>
        <w:t>ASC 205-40 Going Concern</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the end of the third quarter, 2024, we have $52.6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twelve months. We have cash of $10.1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negative working capital of $80.5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bookmarkStart w:id="19" w:name="_Hlk182392054"/>
      <w:bookmarkEnd w:id="19"/>
      <w:r>
        <w:rPr>
          <w:rFonts w:ascii="Times New Roman;serif" w:hAnsi="Times New Roman;serif"/>
          <w:b w:val="false"/>
          <w:i w:val="false"/>
          <w:caps w:val="false"/>
          <w:smallCaps w:val="false"/>
          <w:sz w:val="20"/>
        </w:rPr>
        <w:t>This net negative working capital position includes land and property held for sale of $37.9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(based on book as opposed to fair market value). In order to alleviate doubt that our Company will be able to generate sufficient cash flows for the coming twelve months, these loans need to be refinanced and our revenues and net income need to increase through improved operations and asset monetization.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April 2024, we exercised our first option to extend our Union Square financing facility, extending the maturity date of that loan ($47.1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September 30, 2024) to May 6, 2025. We also obtained an extension of our NAB facility ($69.3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September 30, 2024), extending the maturity date of that loan to July 31, 2026. This extension also included a bridge loan in the amount of $13.9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maturing on March 31, 2025, subject to prepayment obligations from the net sales proceeds of certain assets. On August 1, 2024, we extended the maturity of our Santander loan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June 1, 2025. In October 2024 we obtained two six month options to extend our Cinemas 123 loan. We believe that we will be able to reach mutually acceptable terms with respect to our Westpac ($12.0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due first quarter of 2025) credit facility. We continue to work towards monetizing the assets held on our balance sheet as being held for sale.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believe that the global cinema industry will continue to improve in the last half of 2024 and 2025. This belief underpins our forecasts and cash flow projections. Our forecasts rely upon, among other things, the market reception to current films such as</w:t>
      </w:r>
      <w:r>
        <w:rPr>
          <w:rFonts w:ascii="Times New Roman;serif" w:hAnsi="Times New Roman;serif"/>
          <w:sz w:val="20"/>
        </w:rPr>
        <w:t xml:space="preserve"> </w:t>
      </w:r>
      <w:r>
        <w:rPr>
          <w:rFonts w:ascii="Times New Roman;serif" w:hAnsi="Times New Roman;serif"/>
          <w:b w:val="false"/>
          <w:i/>
          <w:sz w:val="20"/>
        </w:rPr>
        <w:t xml:space="preserve">Gladiator II, Wicked, Moana 2, </w:t>
      </w:r>
      <w:r>
        <w:rPr>
          <w:rFonts w:ascii="Times New Roman;serif" w:hAnsi="Times New Roman;serif"/>
          <w:b w:val="false"/>
          <w:i/>
          <w:color w:val="000000"/>
          <w:sz w:val="20"/>
        </w:rPr>
        <w:t>Mufasa: The Lion King</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Sonic the Hedgehog 3</w:t>
      </w:r>
      <w:r>
        <w:rPr>
          <w:rFonts w:ascii="Times New Roman;serif" w:hAnsi="Times New Roman;serif"/>
          <w:b w:val="false"/>
          <w:i w:val="false"/>
          <w:caps w:val="false"/>
          <w:smallCaps w:val="false"/>
          <w:sz w:val="20"/>
        </w:rPr>
        <w:t xml:space="preserve">, the current industry movie release schedule, which demonstrates an increased number of movies to be released from the major studios and other distributors and an improvement in the quality of the movie titles, and the public’s demonstrable desire to attend movies in a theatrical environment. These named factors are both out of Management’s control and are material, individually and in the aggregate, to the realization of Management’s forecasts and expectations. In the event that our forecasts and cash flow estimates, and our reasonable refinancing expectations, do not come to fruition to the extent needed to provide sufficient funding, we are willing and able to pursue additional asset monetizations. Since 2021, we have demonstrated our ability to complete such real estate asset monetizations.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conclusion, as of the date of issuance of these financial statements, based on our evaluation of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the current conditions and events, considered in the aggregate, and our various plans for enhancing liquidity and the extent to which those plans are progressing, we conclude that our plans are probable of being implemented and that they alleviate the substantial doubt about our Company’s ability to continue as a going concern.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considers that the events and factors described above constitute impairment indicators under </w:t>
      </w:r>
      <w:r>
        <w:rPr>
          <w:rFonts w:ascii="Times New Roman;serif" w:hAnsi="Times New Roman;serif"/>
          <w:b w:val="false"/>
          <w:i/>
          <w:sz w:val="20"/>
        </w:rPr>
        <w:t>ASC 360 Property, Plant and Equipment</w:t>
      </w:r>
      <w:r>
        <w:rPr>
          <w:rFonts w:ascii="Times New Roman;serif" w:hAnsi="Times New Roman;serif"/>
          <w:b w:val="false"/>
          <w:i w:val="false"/>
          <w:caps w:val="false"/>
          <w:smallCaps w:val="false"/>
          <w:sz w:val="20"/>
        </w:rPr>
        <w:t>. At December 31, 2023, our Company performed a quantitative recoverability test of the carrying values of all its asset groups. Our Company estimated the undiscounted future cash flows expected to result from the use of these asset groups and found that no impairment charge was necessary. The financial performance of our cinemas has been improving, despite the challenges described above, and particularly the ongoing impacts of the WGA and SAG strikes on the first nine months of 2024. This improved performance at an asset group level, and the impact of this performance on our impairment modelling, resulted in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being recognized for the first nine months of 2024.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also considers that the events and factors described above continue to constitute impairment indicators under </w:t>
      </w:r>
      <w:r>
        <w:rPr>
          <w:rFonts w:ascii="Times New Roman;serif" w:hAnsi="Times New Roman;serif"/>
          <w:b w:val="false"/>
          <w:i/>
          <w:sz w:val="20"/>
        </w:rPr>
        <w:t>ASC 350 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2023.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Given the continuing improvements in trading conditions, taking into account the actual and expecting impacts of the WGA and SAG strikes,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the first nine months of 2024. Actual performance against our forecasts is dependent on several variables and conditions, including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4 – Operations in Foreign Currency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 from our domestic cinema operations. Our Australian and New Zealand assets and liabilities are translated from their functional currencies of Australian dollar (“AU$”) and New Zealand dollar (“NZ$”), respectively, to the U.S. dollar based on the exchange rate as of September 30, 2024.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take a global view of our financial resources and are flexible in making use of resources from one jurisdiction in other jurisdictions.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in the table below are the currency exchange rates for Australia and New Zealand:</w:t>
      </w:r>
    </w:p>
    <w:tbl>
      <w:tblPr>
        <w:tblW w:w="8197" w:type="dxa"/>
        <w:jc w:val="left"/>
        <w:tblInd w:w="0" w:type="dxa"/>
        <w:tblLayout w:type="fixed"/>
        <w:tblCellMar>
          <w:top w:w="0" w:type="dxa"/>
          <w:left w:w="0" w:type="dxa"/>
          <w:bottom w:w="0" w:type="dxa"/>
          <w:right w:w="0" w:type="dxa"/>
        </w:tblCellMar>
      </w:tblPr>
      <w:tblGrid>
        <w:gridCol w:w="1741"/>
        <w:gridCol w:w="796"/>
        <w:gridCol w:w="109"/>
        <w:gridCol w:w="1441"/>
        <w:gridCol w:w="109"/>
        <w:gridCol w:w="1501"/>
        <w:gridCol w:w="109"/>
        <w:gridCol w:w="796"/>
        <w:gridCol w:w="109"/>
        <w:gridCol w:w="1486"/>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6456"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 Currency / USD</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41" w:type="dxa"/>
            <w:tcBorders>
              <w:top w:val="single" w:sz="12" w:space="0" w:color="000000"/>
            </w:tcBorders>
            <w:shd w:fill="FFFFFF" w:val="clear"/>
            <w:tcMar>
              <w:top w:w="28" w:type="dxa"/>
            </w:tcMar>
            <w:vAlign w:val="center"/>
          </w:tcPr>
          <w:p>
            <w:pPr>
              <w:pStyle w:val="TableContents"/>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w:t>
            </w:r>
          </w:p>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nine months 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‎twelve months</w:t>
              <w:br/>
              <w:t>‎ended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86" w:type="dxa"/>
            <w:tcBorders>
              <w:top w:val="single" w:sz="8" w:space="0" w:color="000000"/>
            </w:tcBorders>
            <w:shd w:fill="FFFFFF" w:val="clear"/>
            <w:tcMar>
              <w:top w:w="28" w:type="dxa"/>
            </w:tcMar>
            <w:vAlign w:val="center"/>
          </w:tcPr>
          <w:p>
            <w:pPr>
              <w:pStyle w:val="TableContents"/>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w:t>
            </w:r>
          </w:p>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nine months ended</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2346"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September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1"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September 30, 2023</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8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2346"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0.6934</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0.6828</w:t>
            </w:r>
          </w:p>
        </w:tc>
        <w:tc>
          <w:tcPr>
            <w:tcW w:w="109"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0.6451</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2346"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0.6013</w:t>
            </w:r>
          </w:p>
        </w:tc>
      </w:tr>
      <w:tr>
        <w:trPr/>
        <w:tc>
          <w:tcPr>
            <w:tcW w:w="17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0.6691</w:t>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0.6117</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0.6098</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0.6145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0.6053</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0.6179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5 –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EPS and a reconciliation of the weighted average number of common and common equivalent shares outstanding:</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4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47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(18,289)</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22,273,423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22,394,385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22,208,757</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dilutive impact of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776,008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1,240,292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871,190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1,240,292</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23,202,192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23,513,715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23,265,575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23,449,049</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(0.82)</w:t>
            </w:r>
          </w:p>
        </w:tc>
      </w:tr>
      <w:tr>
        <w:trPr/>
        <w:tc>
          <w:tcPr>
            <w:tcW w:w="47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(0.82)</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Awards excluded from 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weighted average number of common stock - basic increased, primarily as a result of the vesting of restricted stock units. We did not repurchase any shares of Class A Common Stock during the first nine months of 2024 or 2023.</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207,657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issuable under stock options and restricted stock units were excluded from the computation of diluted net income (loss) per share in periods when their effect was anti-dilutive; either because our Company incurred a net loss for the period, or the exercise price of the options was greater than the average market price of the common stock during the period, or the effect was anti-dilutive as a result of applying the treasury stock method.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 Property and Equipment</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as at September 30, 2024 and December 31, 2023, is summarized as follows:</w:t>
      </w:r>
    </w:p>
    <w:tbl>
      <w:tblPr>
        <w:tblW w:w="5201" w:type="dxa"/>
        <w:jc w:val="left"/>
        <w:tblInd w:w="0" w:type="dxa"/>
        <w:tblLayout w:type="fixed"/>
        <w:tblCellMar>
          <w:top w:w="0" w:type="dxa"/>
          <w:left w:w="0" w:type="dxa"/>
          <w:bottom w:w="0" w:type="dxa"/>
          <w:right w:w="0" w:type="dxa"/>
        </w:tblCellMar>
      </w:tblPr>
      <w:tblGrid>
        <w:gridCol w:w="2686"/>
        <w:gridCol w:w="109"/>
        <w:gridCol w:w="216"/>
        <w:gridCol w:w="924"/>
        <w:gridCol w:w="109"/>
        <w:gridCol w:w="211"/>
        <w:gridCol w:w="946"/>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9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 w:type="dxa"/>
            <w:tcBorders/>
            <w:shd w:fill="FFFFFF" w:val="clear"/>
            <w:vAlign w:val="center"/>
          </w:tcPr>
          <w:p>
            <w:pPr>
              <w:pStyle w:val="TableContents"/>
              <w:bidi w:val="0"/>
              <w:spacing w:before="0" w:after="283"/>
              <w:jc w:val="left"/>
              <w:rPr>
                <w:sz w:val="4"/>
                <w:szCs w:val="4"/>
              </w:rPr>
            </w:pPr>
            <w:r>
              <w:rPr>
                <w:sz w:val="4"/>
                <w:szCs w:val="4"/>
              </w:rPr>
            </w:r>
          </w:p>
        </w:tc>
        <w:tc>
          <w:tcPr>
            <w:tcW w:w="9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48,826</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61,095</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172,396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205,821</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53,984</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152,223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155,156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4,290</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426,550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480,346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(217,929)</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property, net</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2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225,065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262,417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$11.9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for the quarter and nine months ended September 30, 2024, respectively, as compared to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for the quarter and nine months ended September 30, 2023. </w:t>
      </w:r>
    </w:p>
    <w:p>
      <w:pPr>
        <w:pStyle w:val="TextBody"/>
        <w:bidi w:val="0"/>
        <w:spacing w:lineRule="auto" w:line="259"/>
        <w:rPr>
          <w:rFonts w:ascii="Times New Roman;serif" w:hAnsi="Times New Roman;serif"/>
          <w:b/>
          <w:i/>
          <w:sz w:val="20"/>
        </w:rPr>
      </w:pPr>
      <w:r>
        <w:rPr>
          <w:rFonts w:ascii="Times New Roman;serif" w:hAnsi="Times New Roman;serif"/>
          <w:b/>
          <w:i/>
          <w:sz w:val="20"/>
        </w:rPr>
        <w:t>Investment and Development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 and development property as of September 30, 2024 and December 31, 2023, is summarized below:</w:t>
      </w:r>
    </w:p>
    <w:tbl>
      <w:tblPr>
        <w:tblW w:w="7194" w:type="dxa"/>
        <w:jc w:val="left"/>
        <w:tblInd w:w="0" w:type="dxa"/>
        <w:tblLayout w:type="fixed"/>
        <w:tblCellMar>
          <w:top w:w="0" w:type="dxa"/>
          <w:left w:w="0" w:type="dxa"/>
          <w:bottom w:w="0" w:type="dxa"/>
          <w:right w:w="0" w:type="dxa"/>
        </w:tblCellMar>
      </w:tblPr>
      <w:tblGrid>
        <w:gridCol w:w="4696"/>
        <w:gridCol w:w="109"/>
        <w:gridCol w:w="432"/>
        <w:gridCol w:w="708"/>
        <w:gridCol w:w="109"/>
        <w:gridCol w:w="290"/>
        <w:gridCol w:w="850"/>
      </w:tblGrid>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7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7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6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6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8"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3,856</w:t>
            </w:r>
          </w:p>
        </w:tc>
      </w:tr>
      <w:tr>
        <w:trPr/>
        <w:tc>
          <w:tcPr>
            <w:tcW w:w="4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 (including 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8"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4,933</w:t>
            </w:r>
          </w:p>
        </w:tc>
      </w:tr>
      <w:tr>
        <w:trPr/>
        <w:tc>
          <w:tcPr>
            <w:tcW w:w="4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and development property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8,789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Construction-in-Progress – Operating and Investment Properties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Construction-in-Progress balances are included in both our operating and development properties. The balances of our major projects along with the movements for the nine months ended September 30, 2024, are shown below:</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1"/>
        <w:gridCol w:w="109"/>
        <w:gridCol w:w="295"/>
        <w:gridCol w:w="801"/>
        <w:gridCol w:w="109"/>
        <w:gridCol w:w="488"/>
        <w:gridCol w:w="979"/>
        <w:gridCol w:w="109"/>
        <w:gridCol w:w="211"/>
        <w:gridCol w:w="683"/>
        <w:gridCol w:w="109"/>
        <w:gridCol w:w="398"/>
        <w:gridCol w:w="1195"/>
        <w:gridCol w:w="109"/>
        <w:gridCol w:w="274"/>
        <w:gridCol w:w="627"/>
        <w:gridCol w:w="109"/>
        <w:gridCol w:w="302"/>
        <w:gridCol w:w="887"/>
      </w:tblGrid>
      <w:tr>
        <w:trPr/>
        <w:tc>
          <w:tcPr>
            <w:tcW w:w="2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8"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8" w:type="dxa"/>
            <w:tcBorders/>
            <w:shd w:fill="FFFFFF" w:val="clear"/>
            <w:vAlign w:val="center"/>
          </w:tcPr>
          <w:p>
            <w:pPr>
              <w:pStyle w:val="TableContents"/>
              <w:bidi w:val="0"/>
              <w:spacing w:before="0" w:after="283"/>
              <w:jc w:val="left"/>
              <w:rPr>
                <w:sz w:val="4"/>
                <w:szCs w:val="4"/>
              </w:rPr>
            </w:pPr>
            <w:r>
              <w:rPr>
                <w:sz w:val="4"/>
                <w:szCs w:val="4"/>
              </w:rPr>
            </w:r>
          </w:p>
        </w:tc>
        <w:tc>
          <w:tcPr>
            <w:tcW w:w="11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6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2" w:type="dxa"/>
            <w:tcBorders/>
            <w:shd w:fill="FFFFFF" w:val="clear"/>
            <w:vAlign w:val="center"/>
          </w:tcPr>
          <w:p>
            <w:pPr>
              <w:pStyle w:val="TableContents"/>
              <w:bidi w:val="0"/>
              <w:spacing w:before="0" w:after="283"/>
              <w:jc w:val="left"/>
              <w:rPr>
                <w:sz w:val="4"/>
                <w:szCs w:val="4"/>
              </w:rPr>
            </w:pPr>
            <w:r>
              <w:rPr>
                <w:sz w:val="4"/>
                <w:szCs w:val="4"/>
              </w:rPr>
            </w:r>
          </w:p>
        </w:tc>
        <w:tc>
          <w:tcPr>
            <w:tcW w:w="887" w:type="dxa"/>
            <w:tcBorders/>
            <w:shd w:fill="FFFFFF" w:val="clear"/>
            <w:vAlign w:val="center"/>
          </w:tcPr>
          <w:p>
            <w:pPr>
              <w:pStyle w:val="TableContents"/>
              <w:bidi w:val="0"/>
              <w:spacing w:before="0" w:after="283"/>
              <w:jc w:val="left"/>
              <w:rPr>
                <w:sz w:val="4"/>
                <w:szCs w:val="4"/>
              </w:rPr>
            </w:pPr>
            <w:r>
              <w:rPr>
                <w:sz w:val="4"/>
                <w:szCs w:val="4"/>
              </w:rPr>
            </w:r>
          </w:p>
        </w:tc>
      </w:tr>
      <w:tr>
        <w:trPr/>
        <w:tc>
          <w:tcPr>
            <w:tcW w:w="24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8"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8" w:type="dxa"/>
            <w:tcBorders/>
            <w:shd w:fill="FFFFFF" w:val="clear"/>
            <w:vAlign w:val="center"/>
          </w:tcPr>
          <w:p>
            <w:pPr>
              <w:pStyle w:val="TableContents"/>
              <w:bidi w:val="0"/>
              <w:spacing w:before="0" w:after="283"/>
              <w:jc w:val="left"/>
              <w:rPr>
                <w:sz w:val="4"/>
                <w:szCs w:val="4"/>
              </w:rPr>
            </w:pPr>
            <w:r>
              <w:rPr>
                <w:sz w:val="4"/>
                <w:szCs w:val="4"/>
              </w:rPr>
            </w:r>
          </w:p>
        </w:tc>
        <w:tc>
          <w:tcPr>
            <w:tcW w:w="11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6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2" w:type="dxa"/>
            <w:tcBorders/>
            <w:shd w:fill="FFFFFF" w:val="clear"/>
            <w:vAlign w:val="center"/>
          </w:tcPr>
          <w:p>
            <w:pPr>
              <w:pStyle w:val="TableContents"/>
              <w:bidi w:val="0"/>
              <w:spacing w:before="0" w:after="283"/>
              <w:jc w:val="left"/>
              <w:rPr>
                <w:sz w:val="4"/>
                <w:szCs w:val="4"/>
              </w:rPr>
            </w:pPr>
            <w:r>
              <w:rPr>
                <w:sz w:val="4"/>
                <w:szCs w:val="4"/>
              </w:rPr>
            </w:r>
          </w:p>
        </w:tc>
        <w:tc>
          <w:tcPr>
            <w:tcW w:w="887" w:type="dxa"/>
            <w:tcBorders/>
            <w:shd w:fill="FFFFFF" w:val="clear"/>
            <w:vAlign w:val="center"/>
          </w:tcPr>
          <w:p>
            <w:pPr>
              <w:pStyle w:val="TableContents"/>
              <w:bidi w:val="0"/>
              <w:spacing w:before="0" w:after="283"/>
              <w:jc w:val="left"/>
              <w:rPr>
                <w:sz w:val="4"/>
                <w:szCs w:val="4"/>
              </w:rPr>
            </w:pPr>
            <w:r>
              <w:rPr>
                <w:sz w:val="4"/>
                <w:szCs w:val="4"/>
              </w:rPr>
            </w:r>
          </w:p>
        </w:tc>
      </w:tr>
      <w:tr>
        <w:trPr/>
        <w:tc>
          <w:tcPr>
            <w:tcW w:w="2411" w:type="dxa"/>
            <w:tcBorders/>
            <w:shd w:fill="FFFF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‎December 31,</w:t>
              <w:br/>
              <w:t>‎2023</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6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Additions during the period</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Completed</w:t>
              <w:br/>
              <w:t>‎during the</w:t>
              <w:br/>
              <w:t>‎period</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9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Transferred to Held for Sale</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‎translation</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89"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‎September 30,</w:t>
              <w:br/>
              <w:t>‎2024</w:t>
            </w:r>
          </w:p>
        </w:tc>
      </w:tr>
      <w:tr>
        <w:trPr/>
        <w:tc>
          <w:tcPr>
            <w:tcW w:w="2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Courtenay Central development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6,412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9"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(6,089)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developments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1,658</w:t>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w:t>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1,623</w:t>
            </w:r>
          </w:p>
        </w:tc>
      </w:tr>
      <w:tr>
        <w:trPr/>
        <w:tc>
          <w:tcPr>
            <w:tcW w:w="24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real estate projects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349</w:t>
            </w:r>
          </w:p>
        </w:tc>
      </w:tr>
      <w:tr>
        <w:trPr/>
        <w:tc>
          <w:tcPr>
            <w:tcW w:w="24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9,223</w:t>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7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(1,087)</w:t>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1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(6,571)</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(312)</w:t>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1,972</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2024 Real Estate Monetizations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Between the fourth quarter of 2020 and the fourth quarter of 2023, we classified as assets held for sale disposal groups and thereafter monetized the following real estate assets: The Auburn/Redyard Entertainment Themed Center (“ETC”), Manukau (land), Coachella (land), the Royal George Theatre, our property in Maitland, New South Wales, our Invercargill, New Zealand cinema and associated ancillary land, and our office building in Culver City (sold in February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second quarter of 2023, we classified our 2483 Trenton Avenue, Williamsport, Pennsylvania, property as held for sale. In the second quarter of 2024, we further classified as held for sale our Cannon Park ETC, our Courtenay Central ETC and associated land and improvements, and our Rotorua land and improvements.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‘disposal group’ represents assets to be disposed of in a single transaction. A disposal group may represent a single asset, or multiple assets. Discussed below are those real estate transactions affecting the presentation in our consolidated balance sheet as of September 30, 2024 and 2023, and the profitability determination in our consolidated statements of income for the nine months ended September 30, 2024, and 2023.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Culver City, Los Angeles</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In May 2023, we classified our Culver City administrative building, commonly known as 5995 Sepulveda Blvd., as held for sale. Our book value (as opposed to fair value) of the property was $10.8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The disposal group consisted of land, a building and various leasehold improvements. The sale was completed on February 23, 2024, at a gross sales price of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proceeds were used to discharge the $8.3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first mortgage on the property.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loss on sale of this property is calculated as follows:</w:t>
      </w:r>
    </w:p>
    <w:tbl>
      <w:tblPr>
        <w:tblW w:w="3952" w:type="dxa"/>
        <w:jc w:val="left"/>
        <w:tblInd w:w="0" w:type="dxa"/>
        <w:tblLayout w:type="fixed"/>
        <w:tblCellMar>
          <w:top w:w="0" w:type="dxa"/>
          <w:left w:w="0" w:type="dxa"/>
          <w:bottom w:w="0" w:type="dxa"/>
          <w:right w:w="0" w:type="dxa"/>
        </w:tblCellMar>
      </w:tblPr>
      <w:tblGrid>
        <w:gridCol w:w="2791"/>
        <w:gridCol w:w="109"/>
        <w:gridCol w:w="211"/>
        <w:gridCol w:w="841"/>
      </w:tblGrid>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7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7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(10,800)</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(1,125)</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Disposal Groups Held for Sale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Cannon Park ETC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May 2024, we classified our Cannon Park ETC in Townsville, Queensland, Australia, as held for sale at the lower of cost and fair value less costs to sell. The disposal group consists of our Cannon Park City Center and Cannon Park Discount Center properties, comprising approximately 9.4-acres. The current book value (as opposed to fair value) of the property is $19.5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We expect to complete the sale within 12 months.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Wellington,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June 2024, we classified our Courtenay Central ETC in Wellington, New Zealand, as held for sale at the lower of cost and fair value less costs to sell. The disposal group consists of our Courtenay Central cinema and retail property, along with our Tory and Wakefield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Street car parks. The current book value (as opposed to fair value) of the property is $16.5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We expect to complete the sale within 12 months.</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Reading Cinema in Rotorua, New Zealand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2024, we classified the land and improvements constituting our Rotorua cinema in Rotorua, New Zealand, as held for sale at the lower of cost and fair value less costs to sell. The disposal group consists of our land, cinema building and the associated improvements. The current book value (as opposed to fair value) of the property is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We expect to complete the sale within 12 months.</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2483 Trenton Avenue, Williamsport, Pennsylvania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2023, we classified our industrial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foot industrial building, and certain rail bed improvements.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We continue to hold this property as held for sale, and sales efforts continue as we work to resolve certain easement issues. The property continues to meet the ASC 360 held for sale criteria.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7 –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up to a further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were as follows:</w:t>
      </w:r>
    </w:p>
    <w:tbl>
      <w:tblPr>
        <w:tblW w:w="6730" w:type="dxa"/>
        <w:jc w:val="left"/>
        <w:tblInd w:w="0" w:type="dxa"/>
        <w:tblLayout w:type="fixed"/>
        <w:tblCellMar>
          <w:top w:w="0" w:type="dxa"/>
          <w:left w:w="0" w:type="dxa"/>
          <w:bottom w:w="0" w:type="dxa"/>
          <w:right w:w="0" w:type="dxa"/>
        </w:tblCellMar>
      </w:tblPr>
      <w:tblGrid>
        <w:gridCol w:w="2911"/>
        <w:gridCol w:w="109"/>
        <w:gridCol w:w="211"/>
        <w:gridCol w:w="571"/>
        <w:gridCol w:w="109"/>
        <w:gridCol w:w="211"/>
        <w:gridCol w:w="571"/>
        <w:gridCol w:w="109"/>
        <w:gridCol w:w="211"/>
        <w:gridCol w:w="676"/>
        <w:gridCol w:w="109"/>
        <w:gridCol w:w="211"/>
        <w:gridCol w:w="721"/>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29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9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24,287</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1,377</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8,806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24,257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25,688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233" w:type="dxa"/>
        <w:jc w:val="left"/>
        <w:tblInd w:w="0" w:type="dxa"/>
        <w:tblLayout w:type="fixed"/>
        <w:tblCellMar>
          <w:top w:w="0" w:type="dxa"/>
          <w:left w:w="0" w:type="dxa"/>
          <w:bottom w:w="0" w:type="dxa"/>
          <w:right w:w="0" w:type="dxa"/>
        </w:tblCellMar>
      </w:tblPr>
      <w:tblGrid>
        <w:gridCol w:w="6196"/>
        <w:gridCol w:w="109"/>
        <w:gridCol w:w="211"/>
        <w:gridCol w:w="676"/>
        <w:gridCol w:w="109"/>
        <w:gridCol w:w="211"/>
        <w:gridCol w:w="721"/>
      </w:tblGrid>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61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6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24,944</w:t>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284" w:type="dxa"/>
        <w:jc w:val="left"/>
        <w:tblInd w:w="0" w:type="dxa"/>
        <w:tblLayout w:type="fixed"/>
        <w:tblCellMar>
          <w:top w:w="0" w:type="dxa"/>
          <w:left w:w="0" w:type="dxa"/>
          <w:bottom w:w="0" w:type="dxa"/>
          <w:right w:w="0" w:type="dxa"/>
        </w:tblCellMar>
      </w:tblPr>
      <w:tblGrid>
        <w:gridCol w:w="4786"/>
        <w:gridCol w:w="109"/>
        <w:gridCol w:w="242"/>
        <w:gridCol w:w="898"/>
        <w:gridCol w:w="109"/>
        <w:gridCol w:w="232"/>
        <w:gridCol w:w="908"/>
      </w:tblGrid>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2"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7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170,549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181,542</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23,047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170,127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180,898</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203,945</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w:t>
            </w:r>
          </w:p>
        </w:tc>
      </w:tr>
      <w:tr>
        <w:trPr/>
        <w:tc>
          <w:tcPr>
            <w:tcW w:w="47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6" w:type="dxa"/>
        <w:jc w:val="left"/>
        <w:tblInd w:w="0" w:type="dxa"/>
        <w:tblLayout w:type="fixed"/>
        <w:tblCellMar>
          <w:top w:w="0" w:type="dxa"/>
          <w:left w:w="0" w:type="dxa"/>
          <w:bottom w:w="0" w:type="dxa"/>
          <w:right w:w="0" w:type="dxa"/>
        </w:tblCellMar>
      </w:tblPr>
      <w:tblGrid>
        <w:gridCol w:w="1906"/>
        <w:gridCol w:w="109"/>
        <w:gridCol w:w="211"/>
        <w:gridCol w:w="796"/>
        <w:gridCol w:w="109"/>
        <w:gridCol w:w="267"/>
        <w:gridCol w:w="498"/>
      </w:tblGrid>
      <w:tr>
        <w:trPr/>
        <w:tc>
          <w:tcPr>
            <w:tcW w:w="19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498" w:type="dxa"/>
            <w:tcBorders/>
            <w:shd w:fill="FFFFFF" w:val="clear"/>
            <w:vAlign w:val="center"/>
          </w:tcPr>
          <w:p>
            <w:pPr>
              <w:pStyle w:val="TableContents"/>
              <w:bidi w:val="0"/>
              <w:spacing w:before="0" w:after="283"/>
              <w:jc w:val="left"/>
              <w:rPr>
                <w:sz w:val="4"/>
                <w:szCs w:val="4"/>
              </w:rPr>
            </w:pPr>
            <w:r>
              <w:rPr>
                <w:sz w:val="4"/>
                <w:szCs w:val="4"/>
              </w:rPr>
            </w:r>
          </w:p>
        </w:tc>
      </w:tr>
      <w:tr>
        <w:trPr/>
        <w:tc>
          <w:tcPr>
            <w:tcW w:w="19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9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9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29,623</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27,239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23,460</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113,572</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246,590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(54,281)</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54</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6115" w:type="dxa"/>
        <w:jc w:val="left"/>
        <w:tblInd w:w="0" w:type="dxa"/>
        <w:tblLayout w:type="fixed"/>
        <w:tblCellMar>
          <w:top w:w="0" w:type="dxa"/>
          <w:left w:w="0" w:type="dxa"/>
          <w:bottom w:w="0" w:type="dxa"/>
          <w:right w:w="0" w:type="dxa"/>
        </w:tblCellMar>
      </w:tblPr>
      <w:tblGrid>
        <w:gridCol w:w="2506"/>
        <w:gridCol w:w="109"/>
        <w:gridCol w:w="211"/>
        <w:gridCol w:w="571"/>
        <w:gridCol w:w="109"/>
        <w:gridCol w:w="211"/>
        <w:gridCol w:w="571"/>
        <w:gridCol w:w="109"/>
        <w:gridCol w:w="211"/>
        <w:gridCol w:w="571"/>
        <w:gridCol w:w="109"/>
        <w:gridCol w:w="211"/>
        <w:gridCol w:w="616"/>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00" w:val="clear"/>
            <w:vAlign w:val="center"/>
          </w:tcPr>
          <w:p>
            <w:pPr>
              <w:pStyle w:val="TableContents"/>
              <w:bidi w:val="0"/>
              <w:spacing w:before="0" w:after="283"/>
              <w:jc w:val="left"/>
              <w:rPr>
                <w:sz w:val="4"/>
                <w:szCs w:val="4"/>
              </w:rPr>
            </w:pPr>
            <w:r>
              <w:rPr>
                <w:sz w:val="4"/>
                <w:szCs w:val="4"/>
              </w:rPr>
            </w:r>
          </w:p>
        </w:tc>
        <w:tc>
          <w:tcPr>
            <w:tcW w:w="571" w:type="dxa"/>
            <w:tcBorders/>
            <w:shd w:fill="FFFF00"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shd w:fill="FFFFFF" w:val="clear"/>
            <w:vAlign w:val="center"/>
          </w:tcPr>
          <w:p>
            <w:pPr>
              <w:pStyle w:val="TableContents"/>
              <w:shd w:fill="FFFFFF" w:val="clear"/>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shd w:fill="FFFFFF" w:val="clear"/>
            <w:vAlign w:val="center"/>
          </w:tcPr>
          <w:p>
            <w:pPr>
              <w:pStyle w:val="TableContents"/>
              <w:shd w:fill="FFFFFF" w:val="clear"/>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8,271</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618</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3,122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8,786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8,889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5628" w:type="dxa"/>
        <w:jc w:val="left"/>
        <w:tblInd w:w="0" w:type="dxa"/>
        <w:tblLayout w:type="fixed"/>
        <w:tblCellMar>
          <w:top w:w="0" w:type="dxa"/>
          <w:left w:w="0" w:type="dxa"/>
          <w:bottom w:w="0" w:type="dxa"/>
          <w:right w:w="0" w:type="dxa"/>
        </w:tblCellMar>
      </w:tblPr>
      <w:tblGrid>
        <w:gridCol w:w="2476"/>
        <w:gridCol w:w="109"/>
        <w:gridCol w:w="109"/>
        <w:gridCol w:w="109"/>
        <w:gridCol w:w="109"/>
        <w:gridCol w:w="109"/>
        <w:gridCol w:w="109"/>
        <w:gridCol w:w="109"/>
        <w:gridCol w:w="242"/>
        <w:gridCol w:w="898"/>
        <w:gridCol w:w="109"/>
        <w:gridCol w:w="232"/>
        <w:gridCol w:w="908"/>
      </w:tblGrid>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2"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4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117,675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127,222</w:t>
            </w:r>
          </w:p>
        </w:tc>
      </w:tr>
      <w:tr>
        <w:trPr/>
        <w:tc>
          <w:tcPr>
            <w:tcW w:w="24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(23,270)</w:t>
            </w:r>
          </w:p>
        </w:tc>
      </w:tr>
      <w:tr>
        <w:trPr/>
        <w:tc>
          <w:tcPr>
            <w:tcW w:w="24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95,233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103,952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minimum contractual rent payments due on our leases were as follows:</w:t>
      </w:r>
    </w:p>
    <w:p>
      <w:pPr>
        <w:pStyle w:val="TextBody"/>
        <w:bidi w:val="0"/>
        <w:spacing w:lineRule="auto" w:line="259"/>
        <w:rPr>
          <w:caps w:val="false"/>
          <w:smallCaps w:val="false"/>
        </w:rPr>
      </w:pPr>
      <w:r>
        <w:rPr>
          <w:caps w:val="false"/>
          <w:smallCaps w:val="false"/>
        </w:rPr>
        <w:t> </w:t>
      </w:r>
    </w:p>
    <w:tbl>
      <w:tblPr>
        <w:tblW w:w="3716" w:type="dxa"/>
        <w:jc w:val="left"/>
        <w:tblInd w:w="0" w:type="dxa"/>
        <w:tblLayout w:type="fixed"/>
        <w:tblCellMar>
          <w:top w:w="0" w:type="dxa"/>
          <w:left w:w="0" w:type="dxa"/>
          <w:bottom w:w="0" w:type="dxa"/>
          <w:right w:w="0" w:type="dxa"/>
        </w:tblCellMar>
      </w:tblPr>
      <w:tblGrid>
        <w:gridCol w:w="1681"/>
        <w:gridCol w:w="109"/>
        <w:gridCol w:w="109"/>
        <w:gridCol w:w="109"/>
        <w:gridCol w:w="109"/>
        <w:gridCol w:w="109"/>
        <w:gridCol w:w="109"/>
        <w:gridCol w:w="109"/>
        <w:gridCol w:w="109"/>
        <w:gridCol w:w="109"/>
        <w:gridCol w:w="109"/>
        <w:gridCol w:w="214"/>
        <w:gridCol w:w="731"/>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731"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8,874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7,334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6,548</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21,384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52,871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 Goodwill and Intangible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goodwill by business segment as of September 30, 2024, and December 31, 2023. </w:t>
      </w:r>
    </w:p>
    <w:tbl>
      <w:tblPr>
        <w:tblW w:w="6482" w:type="dxa"/>
        <w:jc w:val="left"/>
        <w:tblInd w:w="0" w:type="dxa"/>
        <w:tblLayout w:type="fixed"/>
        <w:tblCellMar>
          <w:top w:w="0" w:type="dxa"/>
          <w:left w:w="0" w:type="dxa"/>
          <w:bottom w:w="0" w:type="dxa"/>
          <w:right w:w="0" w:type="dxa"/>
        </w:tblCellMar>
      </w:tblPr>
      <w:tblGrid>
        <w:gridCol w:w="3361"/>
        <w:gridCol w:w="109"/>
        <w:gridCol w:w="211"/>
        <w:gridCol w:w="676"/>
        <w:gridCol w:w="109"/>
        <w:gridCol w:w="263"/>
        <w:gridCol w:w="712"/>
        <w:gridCol w:w="109"/>
        <w:gridCol w:w="211"/>
        <w:gridCol w:w="721"/>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25,535</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September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20,491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25,715</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2024. To test the impairment of goodwill, our Company compares the fair value of each reporting unit to its carrying amount, including the goodwill, to determine if there is potential goodwill impairment. A reporting unit is generally one level below the operating segment. As of September 30, 2024, we were not aware that any events indicating potential impairment of goodwill had occurred outside of those described at </w:t>
      </w:r>
      <w:r>
        <w:rPr>
          <w:rFonts w:ascii="Times New Roman;serif" w:hAnsi="Times New Roman;serif"/>
          <w:b w:val="false"/>
          <w:i/>
          <w:sz w:val="20"/>
        </w:rPr>
        <w:t>Note 3 – Liquidity and Impairment Assessment</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intangible assets other than goodwill, as of September 30, 2024, and December 31, 2023, respectively. </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September 30, 2024</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23,892</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(22,051)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1,841</w:t>
            </w:r>
          </w:p>
        </w:tc>
      </w:tr>
    </w:tbl>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December 31, 2023</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24,707</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(22,661)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Beneficial leases obtained in business combinations where we are the landlord are amortized over the life of the relevant leases. Trade names are amortized based on the accelerated amortization method over their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are amortized over their estimated useful lives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The table below summarizes the amortization expense of intangible assets for the quarter and nine months ended September 30, 2024</w:t>
      </w:r>
    </w:p>
    <w:tbl>
      <w:tblPr>
        <w:tblW w:w="6210" w:type="dxa"/>
        <w:jc w:val="left"/>
        <w:tblInd w:w="0" w:type="dxa"/>
        <w:tblLayout w:type="fixed"/>
        <w:tblCellMar>
          <w:top w:w="0" w:type="dxa"/>
          <w:left w:w="0" w:type="dxa"/>
          <w:bottom w:w="0" w:type="dxa"/>
          <w:right w:w="0" w:type="dxa"/>
        </w:tblCellMar>
      </w:tblPr>
      <w:tblGrid>
        <w:gridCol w:w="3166"/>
        <w:gridCol w:w="109"/>
        <w:gridCol w:w="211"/>
        <w:gridCol w:w="316"/>
        <w:gridCol w:w="109"/>
        <w:gridCol w:w="211"/>
        <w:gridCol w:w="421"/>
        <w:gridCol w:w="109"/>
        <w:gridCol w:w="232"/>
        <w:gridCol w:w="463"/>
        <w:gridCol w:w="119"/>
        <w:gridCol w:w="232"/>
        <w:gridCol w:w="512"/>
      </w:tblGrid>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463" w:type="dxa"/>
            <w:tcBorders/>
            <w:shd w:fill="FFFFFF" w:val="clear"/>
            <w:vAlign w:val="center"/>
          </w:tcPr>
          <w:p>
            <w:pPr>
              <w:pStyle w:val="TableContents"/>
              <w:bidi w:val="0"/>
              <w:spacing w:before="0" w:after="283"/>
              <w:jc w:val="left"/>
              <w:rPr>
                <w:sz w:val="4"/>
                <w:szCs w:val="4"/>
              </w:rPr>
            </w:pPr>
            <w:r>
              <w:rPr>
                <w:sz w:val="4"/>
                <w:szCs w:val="4"/>
              </w:rPr>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463" w:type="dxa"/>
            <w:tcBorders/>
            <w:shd w:fill="FFFFFF" w:val="clear"/>
            <w:vAlign w:val="center"/>
          </w:tcPr>
          <w:p>
            <w:pPr>
              <w:pStyle w:val="TableContents"/>
              <w:bidi w:val="0"/>
              <w:spacing w:before="0" w:after="283"/>
              <w:jc w:val="left"/>
              <w:rPr>
                <w:sz w:val="4"/>
                <w:szCs w:val="4"/>
              </w:rPr>
            </w:pPr>
            <w:r>
              <w:rPr>
                <w:sz w:val="4"/>
                <w:szCs w:val="4"/>
              </w:rPr>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5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316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1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3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lease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1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6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w:t>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intangible assets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 Investments in Unconsolidated Joint Ventures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investments in unconsolidated joint ventures are accounted for under the equity method of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unconsolidated joint ventures as of September 30, 2024, and December 31, 2023:</w:t>
      </w:r>
    </w:p>
    <w:tbl>
      <w:tblPr>
        <w:tblW w:w="4949" w:type="dxa"/>
        <w:jc w:val="left"/>
        <w:tblInd w:w="0" w:type="dxa"/>
        <w:tblLayout w:type="fixed"/>
        <w:tblCellMar>
          <w:top w:w="0" w:type="dxa"/>
          <w:left w:w="0" w:type="dxa"/>
          <w:bottom w:w="0" w:type="dxa"/>
          <w:right w:w="0" w:type="dxa"/>
        </w:tblCellMar>
      </w:tblPr>
      <w:tblGrid>
        <w:gridCol w:w="1681"/>
        <w:gridCol w:w="109"/>
        <w:gridCol w:w="661"/>
        <w:gridCol w:w="109"/>
        <w:gridCol w:w="307"/>
        <w:gridCol w:w="833"/>
        <w:gridCol w:w="109"/>
        <w:gridCol w:w="290"/>
        <w:gridCol w:w="85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848</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3,567</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3,908</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3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4,756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and nine months ended September 30, 2024 and 2023, the recognized share of equity earnings from our investments in unconsolidated joint ventures are as follows:</w:t>
      </w:r>
    </w:p>
    <w:tbl>
      <w:tblPr>
        <w:tblW w:w="5101" w:type="dxa"/>
        <w:jc w:val="left"/>
        <w:tblInd w:w="0" w:type="dxa"/>
        <w:tblLayout w:type="fixed"/>
        <w:tblCellMar>
          <w:top w:w="0" w:type="dxa"/>
          <w:left w:w="0" w:type="dxa"/>
          <w:bottom w:w="0" w:type="dxa"/>
          <w:right w:w="0" w:type="dxa"/>
        </w:tblCellMar>
      </w:tblPr>
      <w:tblGrid>
        <w:gridCol w:w="1936"/>
        <w:gridCol w:w="109"/>
        <w:gridCol w:w="211"/>
        <w:gridCol w:w="436"/>
        <w:gridCol w:w="109"/>
        <w:gridCol w:w="211"/>
        <w:gridCol w:w="421"/>
        <w:gridCol w:w="109"/>
        <w:gridCol w:w="212"/>
        <w:gridCol w:w="543"/>
        <w:gridCol w:w="109"/>
        <w:gridCol w:w="212"/>
        <w:gridCol w:w="483"/>
      </w:tblGrid>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5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483"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5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483"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59"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5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19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1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457</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443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 Prepaid and Other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669" w:type="dxa"/>
        <w:jc w:val="left"/>
        <w:tblInd w:w="0" w:type="dxa"/>
        <w:tblLayout w:type="fixed"/>
        <w:tblCellMar>
          <w:top w:w="0" w:type="dxa"/>
          <w:left w:w="0" w:type="dxa"/>
          <w:bottom w:w="0" w:type="dxa"/>
          <w:right w:w="0" w:type="dxa"/>
        </w:tblCellMar>
      </w:tblPr>
      <w:tblGrid>
        <w:gridCol w:w="4171"/>
        <w:gridCol w:w="109"/>
        <w:gridCol w:w="307"/>
        <w:gridCol w:w="833"/>
        <w:gridCol w:w="109"/>
        <w:gridCol w:w="290"/>
        <w:gridCol w:w="850"/>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1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1,239</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1,813</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shd w:fill="CCEEFF" w:val="clear"/>
            <w:vAlign w:val="center"/>
          </w:tcPr>
          <w:p>
            <w:pPr>
              <w:pStyle w:val="TableContents"/>
              <w:bidi w:val="0"/>
              <w:spacing w:before="0" w:after="283"/>
              <w:jc w:val="left"/>
              <w:rPr>
                <w:sz w:val="4"/>
                <w:szCs w:val="4"/>
              </w:rPr>
            </w:pPr>
            <w:r>
              <w:rPr>
                <w:sz w:val="4"/>
                <w:szCs w:val="4"/>
              </w:rPr>
            </w:r>
          </w:p>
        </w:tc>
        <w:tc>
          <w:tcPr>
            <w:tcW w:w="8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802</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receivable</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shd w:fill="CCEEFF" w:val="clear"/>
            <w:vAlign w:val="center"/>
          </w:tcPr>
          <w:p>
            <w:pPr>
              <w:pStyle w:val="TableContents"/>
              <w:bidi w:val="0"/>
              <w:spacing w:before="0" w:after="283"/>
              <w:jc w:val="left"/>
              <w:rPr>
                <w:sz w:val="4"/>
                <w:szCs w:val="4"/>
              </w:rPr>
            </w:pPr>
            <w:r>
              <w:rPr>
                <w:sz w:val="4"/>
                <w:szCs w:val="4"/>
              </w:rPr>
            </w:r>
          </w:p>
        </w:tc>
        <w:tc>
          <w:tcPr>
            <w:tcW w:w="8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3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2,881</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3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shd w:fill="CCEEFF" w:val="clear"/>
            <w:vAlign w:val="center"/>
          </w:tcPr>
          <w:p>
            <w:pPr>
              <w:pStyle w:val="TableContents"/>
              <w:bidi w:val="0"/>
              <w:spacing w:before="0" w:after="283"/>
              <w:jc w:val="left"/>
              <w:rPr>
                <w:sz w:val="4"/>
                <w:szCs w:val="4"/>
              </w:rPr>
            </w:pPr>
            <w:r>
              <w:rPr>
                <w:sz w:val="4"/>
                <w:szCs w:val="4"/>
              </w:rPr>
            </w:r>
          </w:p>
        </w:tc>
        <w:tc>
          <w:tcPr>
            <w:tcW w:w="8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shd w:fill="CCEEFF" w:val="clear"/>
            <w:vAlign w:val="center"/>
          </w:tcPr>
          <w:p>
            <w:pPr>
              <w:pStyle w:val="TableContents"/>
              <w:bidi w:val="0"/>
              <w:spacing w:before="0" w:after="283"/>
              <w:jc w:val="left"/>
              <w:rPr>
                <w:sz w:val="4"/>
                <w:szCs w:val="4"/>
              </w:rPr>
            </w:pPr>
            <w:r>
              <w:rPr>
                <w:sz w:val="4"/>
                <w:szCs w:val="4"/>
              </w:rPr>
            </w:r>
          </w:p>
        </w:tc>
        <w:tc>
          <w:tcPr>
            <w:tcW w:w="8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7,445</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other non-current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3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8,938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8,965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11 – Income Taxes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interim provision for income taxes is different from the amount determined by applying the U.S. federal statutory rate to consolidated income or loss before taxes.  The differences are attributable to foreign tax rate differential, unrecognized tax benefits, and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valuation allowance. Our effective tax rate was (1.1%) and (1.7%) for the nine months ended September 30, 2024 and 2023, respectively.  The difference is primarily due to an increase in valuation allowance and unrecognized tax benefits in 2024.  The forecasted effective tax rate is updated each quarter as new information becomes available.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12 – Borrowings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Company’s borrowings at September 30, 2024 and December 31, 2023, net of deferred financing costs and including the impact of interest rate derivatives on effective interest rates, are summarized below:</w:t>
      </w:r>
    </w:p>
    <w:tbl>
      <w:tblPr>
        <w:tblW w:w="9768" w:type="dxa"/>
        <w:jc w:val="left"/>
        <w:tblInd w:w="0" w:type="dxa"/>
        <w:tblLayout w:type="fixed"/>
        <w:tblCellMar>
          <w:top w:w="0" w:type="dxa"/>
          <w:left w:w="0" w:type="dxa"/>
          <w:bottom w:w="0" w:type="dxa"/>
          <w:right w:w="0" w:type="dxa"/>
        </w:tblCellMar>
      </w:tblPr>
      <w:tblGrid>
        <w:gridCol w:w="3136"/>
        <w:gridCol w:w="109"/>
        <w:gridCol w:w="1276"/>
        <w:gridCol w:w="109"/>
        <w:gridCol w:w="208"/>
        <w:gridCol w:w="783"/>
        <w:gridCol w:w="109"/>
        <w:gridCol w:w="196"/>
        <w:gridCol w:w="736"/>
        <w:gridCol w:w="109"/>
        <w:gridCol w:w="196"/>
        <w:gridCol w:w="736"/>
        <w:gridCol w:w="109"/>
        <w:gridCol w:w="1051"/>
        <w:gridCol w:w="109"/>
        <w:gridCol w:w="796"/>
      </w:tblGrid>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52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September 30, 2024</w:t>
            </w:r>
          </w:p>
        </w:tc>
      </w:tr>
      <w:tr>
        <w:trPr/>
        <w:tc>
          <w:tcPr>
            <w:tcW w:w="31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 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27,339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August 18,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16,250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16,250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16,195</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Cinemas 1, 2, 3 Term Loan (US) </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2024</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20,775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20,775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20,775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8.75%</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7,742</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7,742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7,710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47,141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46,980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12.54%</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69,340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69,340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69,195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6.10%</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Bridge Facility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13,868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13,868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13,851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11,988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11,988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11,988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7.95%</w:t>
            </w:r>
          </w:p>
        </w:tc>
      </w:tr>
      <w:tr>
        <w:trPr/>
        <w:tc>
          <w:tcPr>
            <w:tcW w:w="31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222,876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215,017</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214,033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financing costs amounting to $1.0</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(2)This financing facility was extended after September 30, 2024.</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(3)The contractual facilities and outstanding balances of the foreign currency denominated borrowings were translated into U.S. dollars based on the applicable exchange rates as of September 30, 2024.</w:t>
      </w:r>
    </w:p>
    <w:tbl>
      <w:tblPr>
        <w:tblW w:w="10205" w:type="dxa"/>
        <w:jc w:val="left"/>
        <w:tblInd w:w="0" w:type="dxa"/>
        <w:tblLayout w:type="fixed"/>
        <w:tblCellMar>
          <w:top w:w="0" w:type="dxa"/>
          <w:left w:w="0" w:type="dxa"/>
          <w:bottom w:w="0" w:type="dxa"/>
          <w:right w:w="0" w:type="dxa"/>
        </w:tblCellMar>
      </w:tblPr>
      <w:tblGrid>
        <w:gridCol w:w="3014"/>
        <w:gridCol w:w="109"/>
        <w:gridCol w:w="1495"/>
        <w:gridCol w:w="109"/>
        <w:gridCol w:w="218"/>
        <w:gridCol w:w="773"/>
        <w:gridCol w:w="109"/>
        <w:gridCol w:w="196"/>
        <w:gridCol w:w="691"/>
        <w:gridCol w:w="109"/>
        <w:gridCol w:w="196"/>
        <w:gridCol w:w="691"/>
        <w:gridCol w:w="109"/>
        <w:gridCol w:w="1113"/>
        <w:gridCol w:w="109"/>
        <w:gridCol w:w="1164"/>
      </w:tblGrid>
      <w:tr>
        <w:trPr/>
        <w:tc>
          <w:tcPr>
            <w:tcW w:w="30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shd w:fill="FFFFFF" w:val="clear"/>
            <w:vAlign w:val="center"/>
          </w:tcPr>
          <w:p>
            <w:pPr>
              <w:pStyle w:val="TableContents"/>
              <w:bidi w:val="0"/>
              <w:spacing w:before="0" w:after="283"/>
              <w:jc w:val="left"/>
              <w:rPr>
                <w:sz w:val="4"/>
                <w:szCs w:val="4"/>
              </w:rPr>
            </w:pPr>
            <w:r>
              <w:rPr>
                <w:sz w:val="4"/>
                <w:szCs w:val="4"/>
              </w:rPr>
            </w:r>
          </w:p>
        </w:tc>
      </w:tr>
      <w:tr>
        <w:trPr/>
        <w:tc>
          <w:tcPr>
            <w:tcW w:w="30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4" w:type="dxa"/>
            <w:tcBorders/>
            <w:shd w:fill="FFFFFF" w:val="clear"/>
            <w:vAlign w:val="center"/>
          </w:tcPr>
          <w:p>
            <w:pPr>
              <w:pStyle w:val="TableContents"/>
              <w:bidi w:val="0"/>
              <w:spacing w:before="0" w:after="283"/>
              <w:jc w:val="left"/>
              <w:rPr>
                <w:sz w:val="4"/>
                <w:szCs w:val="4"/>
              </w:rPr>
            </w:pPr>
            <w:r>
              <w:rPr>
                <w:sz w:val="4"/>
                <w:szCs w:val="4"/>
              </w:rPr>
            </w:r>
          </w:p>
        </w:tc>
      </w:tr>
      <w:tr>
        <w:trPr/>
        <w:tc>
          <w:tcPr>
            <w:tcW w:w="30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82"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2023</w:t>
            </w:r>
          </w:p>
        </w:tc>
      </w:tr>
      <w:tr>
        <w:trPr/>
        <w:tc>
          <w:tcPr>
            <w:tcW w:w="3014"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64"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01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27,172</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4,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20,080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20,780</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U.S. Corporate Office Term Loan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2027</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8,356</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46,925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586</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Denominated in foreign currency ("FC")(2)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r>
      <w:tr>
        <w:trPr/>
        <w:tc>
          <w:tcPr>
            <w:tcW w:w="30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68,173</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r>
      <w:tr>
        <w:trPr/>
        <w:tc>
          <w:tcPr>
            <w:tcW w:w="30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r>
      <w:tr>
        <w:trPr/>
        <w:tc>
          <w:tcPr>
            <w:tcW w:w="3014"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218,159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210,300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208,847</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$1.5</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 xml:space="preserve">million. </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contractual facilities and outstanding balances of the foreign currency denominated borrowings were translated into U.S. dollars based on the applicable exchange rates as of December 31, 2023.</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(3)This financing facility was extended after December 31,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889" w:type="dxa"/>
        <w:jc w:val="left"/>
        <w:tblInd w:w="0" w:type="dxa"/>
        <w:tblLayout w:type="fixed"/>
        <w:tblCellMar>
          <w:top w:w="0" w:type="dxa"/>
          <w:left w:w="0" w:type="dxa"/>
          <w:bottom w:w="0" w:type="dxa"/>
          <w:right w:w="0" w:type="dxa"/>
        </w:tblCellMar>
      </w:tblPr>
      <w:tblGrid>
        <w:gridCol w:w="3391"/>
        <w:gridCol w:w="109"/>
        <w:gridCol w:w="242"/>
        <w:gridCol w:w="898"/>
        <w:gridCol w:w="109"/>
        <w:gridCol w:w="232"/>
        <w:gridCol w:w="908"/>
      </w:tblGrid>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2"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2"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3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Caption (Dollars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33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r>
      <w:tr>
        <w:trPr/>
        <w:tc>
          <w:tcPr>
            <w:tcW w:w="33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134,070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r>
      <w:tr>
        <w:trPr/>
        <w:tc>
          <w:tcPr>
            <w:tcW w:w="33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586</w:t>
            </w:r>
          </w:p>
        </w:tc>
      </w:tr>
      <w:tr>
        <w:trPr/>
        <w:tc>
          <w:tcPr>
            <w:tcW w:w="33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27,339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r>
      <w:tr>
        <w:trPr/>
        <w:tc>
          <w:tcPr>
            <w:tcW w:w="33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214,033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208,847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Our Bank of America facility was amended on March 27, 2024, to among other terms and conditions, (i) extend the Maturity Date to August 18, 2025, (ii) require a $275,000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principal paydown, (iii) eliminate the minimum liquidity covenant, (iv) reduce the principal amortization amounts and provide a principal holiday period, and (v) require certain paydowns on the sale of certain real estate assets. Interest is charged at 2.5% above the Bank of America Prime rate, which itself has a floor of 1.0%. Payment-in-kind interest at a rate of 0.5% commenced on January 1, 2024, and will continue until December 31, 2024, increasing to 1.5% on January 1, 2025, until the facility is repaid in full. This loan is subject to mandatory prepayment out of a portion of the net proceeds realized by us in the event that we determine to sell certain specified assets. In October 2024, we amended this facility to defer the monthly principal payments required in October, November and December, to the end of 2024. </w:t>
      </w:r>
    </w:p>
    <w:p>
      <w:pPr>
        <w:pStyle w:val="TextBody"/>
        <w:bidi w:val="0"/>
        <w:spacing w:lineRule="auto" w:line="259"/>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 2024, we extended the maturity of our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with Santander Bank, which is secured by our Minetta and Orpheum Theaters. It had previously matured on June 1, 2024. The extended facility now matures on June 1, 2025, requires monthly principal and interest payments with a balloon payment of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on maturity, and carries an interest rate of 7.0%. </w:t>
      </w:r>
    </w:p>
    <w:p>
      <w:pPr>
        <w:pStyle w:val="TextBody"/>
        <w:bidi w:val="0"/>
        <w:spacing w:lineRule="auto" w:line="259"/>
        <w:rPr>
          <w:rFonts w:ascii="Times New Roman;serif" w:hAnsi="Times New Roman;serif"/>
          <w:b/>
          <w:i/>
          <w:sz w:val="20"/>
        </w:rPr>
      </w:pPr>
      <w:r>
        <w:rPr>
          <w:rFonts w:ascii="Times New Roman;serif" w:hAnsi="Times New Roman;serif"/>
          <w:b/>
          <w:i/>
          <w:sz w:val="20"/>
        </w:rPr>
        <w:t>Cinemas 1,2,3 Term Loan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Cinemas 1,2,3 Term Loan is held by Sutton Hill Properties LLC (“SHP”), a 75% owned subsidiary of RDI. In October 2024, we obtained two further six month extensions for this loan, the first of which we exercised. The loan is with Valley National Bank, carries an interest rate of 3.50% above monthly SOFR, with a floor of 7.50%, and includes provisions for a prepaid interest reserve. </w:t>
      </w:r>
    </w:p>
    <w:p>
      <w:pPr>
        <w:pStyle w:val="TextBody"/>
        <w:bidi w:val="0"/>
        <w:spacing w:lineRule="auto" w:line="259"/>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7, 2021, we closed on a new three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$55.0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loan facility with Emerald Creek Capital secured by our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Union Square property and certain limited guarantees. Following the phase out of LIBOR, the facility bears a variable interest rate of TERM SOFR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plus 6.9% and includes provisions for a prepaid interest and property tax reserve fund. On April 23, 2024, we executed the first 12 month extension on this loan, taking the maturity to May 6, 2025. The loan has one remaining 12-month option to extend, and may be repaid at any time, without the payment of any premium. As this option is within our control, we will continue to keep the loan classified as long-term.</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sz w:val="20"/>
        </w:rPr>
      </w:pPr>
      <w:r>
        <w:rPr>
          <w:rFonts w:ascii="Times New Roman;serif" w:hAnsi="Times New Roman;serif"/>
          <w:b/>
          <w:i/>
          <w:sz w:val="20"/>
        </w:rPr>
        <w:t>Purchase Money Promissory Note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September 18, 2019, we purchased for $5.5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407,000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our Class A Common Stock in a privately negotiated transaction under our Share Repurchase Program. Of this amount, $3.5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was paid by the issuance of a Purchase Money Promissory Note, which bore an interest rate of 5.0% per annum, payable in equal quarterly payments of principal plus accrued interest. The Purchase Money Promissory Note matured on September 18, 2024. </w:t>
      </w:r>
    </w:p>
    <w:p>
      <w:pPr>
        <w:pStyle w:val="TextBody"/>
        <w:bidi w:val="0"/>
        <w:spacing w:lineRule="auto" w:line="259"/>
        <w:rPr>
          <w:rFonts w:ascii="Times New Roman;serif" w:hAnsi="Times New Roman;serif"/>
          <w:b/>
          <w:i/>
          <w:sz w:val="20"/>
        </w:rPr>
      </w:pPr>
      <w:r>
        <w:rPr>
          <w:rFonts w:ascii="Times New Roman;serif" w:hAnsi="Times New Roman;serif"/>
          <w:b/>
          <w:i/>
          <w:sz w:val="20"/>
        </w:rPr>
        <w:t>U.S. Corporate Office Term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repaid this $8.4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loan in full in February 2024, with a portion of the proceeds from the sale of our Culver City office building.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Debt denominated in foreign currencies</w:t>
      </w:r>
    </w:p>
    <w:p>
      <w:pPr>
        <w:pStyle w:val="TextBody"/>
        <w:bidi w:val="0"/>
        <w:spacing w:lineRule="auto" w:line="259"/>
        <w:rPr>
          <w:rFonts w:ascii="Times New Roman;serif" w:hAnsi="Times New Roman;serif"/>
          <w:b/>
          <w:i/>
          <w:sz w:val="20"/>
        </w:rPr>
      </w:pPr>
      <w:r>
        <w:rPr>
          <w:rFonts w:ascii="Times New Roman;serif" w:hAnsi="Times New Roman;serif"/>
          <w:b/>
          <w:i/>
          <w:sz w:val="20"/>
        </w:rPr>
        <w:t>Westpac Bank Corporate Credit Facility (NZ)</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Westpac Corporate Credit Facility for NZ$13.8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matures on January 1, 2025. The facility currently carries an interest rate and line of credit charge of 2.40% above the Bank Bill Bid Rate and 1.65% respectively. Westpac has waived the requirement to test certain covenants for each quarter since the third quarter of 2020, including the quarter ending September 30,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13, 2024, we increased the limit on this facility by NZ$5.0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NZ$18.8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maturity date remains January 1, 2025. </w:t>
      </w:r>
    </w:p>
    <w:p>
      <w:pPr>
        <w:pStyle w:val="TextBody"/>
        <w:bidi w:val="0"/>
        <w:spacing w:lineRule="auto" w:line="259"/>
        <w:rPr>
          <w:rFonts w:ascii="Times New Roman;serif" w:hAnsi="Times New Roman;serif"/>
          <w:b/>
          <w:i/>
          <w:sz w:val="20"/>
        </w:rPr>
      </w:pPr>
      <w:r>
        <w:rPr>
          <w:rFonts w:ascii="Times New Roman;serif" w:hAnsi="Times New Roman;serif"/>
          <w:b/>
          <w:i/>
          <w:sz w:val="20"/>
        </w:rPr>
        <w:t>Australian NAB Corporate Term Loan (AU)</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Prior to March 31, 2024, our Revolving Corporate Markets Loan Facility with National Australia Bank (“NAB”) matured on July 31, 2025. It consisted of (i) an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revolving and AU$40.0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core and (ii) a Bank Guarantee Facility of AU$5.0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at a rate of 1.9% per annum.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April 4, 2024, we amended this facility, which now matures on July 31, 2026. As part of the amendment, we obtained an additional AU$20.0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bridge facility which matures on March 31,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(or earlier, upon the sale of certain assets), and modified certain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covenants. We are also required, from March 31, 2025, to make quarterly repayments of AU$1.5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against the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until maturity date, representing permanent reductions in that facility’s ceiling. The bank guarantee facility was reduced to AU$3.0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No other changes were made.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Effective June 28, 2024, we entered into an Interest Rate Hedging Agreement with NAB 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the Corporate Loan Facility with the Termination date on July 31, 2026. The Interest Rate Collar transaction has a floor of 4.18% and a cap of 4.78%.</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13 – Other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are summarized as follows:</w:t>
      </w:r>
    </w:p>
    <w:tbl>
      <w:tblPr>
        <w:tblW w:w="5004" w:type="dxa"/>
        <w:jc w:val="left"/>
        <w:tblInd w:w="0" w:type="dxa"/>
        <w:tblLayout w:type="fixed"/>
        <w:tblCellMar>
          <w:top w:w="0" w:type="dxa"/>
          <w:left w:w="0" w:type="dxa"/>
          <w:bottom w:w="0" w:type="dxa"/>
          <w:right w:w="0" w:type="dxa"/>
        </w:tblCellMar>
      </w:tblPr>
      <w:tblGrid>
        <w:gridCol w:w="2506"/>
        <w:gridCol w:w="109"/>
        <w:gridCol w:w="270"/>
        <w:gridCol w:w="870"/>
        <w:gridCol w:w="109"/>
        <w:gridCol w:w="258"/>
        <w:gridCol w:w="882"/>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6,731</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6,050</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2,450</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1,314</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Acquired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12,967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11,711</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Pension Liability – Supplemental Executive Retirement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Details of our Supplemental Executive Retirement Plan are disclosed in </w:t>
      </w:r>
      <w:r>
        <w:rPr>
          <w:rFonts w:ascii="Times New Roman;serif" w:hAnsi="Times New Roman;serif"/>
          <w:b w:val="false"/>
          <w:i/>
          <w:sz w:val="20"/>
        </w:rPr>
        <w:t xml:space="preserve">Note 13 – Pension and Other Liabilities </w:t>
      </w:r>
      <w:r>
        <w:rPr>
          <w:rFonts w:ascii="Times New Roman;serif" w:hAnsi="Times New Roman;serif"/>
          <w:b w:val="false"/>
          <w:i w:val="false"/>
          <w:caps w:val="false"/>
          <w:smallCaps w:val="false"/>
          <w:sz w:val="20"/>
        </w:rPr>
        <w:t>in our 2023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Included in our current and non-current liabilities are accrued pension costs of $2.9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on September 30, 2024. The benefits of our pension plan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costs were recognized for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and nine months ended September 30, 2024, and 2023. Our pension plan is unfunded.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and nine months ended September 30, 2024, the interest cost was $40,000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$126,000, respectively, and the actuarial loss was $52,000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$156,000, respectively. During the quarter and nine months ended September 30, 2023, the interest cost was $47,000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$146,000, respectively, and the actuarial loss was $52,000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$155,000,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14 – Accumulated Other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874"/>
        <w:gridCol w:w="211"/>
        <w:gridCol w:w="674"/>
        <w:gridCol w:w="109"/>
        <w:gridCol w:w="388"/>
        <w:gridCol w:w="693"/>
        <w:gridCol w:w="109"/>
        <w:gridCol w:w="267"/>
        <w:gridCol w:w="799"/>
        <w:gridCol w:w="109"/>
        <w:gridCol w:w="283"/>
        <w:gridCol w:w="648"/>
        <w:gridCol w:w="109"/>
        <w:gridCol w:w="211"/>
        <w:gridCol w:w="721"/>
      </w:tblGrid>
      <w:tr>
        <w:trPr/>
        <w:tc>
          <w:tcPr>
            <w:tcW w:w="487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 w:type="dxa"/>
            <w:tcBorders/>
            <w:shd w:fill="FFFFFF" w:val="clear"/>
            <w:vAlign w:val="center"/>
          </w:tcPr>
          <w:p>
            <w:pPr>
              <w:pStyle w:val="TableContents"/>
              <w:bidi w:val="0"/>
              <w:spacing w:before="0" w:after="283"/>
              <w:jc w:val="left"/>
              <w:rPr>
                <w:sz w:val="4"/>
                <w:szCs w:val="4"/>
              </w:rPr>
            </w:pPr>
            <w:r>
              <w:rPr>
                <w:sz w:val="4"/>
                <w:szCs w:val="4"/>
              </w:rPr>
            </w:r>
          </w:p>
        </w:tc>
        <w:tc>
          <w:tcPr>
            <w:tcW w:w="6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87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 w:type="dxa"/>
            <w:tcBorders/>
            <w:shd w:fill="FFFFFF" w:val="clear"/>
            <w:vAlign w:val="center"/>
          </w:tcPr>
          <w:p>
            <w:pPr>
              <w:pStyle w:val="TableContents"/>
              <w:bidi w:val="0"/>
              <w:spacing w:before="0" w:after="283"/>
              <w:jc w:val="left"/>
              <w:rPr>
                <w:sz w:val="4"/>
                <w:szCs w:val="4"/>
              </w:rPr>
            </w:pPr>
            <w:r>
              <w:rPr>
                <w:sz w:val="4"/>
                <w:szCs w:val="4"/>
              </w:rPr>
            </w:r>
          </w:p>
        </w:tc>
        <w:tc>
          <w:tcPr>
            <w:tcW w:w="6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874"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‎Items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Accrued</w:t>
              <w:br/>
              <w:t>‎Pension</w:t>
              <w:br/>
              <w:t>‎Service Costs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br/>
              <w:t>‎Accounting</w:t>
              <w:br/>
              <w:t>‎Reserve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7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2024</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9"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8"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(2,673)</w:t>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w:t>
            </w:r>
          </w:p>
        </w:tc>
      </w:tr>
      <w:tr>
        <w:trPr/>
        <w:tc>
          <w:tcPr>
            <w:tcW w:w="4874"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 (loss)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September 30, 2024</w:t>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(2,831)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15 – Commitments and Contingencies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currently involved in certain legal proceedings and, to the extent required, have accrued estimates of probable and estimable losses for the resolution of these claims, including legal costs.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plaintiffs</w:t>
      </w:r>
      <w:r>
        <w:rPr>
          <w:rFonts w:ascii="Times New Roman;serif" w:hAnsi="Times New Roman;serif"/>
          <w:b w:val="false"/>
          <w:i w:val="false"/>
          <w:caps w:val="false"/>
          <w:smallCaps w:val="false"/>
          <w:sz w:val="20"/>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defendants</w:t>
      </w:r>
      <w:r>
        <w:rPr>
          <w:rFonts w:ascii="Times New Roman;serif" w:hAnsi="Times New Roman;serif"/>
          <w:b w:val="false"/>
          <w:i w:val="false"/>
          <w:caps w:val="false"/>
          <w:smallCaps w:val="false"/>
          <w:sz w:val="20"/>
        </w:rPr>
        <w:t xml:space="preserve">, we accrue for probable damages that insurance may not cover as they become known and can be reasonably estimated, as permitted under ASC 450-20 </w:t>
      </w:r>
      <w:r>
        <w:rPr>
          <w:rFonts w:ascii="Times New Roman;serif" w:hAnsi="Times New Roman;serif"/>
          <w:b w:val="false"/>
          <w:i/>
          <w:sz w:val="20"/>
        </w:rPr>
        <w:t>Loss Contingencies</w:t>
      </w:r>
      <w:r>
        <w:rPr>
          <w:rFonts w:ascii="Times New Roman;serif" w:hAnsi="Times New Roman;serif"/>
          <w:b w:val="false"/>
          <w:i w:val="false"/>
          <w:caps w:val="false"/>
          <w:smallCaps w:val="false"/>
          <w:sz w:val="20"/>
        </w:rPr>
        <w:t xml:space="preserve">.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16 – Non-controlling Interests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are composed of the following enterprises: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Australia Country Cinemas Pty Ltd. - 25% noncontrolling interest owned by Panorama Group International Pty Ltd;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Shadow View Land and Farming, LLC - 50% noncontrolling membership interest owned by the estate of Mr. James J. Cotter, Sr. (the “Cotter Estate”);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Sutton Hill Properties, LLC - 25% noncontrolling interest owned by Sutton Hill Capital, LLC (which in turn is 50% owned by the Cotter Estate).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interests are as follows:</w:t>
      </w:r>
    </w:p>
    <w:tbl>
      <w:tblPr>
        <w:tblW w:w="7029" w:type="dxa"/>
        <w:jc w:val="left"/>
        <w:tblInd w:w="0" w:type="dxa"/>
        <w:tblLayout w:type="fixed"/>
        <w:tblCellMar>
          <w:top w:w="0" w:type="dxa"/>
          <w:left w:w="0" w:type="dxa"/>
          <w:bottom w:w="0" w:type="dxa"/>
          <w:right w:w="0" w:type="dxa"/>
        </w:tblCellMar>
      </w:tblPr>
      <w:tblGrid>
        <w:gridCol w:w="4531"/>
        <w:gridCol w:w="109"/>
        <w:gridCol w:w="347"/>
        <w:gridCol w:w="793"/>
        <w:gridCol w:w="109"/>
        <w:gridCol w:w="325"/>
        <w:gridCol w:w="815"/>
      </w:tblGrid>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3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5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2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w:t>
            </w:r>
          </w:p>
        </w:tc>
      </w:tr>
      <w:tr>
        <w:trPr/>
        <w:tc>
          <w:tcPr>
            <w:tcW w:w="45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5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r>
      <w:tr>
        <w:trPr/>
        <w:tc>
          <w:tcPr>
            <w:tcW w:w="45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(569)</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 attributable to noncontrolling interests are as follows:</w:t>
      </w:r>
    </w:p>
    <w:tbl>
      <w:tblPr>
        <w:tblW w:w="8245" w:type="dxa"/>
        <w:jc w:val="left"/>
        <w:tblInd w:w="0" w:type="dxa"/>
        <w:tblLayout w:type="fixed"/>
        <w:tblCellMar>
          <w:top w:w="0" w:type="dxa"/>
          <w:left w:w="0" w:type="dxa"/>
          <w:bottom w:w="0" w:type="dxa"/>
          <w:right w:w="0" w:type="dxa"/>
        </w:tblCellMar>
      </w:tblPr>
      <w:tblGrid>
        <w:gridCol w:w="4861"/>
        <w:gridCol w:w="109"/>
        <w:gridCol w:w="211"/>
        <w:gridCol w:w="541"/>
        <w:gridCol w:w="109"/>
        <w:gridCol w:w="211"/>
        <w:gridCol w:w="436"/>
        <w:gridCol w:w="109"/>
        <w:gridCol w:w="211"/>
        <w:gridCol w:w="541"/>
        <w:gridCol w:w="109"/>
        <w:gridCol w:w="211"/>
        <w:gridCol w:w="586"/>
      </w:tblGrid>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Nine Months Ended</w:t>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48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4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w:t>
            </w:r>
          </w:p>
        </w:tc>
      </w:tr>
      <w:tr>
        <w:trPr/>
        <w:tc>
          <w:tcPr>
            <w:tcW w:w="4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(361)</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Summary of Controlling and Noncontrolling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the changes in controlling and noncontrolling stockholders’ equity is as follows:</w:t>
      </w:r>
    </w:p>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294"/>
        <w:gridCol w:w="907"/>
        <w:gridCol w:w="341"/>
        <w:gridCol w:w="710"/>
        <w:gridCol w:w="215"/>
        <w:gridCol w:w="718"/>
      </w:tblGrid>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1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20,664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155,402</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(79,489)</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(2,673)</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33,087</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32,996</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(13,403)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(2,541)</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2024</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20,673</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156,078</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(92,717)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(5,211)</w:t>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17,997</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(269)</w:t>
            </w:r>
          </w:p>
        </w:tc>
        <w:tc>
          <w:tcPr>
            <w:tcW w:w="2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17,728</w:t>
            </w:r>
          </w:p>
        </w:tc>
      </w:tr>
      <w:tr>
        <w:trPr/>
        <w:tc>
          <w:tcPr>
            <w:tcW w:w="1010"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(9,341)</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(9,341)</w:t>
            </w:r>
          </w:p>
        </w:tc>
        <w:tc>
          <w:tcPr>
            <w:tcW w:w="3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(195)</w:t>
            </w:r>
          </w:p>
        </w:tc>
        <w:tc>
          <w:tcPr>
            <w:tcW w:w="2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(9,536)</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886</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886</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887</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70</w:t>
            </w:r>
          </w:p>
        </w:tc>
        <w:tc>
          <w:tcPr>
            <w:tcW w:w="1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71"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156,529</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(102,058)</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(4,325)</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9,994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(463)</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9,531</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(6,916)</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(6,916)</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(7,027)</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1,494</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1,494</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1,499</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603</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603</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603</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September 30,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157,132</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(108,974)</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(2,831)</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5,175</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(569)</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4,606</w:t>
            </w:r>
          </w:p>
        </w:tc>
      </w:tr>
    </w:tbl>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32"/>
        <w:gridCol w:w="714"/>
        <w:gridCol w:w="181"/>
        <w:gridCol w:w="556"/>
        <w:gridCol w:w="286"/>
        <w:gridCol w:w="765"/>
        <w:gridCol w:w="294"/>
        <w:gridCol w:w="907"/>
        <w:gridCol w:w="341"/>
        <w:gridCol w:w="710"/>
        <w:gridCol w:w="215"/>
        <w:gridCol w:w="718"/>
      </w:tblGrid>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2023</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20,412</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153,784</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(48,816)</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(1,957)</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62,856</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423</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63,279</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(11,111)</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(11,111)</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(213)</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(11,324)</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(1,293)</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(1,293)</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(1,294)</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443</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443</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2023</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20,501</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154,095</w:t>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(59,927)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(3,250)</w:t>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50,763</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209</w:t>
            </w:r>
          </w:p>
        </w:tc>
        <w:tc>
          <w:tcPr>
            <w:tcW w:w="2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50,972</w:t>
            </w:r>
          </w:p>
        </w:tc>
      </w:tr>
      <w:tr>
        <w:trPr/>
        <w:tc>
          <w:tcPr>
            <w:tcW w:w="1010"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(2,778)</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(2,778)</w:t>
            </w:r>
          </w:p>
        </w:tc>
        <w:tc>
          <w:tcPr>
            <w:tcW w:w="3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c>
          <w:tcPr>
            <w:tcW w:w="2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(2,861)</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(740)</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(740)</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tbl>
      <w:tblPr>
        <w:tblW w:w="9171" w:type="dxa"/>
        <w:jc w:val="left"/>
        <w:tblInd w:w="0" w:type="dxa"/>
        <w:tblLayout w:type="fixed"/>
        <w:tblCellMar>
          <w:top w:w="0" w:type="dxa"/>
          <w:left w:w="0" w:type="dxa"/>
          <w:bottom w:w="0" w:type="dxa"/>
          <w:right w:w="108" w:type="dxa"/>
        </w:tblCellMar>
      </w:tblPr>
      <w:tblGrid>
        <w:gridCol w:w="2146"/>
        <w:gridCol w:w="511"/>
        <w:gridCol w:w="181"/>
        <w:gridCol w:w="346"/>
        <w:gridCol w:w="436"/>
        <w:gridCol w:w="181"/>
        <w:gridCol w:w="346"/>
        <w:gridCol w:w="181"/>
        <w:gridCol w:w="586"/>
        <w:gridCol w:w="181"/>
        <w:gridCol w:w="601"/>
        <w:gridCol w:w="181"/>
        <w:gridCol w:w="601"/>
        <w:gridCol w:w="181"/>
        <w:gridCol w:w="526"/>
        <w:gridCol w:w="181"/>
        <w:gridCol w:w="526"/>
        <w:gridCol w:w="181"/>
        <w:gridCol w:w="346"/>
        <w:gridCol w:w="181"/>
        <w:gridCol w:w="571"/>
      </w:tblGrid>
      <w:tr>
        <w:trPr/>
        <w:tc>
          <w:tcPr>
            <w:tcW w:w="2146" w:type="dxa"/>
            <w:tcBorders>
              <w:right w:val="single" w:sz="8" w:space="0" w:color="000000"/>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511" w:type="dxa"/>
            <w:tcBorders>
              <w:left w:val="single" w:sz="8" w:space="0" w:color="000000"/>
            </w:tcBorders>
            <w:shd w:fill="CCEEFF" w:val="clear"/>
            <w:tcMar>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46" w:type="dxa"/>
            <w:tcBorders>
              <w:right w:val="single" w:sz="8" w:space="0" w:color="000000"/>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436" w:type="dxa"/>
            <w:tcBorders>
              <w:left w:val="single" w:sz="8" w:space="0" w:color="000000"/>
            </w:tcBorders>
            <w:shd w:fill="CCEEFF" w:val="clear"/>
            <w:tcMar>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46" w:type="dxa"/>
            <w:tcBorders>
              <w:right w:val="single" w:sz="8" w:space="0" w:color="000000"/>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308</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308</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308</w:t>
            </w:r>
          </w:p>
        </w:tc>
      </w:tr>
      <w:tr>
        <w:trPr/>
        <w:tc>
          <w:tcPr>
            <w:tcW w:w="2146" w:type="dxa"/>
            <w:tcBorders>
              <w:bottom w:val="single" w:sz="8" w:space="0" w:color="000000"/>
              <w:right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511" w:type="dxa"/>
            <w:tcBorders>
              <w:left w:val="single" w:sz="8" w:space="0" w:color="000000"/>
              <w:bottom w:val="single" w:sz="8" w:space="0" w:color="000000"/>
            </w:tcBorders>
            <w:tcMar>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right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436" w:type="dxa"/>
            <w:tcBorders>
              <w:left w:val="single" w:sz="8" w:space="0" w:color="000000"/>
              <w:bottom w:val="single" w:sz="8" w:space="0" w:color="000000"/>
            </w:tcBorders>
            <w:tcMar>
              <w:left w:w="108" w:type="dxa"/>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right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tcMar>
              <w:left w:w="108" w:type="dxa"/>
              <w:bottom w:w="28"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w:t>
            </w:r>
          </w:p>
        </w:tc>
      </w:tr>
      <w:tr>
        <w:trPr/>
        <w:tc>
          <w:tcPr>
            <w:tcW w:w="2146" w:type="dxa"/>
            <w:tcBorders>
              <w:top w:val="single" w:sz="8" w:space="0" w:color="000000"/>
              <w:bottom w:val="single" w:sz="12" w:space="0" w:color="000000"/>
              <w:right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2023</w:t>
            </w:r>
          </w:p>
        </w:tc>
        <w:tc>
          <w:tcPr>
            <w:tcW w:w="511" w:type="dxa"/>
            <w:tcBorders>
              <w:top w:val="single" w:sz="8" w:space="0" w:color="000000"/>
              <w:left w:val="single" w:sz="8" w:space="0" w:color="000000"/>
              <w:bottom w:val="single" w:sz="12" w:space="0" w:color="000000"/>
            </w:tcBorders>
            <w:shd w:fill="CCEEFF" w:val="clear"/>
            <w:tcMar>
              <w:top w:w="28" w:type="dxa"/>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20,593</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6" w:type="dxa"/>
            <w:tcBorders>
              <w:top w:val="single" w:sz="8" w:space="0" w:color="000000"/>
              <w:bottom w:val="single" w:sz="12" w:space="0" w:color="000000"/>
              <w:right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236</w:t>
            </w:r>
          </w:p>
        </w:tc>
        <w:tc>
          <w:tcPr>
            <w:tcW w:w="436" w:type="dxa"/>
            <w:tcBorders>
              <w:top w:val="single" w:sz="8" w:space="0" w:color="000000"/>
              <w:left w:val="single" w:sz="8" w:space="0" w:color="000000"/>
              <w:bottom w:val="single" w:sz="12" w:space="0" w:color="000000"/>
            </w:tcBorders>
            <w:shd w:fill="CCEEFF" w:val="clear"/>
            <w:tcMar>
              <w:top w:w="28" w:type="dxa"/>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6" w:type="dxa"/>
            <w:tcBorders>
              <w:top w:val="single" w:sz="8" w:space="0" w:color="000000"/>
              <w:bottom w:val="single" w:sz="12" w:space="0" w:color="000000"/>
              <w:right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154,290</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(62,705)</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(3,990)</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47,441</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6"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125</w:t>
            </w:r>
          </w:p>
        </w:tc>
        <w:tc>
          <w:tcPr>
            <w:tcW w:w="18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1" w:type="dxa"/>
            <w:tcBorders>
              <w:top w:val="single" w:sz="8" w:space="0" w:color="000000"/>
              <w:bottom w:val="single" w:sz="12" w:space="0" w:color="000000"/>
            </w:tcBorders>
            <w:shd w:fill="CCEEFF" w:val="clear"/>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47,566</w:t>
            </w:r>
          </w:p>
        </w:tc>
      </w:tr>
      <w:tr>
        <w:trPr/>
        <w:tc>
          <w:tcPr>
            <w:tcW w:w="2146" w:type="dxa"/>
            <w:tcBorders>
              <w:top w:val="single" w:sz="12" w:space="0" w:color="000000"/>
              <w:right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511" w:type="dxa"/>
            <w:tcBorders>
              <w:top w:val="single" w:sz="12" w:space="0" w:color="000000"/>
              <w:left w:val="single" w:sz="8" w:space="0" w:color="000000"/>
            </w:tcBorders>
            <w:tcMar>
              <w:top w:w="28" w:type="dxa"/>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2" w:space="0" w:color="000000"/>
              <w:right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436" w:type="dxa"/>
            <w:tcBorders>
              <w:top w:val="single" w:sz="12" w:space="0" w:color="000000"/>
              <w:left w:val="single" w:sz="8" w:space="0" w:color="000000"/>
            </w:tcBorders>
            <w:tcMar>
              <w:top w:w="28" w:type="dxa"/>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2" w:space="0" w:color="000000"/>
              <w:right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12" w:space="0" w:color="000000"/>
            </w:tcBorders>
            <w:tcMar>
              <w:top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(4,400)</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12" w:space="0" w:color="000000"/>
            </w:tcBorders>
            <w:tcMar>
              <w:top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(4,400)</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2" w:space="0" w:color="000000"/>
            </w:tcBorders>
            <w:tcMar>
              <w:top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w:t>
            </w:r>
          </w:p>
        </w:tc>
        <w:tc>
          <w:tcPr>
            <w:tcW w:w="181" w:type="dxa"/>
            <w:tcBorders>
              <w:top w:val="single" w:sz="12" w:space="0" w:color="000000"/>
            </w:tcBorders>
            <w:tcMar>
              <w:top w:w="28"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tcMar>
              <w:top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(4,465)</w:t>
            </w:r>
          </w:p>
        </w:tc>
      </w:tr>
      <w:tr>
        <w:trPr/>
        <w:tc>
          <w:tcPr>
            <w:tcW w:w="2146" w:type="dxa"/>
            <w:tcBorders>
              <w:right w:val="single" w:sz="8" w:space="0" w:color="000000"/>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511" w:type="dxa"/>
            <w:tcBorders>
              <w:left w:val="single" w:sz="8" w:space="0" w:color="000000"/>
            </w:tcBorders>
            <w:shd w:fill="CCEEFF" w:val="clear"/>
            <w:tcMar>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46" w:type="dxa"/>
            <w:tcBorders>
              <w:right w:val="single" w:sz="8" w:space="0" w:color="000000"/>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436" w:type="dxa"/>
            <w:tcBorders>
              <w:left w:val="single" w:sz="8" w:space="0" w:color="000000"/>
            </w:tcBorders>
            <w:shd w:fill="CCEEFF" w:val="clear"/>
            <w:tcMar>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46" w:type="dxa"/>
            <w:tcBorders>
              <w:right w:val="single" w:sz="8" w:space="0" w:color="000000"/>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(1,657)</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(1,657)</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181" w:type="dxa"/>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(1,660)</w:t>
            </w:r>
          </w:p>
        </w:tc>
      </w:tr>
      <w:tr>
        <w:trPr/>
        <w:tc>
          <w:tcPr>
            <w:tcW w:w="2146" w:type="dxa"/>
            <w:tcBorders>
              <w:right w:val="single" w:sz="8" w:space="0" w:color="000000"/>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511" w:type="dxa"/>
            <w:tcBorders>
              <w:left w:val="single" w:sz="8" w:space="0" w:color="000000"/>
            </w:tcBorders>
            <w:tcMar>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346" w:type="dxa"/>
            <w:tcBorders>
              <w:right w:val="single" w:sz="8" w:space="0" w:color="000000"/>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436" w:type="dxa"/>
            <w:tcBorders>
              <w:left w:val="single" w:sz="8" w:space="0" w:color="000000"/>
            </w:tcBorders>
            <w:tcMar>
              <w:left w:w="10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346" w:type="dxa"/>
            <w:tcBorders>
              <w:right w:val="single" w:sz="8" w:space="0" w:color="000000"/>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614</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601" w:type="dxa"/>
            <w:tcBorders/>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601" w:type="dxa"/>
            <w:tcBorders/>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526" w:type="dxa"/>
            <w:tcBorders/>
            <w:tcMar>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526" w:type="dxa"/>
            <w:tcBorders/>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614</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346" w:type="dxa"/>
            <w:tcBorders/>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tcMar>
              <w:right w:w="0" w:type="dxa"/>
            </w:tcMar>
            <w:vAlign w:val="center"/>
          </w:tcPr>
          <w:p>
            <w:pPr>
              <w:pStyle w:val="TableContents"/>
              <w:bidi w:val="0"/>
              <w:spacing w:before="0" w:after="283"/>
              <w:jc w:val="left"/>
              <w:rPr>
                <w:sz w:val="4"/>
                <w:szCs w:val="4"/>
              </w:rPr>
            </w:pPr>
            <w:r>
              <w:rPr>
                <w:sz w:val="4"/>
                <w:szCs w:val="4"/>
              </w:rPr>
            </w:r>
          </w:p>
        </w:tc>
        <w:tc>
          <w:tcPr>
            <w:tcW w:w="571" w:type="dxa"/>
            <w:tcBorders/>
            <w:tcMar>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614</w:t>
            </w:r>
          </w:p>
        </w:tc>
      </w:tr>
      <w:tr>
        <w:trPr/>
        <w:tc>
          <w:tcPr>
            <w:tcW w:w="2146" w:type="dxa"/>
            <w:tcBorders>
              <w:bottom w:val="single" w:sz="8" w:space="0" w:color="000000"/>
              <w:right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511" w:type="dxa"/>
            <w:tcBorders>
              <w:left w:val="single" w:sz="8" w:space="0" w:color="000000"/>
              <w:bottom w:val="single" w:sz="8" w:space="0" w:color="000000"/>
            </w:tcBorders>
            <w:shd w:fill="CCEEFF" w:val="clear"/>
            <w:tcMar>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0</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right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436" w:type="dxa"/>
            <w:tcBorders>
              <w:left w:val="single" w:sz="8" w:space="0" w:color="000000"/>
              <w:bottom w:val="single" w:sz="8" w:space="0" w:color="000000"/>
            </w:tcBorders>
            <w:shd w:fill="CCEEFF" w:val="clear"/>
            <w:tcMar>
              <w:left w:w="108" w:type="dxa"/>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right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shd w:fill="CCEEFF" w:val="clear"/>
            <w:tcMar>
              <w:left w:w="108" w:type="dxa"/>
              <w:bottom w:w="28"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right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shd w:fill="CCEEFF" w:val="clear"/>
            <w:tcMar>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181" w:type="dxa"/>
            <w:tcBorders>
              <w:bottom w:val="single" w:sz="8" w:space="0" w:color="000000"/>
            </w:tcBorders>
            <w:shd w:fill="CCEEFF" w:val="clear"/>
            <w:tcMar>
              <w:bottom w:w="28"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146" w:type="dxa"/>
            <w:tcBorders>
              <w:top w:val="single" w:sz="8" w:space="0" w:color="000000"/>
              <w:bottom w:val="single" w:sz="12" w:space="0" w:color="000000"/>
              <w:right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September 30, 2023</w:t>
            </w:r>
          </w:p>
        </w:tc>
        <w:tc>
          <w:tcPr>
            <w:tcW w:w="511" w:type="dxa"/>
            <w:tcBorders>
              <w:top w:val="single" w:sz="8" w:space="0" w:color="000000"/>
              <w:left w:val="single" w:sz="8" w:space="0" w:color="000000"/>
              <w:bottom w:val="single" w:sz="12" w:space="0" w:color="000000"/>
            </w:tcBorders>
            <w:tcMar>
              <w:top w:w="28" w:type="dxa"/>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20,593</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6" w:type="dxa"/>
            <w:tcBorders>
              <w:top w:val="single" w:sz="8" w:space="0" w:color="000000"/>
              <w:bottom w:val="single" w:sz="12" w:space="0" w:color="000000"/>
              <w:right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236</w:t>
            </w:r>
          </w:p>
        </w:tc>
        <w:tc>
          <w:tcPr>
            <w:tcW w:w="436" w:type="dxa"/>
            <w:tcBorders>
              <w:top w:val="single" w:sz="8" w:space="0" w:color="000000"/>
              <w:left w:val="single" w:sz="8" w:space="0" w:color="000000"/>
              <w:bottom w:val="single" w:sz="12" w:space="0" w:color="000000"/>
            </w:tcBorders>
            <w:tcMar>
              <w:top w:w="28" w:type="dxa"/>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6" w:type="dxa"/>
            <w:tcBorders>
              <w:top w:val="single" w:sz="8" w:space="0" w:color="000000"/>
              <w:bottom w:val="single" w:sz="12" w:space="0" w:color="000000"/>
              <w:right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154,904</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(67,105)</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(5,647)</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41,998</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6"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w:t>
            </w:r>
          </w:p>
        </w:tc>
        <w:tc>
          <w:tcPr>
            <w:tcW w:w="18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1" w:type="dxa"/>
            <w:tcBorders>
              <w:top w:val="single" w:sz="8" w:space="0" w:color="000000"/>
              <w:bottom w:val="single" w:sz="12" w:space="0" w:color="000000"/>
            </w:tcBorders>
            <w:tcMar>
              <w:top w:w="28" w:type="dxa"/>
              <w:bottom w:w="28" w:type="dxa"/>
              <w:right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42,055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17 – Stock-Based Compensation and Stock Repurchases</w:t>
      </w:r>
    </w:p>
    <w:p>
      <w:pPr>
        <w:pStyle w:val="TextBody"/>
        <w:bidi w:val="0"/>
        <w:spacing w:lineRule="auto" w:line="259"/>
        <w:rPr>
          <w:rFonts w:ascii="Times New Roman;serif" w:hAnsi="Times New Roman;serif"/>
          <w:b/>
          <w:i/>
          <w:sz w:val="20"/>
        </w:rPr>
      </w:pPr>
      <w:r>
        <w:rPr>
          <w:rFonts w:ascii="Times New Roman;serif" w:hAnsi="Times New Roman;serif"/>
          <w:b/>
          <w:i/>
          <w:sz w:val="20"/>
        </w:rPr>
        <w:t>Employee and Director Stock Incentive Plan</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2020 Stock Incentive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November 4, 2020, the Company enacted the 2020 Stock Incentive Plan, which was also approved by the Company’s stockholders on December 8, 2020 (as amended, the “2020 Plan”). Under the 2020 Plan, the number of permitted authorized shares for issuance was originally set at 1,250,000, plus any shares reserved for awards outstanding under the 2010 Plan that were subsequently forfeited (for instance, through a then outstanding out of the money option) or if the related shares are repurchased, a corresponding number of shares would automatically become available for issuance under the 2020 Plan.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December 7, 2023, the Company’s stockholders, upon recommendation of the Company’s board of directors, approved the First Amendment to the 2020 Stock Incentive Plan, increasing the number of Class A Common Stock reserved for issuance under the 2020 Plan by an additional 971,807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September 30, 2024, there were 15,048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available for issuance under the 2020 Plan, which includes shares from the 2010 Plan that become available for issuance due to the forfeiture of then outstanding out of the money stock options.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on either the fifth or tenth anniversary of the grant date.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grant. As discussed further below, a performance component has been added to certain of the RSUs or options granted to management. At the time the options are exercised or RSUs vest and are settled, at the discretion of management, we will issue treasury shares or make a new issuance of shares to the option or RSU holder.</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to purchase 207,657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were issued to the Board of Directors upon their reelection to the Board in December 2023 for their services for their 2024 term.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other stock options were granted in 2023. On June 6, 2024, we issued options to purchase 1,264,603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to our senior executives. These options have a one-year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vesting and a ten-year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term and were granted in lieu of cash bonuses which would otherwise have been paid under our Company's Incentive Compensation Program.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other stock options were granted during the three quarters of 2024.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nine months ended September 30, 2024, we recorded a compensation expense of $302,000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$466,000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respectively, with respect to our prior stock option grants. For the quarter and nine months ended September 30, 2023, we recorded a compensation expense of and $9,000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respectively, with respect to our prior stock option grants At September 30, 2024, the total unrecognized estimated compensation expense related to non-vested stock options was $623,000, which we expect to recognize over a weighted average vesting period of 0.94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intrinsic, unrealized value of all options outstanding vested and expected to vest, at September 30, 2024, was nil, as the closing price of our Class A Common Stock on that date was $1.63.</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number of options outstanding and exercisable as of September 30, 2024, and December 31, 2023:</w:t>
      </w:r>
    </w:p>
    <w:tbl>
      <w:tblPr>
        <w:tblW w:w="7026" w:type="dxa"/>
        <w:jc w:val="left"/>
        <w:tblInd w:w="0" w:type="dxa"/>
        <w:tblLayout w:type="fixed"/>
        <w:tblCellMar>
          <w:top w:w="0" w:type="dxa"/>
          <w:left w:w="0" w:type="dxa"/>
          <w:bottom w:w="0" w:type="dxa"/>
          <w:right w:w="0" w:type="dxa"/>
        </w:tblCellMar>
      </w:tblPr>
      <w:tblGrid>
        <w:gridCol w:w="2626"/>
        <w:gridCol w:w="109"/>
        <w:gridCol w:w="931"/>
        <w:gridCol w:w="109"/>
        <w:gridCol w:w="303"/>
        <w:gridCol w:w="823"/>
        <w:gridCol w:w="109"/>
        <w:gridCol w:w="991"/>
        <w:gridCol w:w="109"/>
        <w:gridCol w:w="321"/>
        <w:gridCol w:w="595"/>
      </w:tblGrid>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91"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Outstanding Stock Options - Class A Shares</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Number</w:t>
              <w:br/>
              <w:t>‎of Options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Weighted</w:t>
              <w:br/>
              <w:t>‎Average</w:t>
              <w:br/>
              <w:t>‎Exercise Price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w:t>
              <w:br/>
              <w:t>‎Average</w:t>
              <w:br/>
              <w:t>‎Remaining</w:t>
              <w:br/>
              <w:t>‎Years of</w:t>
              <w:br/>
              <w:t>‎Contractual</w:t>
              <w:br/>
              <w:t>‎Life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62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r>
      <w:tr>
        <w:trPr/>
        <w:tc>
          <w:tcPr>
            <w:tcW w:w="26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6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(122,376)</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6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1,264,603</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September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1,472,260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status of RSUs granted to date as of September 30, 2024:</w:t>
      </w:r>
    </w:p>
    <w:tbl>
      <w:tblPr>
        <w:tblW w:w="8581" w:type="dxa"/>
        <w:jc w:val="left"/>
        <w:tblInd w:w="0" w:type="dxa"/>
        <w:tblLayout w:type="fixed"/>
        <w:tblCellMar>
          <w:top w:w="0" w:type="dxa"/>
          <w:left w:w="0" w:type="dxa"/>
          <w:bottom w:w="0" w:type="dxa"/>
          <w:right w:w="0" w:type="dxa"/>
        </w:tblCellMar>
      </w:tblPr>
      <w:tblGrid>
        <w:gridCol w:w="1696"/>
        <w:gridCol w:w="109"/>
        <w:gridCol w:w="781"/>
        <w:gridCol w:w="109"/>
        <w:gridCol w:w="1051"/>
        <w:gridCol w:w="109"/>
        <w:gridCol w:w="931"/>
        <w:gridCol w:w="109"/>
        <w:gridCol w:w="1141"/>
        <w:gridCol w:w="109"/>
        <w:gridCol w:w="1141"/>
        <w:gridCol w:w="109"/>
        <w:gridCol w:w="1186"/>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76"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Restricted Stock Units</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RSU Grants (in units)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Forfeited,</w:t>
            </w:r>
          </w:p>
        </w:tc>
      </w:tr>
      <w:tr>
        <w:trPr/>
        <w:tc>
          <w:tcPr>
            <w:tcW w:w="16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Grant Date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Directors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Management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br/>
              <w:t>‎Grants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b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b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br/>
              <w:t>‎2024</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Opening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793,353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1,010,157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895,995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64,305</w:t>
            </w:r>
          </w:p>
        </w:tc>
      </w:tr>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8,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18, 2022</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428,899</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428,899</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151,033</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230,601</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47,265</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15,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11,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146,714</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257,790</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9,032</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79,328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8,525</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28,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5,109</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15,318</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6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69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1,893,934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2,233,372</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1,400,813</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703,433</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129,127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which vested on April 11, 2024 and 52,360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which vested on April 21, 2024.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RSUs were granted during the remainder of 2023 or the first two quarters of 2024, however, the Compensation Committee has not completed its final review of 2024 incentive compensation.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nine months ended September 30, 2024, we recorded compensation expense of $302,000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For the quarter and nine months ended September 30, 2023, we recorded compensation expense of $604,000, and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total unrecognized compensation expense related to the non-vested RSUs was $2.3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September 30, 2024, which we expect to recognize over a weighted average vesting period of 1.07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Stock Repurchase Program expired on March 10, 2024. It has not been renewed.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has been repurchased by our Company since March 10, 2020.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18 – Hedge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September 30, 2024, our Company held derivative instruments to the notional value of $34.7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2023, our Company held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instruments.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Layout w:type="fixed"/>
        <w:tblCellMar>
          <w:top w:w="0" w:type="dxa"/>
          <w:left w:w="0" w:type="dxa"/>
          <w:bottom w:w="0" w:type="dxa"/>
          <w:right w:w="0" w:type="dxa"/>
        </w:tblCellMar>
      </w:tblPr>
      <w:tblGrid>
        <w:gridCol w:w="2729"/>
        <w:gridCol w:w="109"/>
        <w:gridCol w:w="2749"/>
        <w:gridCol w:w="109"/>
        <w:gridCol w:w="241"/>
        <w:gridCol w:w="520"/>
        <w:gridCol w:w="109"/>
        <w:gridCol w:w="2749"/>
        <w:gridCol w:w="109"/>
        <w:gridCol w:w="259"/>
        <w:gridCol w:w="522"/>
      </w:tblGrid>
      <w:tr>
        <w:trPr/>
        <w:tc>
          <w:tcPr>
            <w:tcW w:w="272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r>
      <w:tr>
        <w:trPr/>
        <w:tc>
          <w:tcPr>
            <w:tcW w:w="272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7" w:type="dxa"/>
            <w:gridSpan w:val="9"/>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2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9"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September 30,</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639"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2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9"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39"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2729"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2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0"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9"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269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72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269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72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269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changes in fair value of that instrument were recorded in Other Comprehensive Income and released into interest expense in the same period(s) in which the hedged transactions affect earnings. In the quarter and nine months ended September 30, 2024 and September 30, 2023, respectively, the derivative instruments affected Comprehensive Income as follows:</w:t>
      </w:r>
    </w:p>
    <w:tbl>
      <w:tblPr>
        <w:tblW w:w="10205" w:type="dxa"/>
        <w:jc w:val="left"/>
        <w:tblInd w:w="0" w:type="dxa"/>
        <w:tblLayout w:type="fixed"/>
        <w:tblCellMar>
          <w:top w:w="0" w:type="dxa"/>
          <w:left w:w="0" w:type="dxa"/>
          <w:bottom w:w="0" w:type="dxa"/>
          <w:right w:w="0" w:type="dxa"/>
        </w:tblCellMar>
      </w:tblPr>
      <w:tblGrid>
        <w:gridCol w:w="1595"/>
        <w:gridCol w:w="3711"/>
        <w:gridCol w:w="109"/>
        <w:gridCol w:w="294"/>
        <w:gridCol w:w="700"/>
        <w:gridCol w:w="162"/>
        <w:gridCol w:w="294"/>
        <w:gridCol w:w="700"/>
        <w:gridCol w:w="155"/>
        <w:gridCol w:w="322"/>
        <w:gridCol w:w="768"/>
        <w:gridCol w:w="178"/>
        <w:gridCol w:w="322"/>
        <w:gridCol w:w="895"/>
      </w:tblGrid>
      <w:tr>
        <w:trPr/>
        <w:tc>
          <w:tcPr>
            <w:tcW w:w="1595" w:type="dxa"/>
            <w:tcBorders/>
            <w:shd w:fill="FFFFFF" w:val="clear"/>
            <w:vAlign w:val="center"/>
          </w:tcPr>
          <w:p>
            <w:pPr>
              <w:pStyle w:val="TableContents"/>
              <w:bidi w:val="0"/>
              <w:spacing w:before="0" w:after="283"/>
              <w:jc w:val="left"/>
              <w:rPr>
                <w:sz w:val="4"/>
                <w:szCs w:val="4"/>
              </w:rPr>
            </w:pPr>
            <w:r>
              <w:rPr>
                <w:sz w:val="4"/>
                <w:szCs w:val="4"/>
              </w:rPr>
            </w:r>
          </w:p>
        </w:tc>
        <w:tc>
          <w:tcPr>
            <w:tcW w:w="3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700" w:type="dxa"/>
            <w:tcBorders/>
            <w:shd w:fill="FFFFFF" w:val="clear"/>
            <w:vAlign w:val="center"/>
          </w:tcPr>
          <w:p>
            <w:pPr>
              <w:pStyle w:val="TableContents"/>
              <w:bidi w:val="0"/>
              <w:spacing w:before="0" w:after="283"/>
              <w:jc w:val="left"/>
              <w:rPr>
                <w:sz w:val="4"/>
                <w:szCs w:val="4"/>
              </w:rPr>
            </w:pPr>
            <w:r>
              <w:rPr>
                <w:sz w:val="4"/>
                <w:szCs w:val="4"/>
              </w:rPr>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70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322" w:type="dxa"/>
            <w:tcBorders/>
            <w:shd w:fill="FFFFFF" w:val="clear"/>
            <w:vAlign w:val="center"/>
          </w:tcPr>
          <w:p>
            <w:pPr>
              <w:pStyle w:val="TableContents"/>
              <w:bidi w:val="0"/>
              <w:spacing w:before="0" w:after="283"/>
              <w:jc w:val="left"/>
              <w:rPr>
                <w:sz w:val="4"/>
                <w:szCs w:val="4"/>
              </w:rPr>
            </w:pPr>
            <w:r>
              <w:rPr>
                <w:sz w:val="4"/>
                <w:szCs w:val="4"/>
              </w:rPr>
            </w:r>
          </w:p>
        </w:tc>
        <w:tc>
          <w:tcPr>
            <w:tcW w:w="768" w:type="dxa"/>
            <w:tcBorders/>
            <w:shd w:fill="FFFFFF" w:val="clear"/>
            <w:vAlign w:val="center"/>
          </w:tcPr>
          <w:p>
            <w:pPr>
              <w:pStyle w:val="TableContents"/>
              <w:bidi w:val="0"/>
              <w:spacing w:before="0" w:after="283"/>
              <w:jc w:val="left"/>
              <w:rPr>
                <w:sz w:val="4"/>
                <w:szCs w:val="4"/>
              </w:rPr>
            </w:pPr>
            <w:r>
              <w:rPr>
                <w:sz w:val="4"/>
                <w:szCs w:val="4"/>
              </w:rPr>
            </w:r>
          </w:p>
        </w:tc>
        <w:tc>
          <w:tcPr>
            <w:tcW w:w="178" w:type="dxa"/>
            <w:tcBorders/>
            <w:shd w:fill="FFFFFF" w:val="clear"/>
            <w:vAlign w:val="center"/>
          </w:tcPr>
          <w:p>
            <w:pPr>
              <w:pStyle w:val="TableContents"/>
              <w:bidi w:val="0"/>
              <w:spacing w:before="0" w:after="283"/>
              <w:jc w:val="left"/>
              <w:rPr>
                <w:sz w:val="4"/>
                <w:szCs w:val="4"/>
              </w:rPr>
            </w:pPr>
            <w:r>
              <w:rPr>
                <w:sz w:val="4"/>
                <w:szCs w:val="4"/>
              </w:rPr>
            </w:r>
          </w:p>
        </w:tc>
        <w:tc>
          <w:tcPr>
            <w:tcW w:w="322" w:type="dxa"/>
            <w:tcBorders/>
            <w:shd w:fill="FFFFFF" w:val="clear"/>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sz w:val="4"/>
                <w:szCs w:val="4"/>
              </w:rPr>
            </w:pPr>
            <w:r>
              <w:rPr>
                <w:sz w:val="4"/>
                <w:szCs w:val="4"/>
              </w:rPr>
            </w:r>
          </w:p>
        </w:tc>
      </w:tr>
      <w:tr>
        <w:trPr/>
        <w:tc>
          <w:tcPr>
            <w:tcW w:w="1595"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37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(Gain) Recognized in Income on Derivatives</w:t>
            </w:r>
          </w:p>
        </w:tc>
      </w:tr>
      <w:tr>
        <w:trPr/>
        <w:tc>
          <w:tcPr>
            <w:tcW w:w="15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7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5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September 30</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248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Nine Months Ended September 30</w:t>
            </w:r>
          </w:p>
        </w:tc>
      </w:tr>
      <w:tr>
        <w:trPr/>
        <w:tc>
          <w:tcPr>
            <w:tcW w:w="1595" w:type="dxa"/>
            <w:tcBorders/>
            <w:shd w:fill="FFFFFF" w:val="clear"/>
            <w:vAlign w:val="center"/>
          </w:tcPr>
          <w:p>
            <w:pPr>
              <w:pStyle w:val="TableContents"/>
              <w:bidi w:val="0"/>
              <w:spacing w:before="0" w:after="283"/>
              <w:jc w:val="left"/>
              <w:rPr>
                <w:sz w:val="4"/>
                <w:szCs w:val="4"/>
              </w:rPr>
            </w:pPr>
            <w:r>
              <w:rPr>
                <w:sz w:val="4"/>
                <w:szCs w:val="4"/>
              </w:rPr>
            </w:r>
          </w:p>
        </w:tc>
        <w:tc>
          <w:tcPr>
            <w:tcW w:w="37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6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9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32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2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95"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15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37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0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0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(812)</w:t>
            </w:r>
          </w:p>
        </w:tc>
      </w:tr>
      <w:tr>
        <w:trPr/>
        <w:tc>
          <w:tcPr>
            <w:tcW w:w="159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3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0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6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0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w:t>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8"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(812)</w:t>
            </w:r>
          </w:p>
        </w:tc>
      </w:tr>
    </w:tbl>
    <w:tbl>
      <w:tblPr>
        <w:tblW w:w="6862" w:type="dxa"/>
        <w:jc w:val="left"/>
        <w:tblInd w:w="0" w:type="dxa"/>
        <w:tblLayout w:type="fixed"/>
        <w:tblCellMar>
          <w:top w:w="0" w:type="dxa"/>
          <w:left w:w="0" w:type="dxa"/>
          <w:bottom w:w="0" w:type="dxa"/>
          <w:right w:w="0" w:type="dxa"/>
        </w:tblCellMar>
      </w:tblPr>
      <w:tblGrid>
        <w:gridCol w:w="1681"/>
        <w:gridCol w:w="109"/>
        <w:gridCol w:w="315"/>
        <w:gridCol w:w="749"/>
        <w:gridCol w:w="175"/>
        <w:gridCol w:w="315"/>
        <w:gridCol w:w="749"/>
        <w:gridCol w:w="175"/>
        <w:gridCol w:w="337"/>
        <w:gridCol w:w="802"/>
        <w:gridCol w:w="187"/>
        <w:gridCol w:w="337"/>
        <w:gridCol w:w="931"/>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sz w:val="4"/>
                <w:szCs w:val="4"/>
              </w:rPr>
            </w:pPr>
            <w:r>
              <w:rPr>
                <w:sz w:val="4"/>
                <w:szCs w:val="4"/>
              </w:rPr>
            </w:r>
          </w:p>
        </w:tc>
        <w:tc>
          <w:tcPr>
            <w:tcW w:w="749" w:type="dxa"/>
            <w:tcBorders/>
            <w:shd w:fill="FFFFFF" w:val="clear"/>
            <w:vAlign w:val="center"/>
          </w:tcPr>
          <w:p>
            <w:pPr>
              <w:pStyle w:val="TableContents"/>
              <w:bidi w:val="0"/>
              <w:spacing w:before="0" w:after="283"/>
              <w:jc w:val="left"/>
              <w:rPr>
                <w:sz w:val="4"/>
                <w:szCs w:val="4"/>
              </w:rPr>
            </w:pPr>
            <w:r>
              <w:rPr>
                <w:sz w:val="4"/>
                <w:szCs w:val="4"/>
              </w:rPr>
            </w:r>
          </w:p>
        </w:tc>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shd w:fill="FFFFFF" w:val="clear"/>
            <w:vAlign w:val="center"/>
          </w:tcPr>
          <w:p>
            <w:pPr>
              <w:pStyle w:val="TableContents"/>
              <w:bidi w:val="0"/>
              <w:spacing w:before="0" w:after="283"/>
              <w:jc w:val="left"/>
              <w:rPr>
                <w:sz w:val="4"/>
                <w:szCs w:val="4"/>
              </w:rPr>
            </w:pPr>
            <w:r>
              <w:rPr>
                <w:sz w:val="4"/>
                <w:szCs w:val="4"/>
              </w:rPr>
            </w:r>
          </w:p>
        </w:tc>
        <w:tc>
          <w:tcPr>
            <w:tcW w:w="749" w:type="dxa"/>
            <w:tcBorders/>
            <w:shd w:fill="FFFFFF" w:val="clear"/>
            <w:vAlign w:val="center"/>
          </w:tcPr>
          <w:p>
            <w:pPr>
              <w:pStyle w:val="TableContents"/>
              <w:bidi w:val="0"/>
              <w:spacing w:before="0" w:after="283"/>
              <w:jc w:val="left"/>
              <w:rPr>
                <w:sz w:val="4"/>
                <w:szCs w:val="4"/>
              </w:rPr>
            </w:pPr>
            <w:r>
              <w:rPr>
                <w:sz w:val="4"/>
                <w:szCs w:val="4"/>
              </w:rPr>
            </w:r>
          </w:p>
        </w:tc>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337" w:type="dxa"/>
            <w:tcBorders/>
            <w:shd w:fill="FFFFFF" w:val="clear"/>
            <w:vAlign w:val="center"/>
          </w:tcPr>
          <w:p>
            <w:pPr>
              <w:pStyle w:val="TableContents"/>
              <w:bidi w:val="0"/>
              <w:spacing w:before="0" w:after="283"/>
              <w:jc w:val="left"/>
              <w:rPr>
                <w:sz w:val="4"/>
                <w:szCs w:val="4"/>
              </w:rPr>
            </w:pPr>
            <w:r>
              <w:rPr>
                <w:sz w:val="4"/>
                <w:szCs w:val="4"/>
              </w:rPr>
            </w:r>
          </w:p>
        </w:tc>
        <w:tc>
          <w:tcPr>
            <w:tcW w:w="802" w:type="dxa"/>
            <w:tcBorders/>
            <w:shd w:fill="FFFFFF" w:val="clear"/>
            <w:vAlign w:val="center"/>
          </w:tcPr>
          <w:p>
            <w:pPr>
              <w:pStyle w:val="TableContents"/>
              <w:bidi w:val="0"/>
              <w:spacing w:before="0" w:after="283"/>
              <w:jc w:val="left"/>
              <w:rPr>
                <w:sz w:val="4"/>
                <w:szCs w:val="4"/>
              </w:rPr>
            </w:pPr>
            <w:r>
              <w:rPr>
                <w:sz w:val="4"/>
                <w:szCs w:val="4"/>
              </w:rPr>
            </w:r>
          </w:p>
        </w:tc>
        <w:tc>
          <w:tcPr>
            <w:tcW w:w="187" w:type="dxa"/>
            <w:tcBorders/>
            <w:shd w:fill="FFFFFF" w:val="clear"/>
            <w:vAlign w:val="center"/>
          </w:tcPr>
          <w:p>
            <w:pPr>
              <w:pStyle w:val="TableContents"/>
              <w:bidi w:val="0"/>
              <w:spacing w:before="0" w:after="283"/>
              <w:jc w:val="left"/>
              <w:rPr>
                <w:sz w:val="4"/>
                <w:szCs w:val="4"/>
              </w:rPr>
            </w:pPr>
            <w:r>
              <w:rPr>
                <w:sz w:val="4"/>
                <w:szCs w:val="4"/>
              </w:rPr>
            </w:r>
          </w:p>
        </w:tc>
        <w:tc>
          <w:tcPr>
            <w:tcW w:w="337"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72"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(Gain) Recognized in OCI on Derivatives (Effective Portion)</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3"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2594"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3"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September 30</w:t>
            </w:r>
          </w:p>
        </w:tc>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2594"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Nine Months Ended September 30</w:t>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0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8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167</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269</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167</w:t>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5"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269</w:t>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2"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(Gain) Reclassified from OCI into Income (Effective Portion)</w:t>
            </w:r>
          </w:p>
        </w:tc>
      </w:tr>
      <w:tr>
        <w:trPr/>
        <w:tc>
          <w:tcPr>
            <w:tcW w:w="16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09" w:type="dxa"/>
            <w:tcBorders/>
            <w:vAlign w:val="center"/>
          </w:tcPr>
          <w:p>
            <w:pPr>
              <w:pStyle w:val="TableContents"/>
              <w:bidi w:val="0"/>
              <w:spacing w:before="0" w:after="283"/>
              <w:jc w:val="left"/>
              <w:rPr>
                <w:sz w:val="4"/>
                <w:szCs w:val="4"/>
              </w:rPr>
            </w:pPr>
            <w:r>
              <w:rPr>
                <w:sz w:val="4"/>
                <w:szCs w:val="4"/>
              </w:rPr>
            </w:r>
          </w:p>
        </w:tc>
        <w:tc>
          <w:tcPr>
            <w:tcW w:w="2303"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7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594"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3"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September 30</w:t>
            </w:r>
          </w:p>
        </w:tc>
        <w:tc>
          <w:tcPr>
            <w:tcW w:w="175" w:type="dxa"/>
            <w:tcBorders/>
            <w:vAlign w:val="center"/>
          </w:tcPr>
          <w:p>
            <w:pPr>
              <w:pStyle w:val="TableContents"/>
              <w:bidi w:val="0"/>
              <w:spacing w:before="0" w:after="283"/>
              <w:jc w:val="left"/>
              <w:rPr>
                <w:sz w:val="4"/>
                <w:szCs w:val="4"/>
              </w:rPr>
            </w:pPr>
            <w:r>
              <w:rPr>
                <w:sz w:val="4"/>
                <w:szCs w:val="4"/>
              </w:rPr>
            </w:r>
          </w:p>
        </w:tc>
        <w:tc>
          <w:tcPr>
            <w:tcW w:w="2594"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Nine Months Ended September 30</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75" w:type="dxa"/>
            <w:tcBorders/>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0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8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49"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33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(812)</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4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w:t>
            </w:r>
          </w:p>
        </w:tc>
        <w:tc>
          <w:tcPr>
            <w:tcW w:w="175"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(812)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19 – Fair Value Measurements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ASC 820, </w:t>
      </w:r>
      <w:r>
        <w:rPr>
          <w:rFonts w:ascii="Times New Roman;serif" w:hAnsi="Times New Roman;serif"/>
          <w:b w:val="false"/>
          <w:i/>
          <w:sz w:val="20"/>
        </w:rPr>
        <w:t>Fair Value Measurement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Level 1: Quoted market prices in active markets for identical assets or liabilities;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Level 3: Valuations derived from valuation techniques in which one or more significant inputs or significant value drivers are unobservable.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summarize our financial liabilities that are carried at cost and measured at fair value on a non-recurring basis as of September 30, 2024, and December 31, 2023, by level within the fair value hierarchy. </w:t>
      </w:r>
    </w:p>
    <w:tbl>
      <w:tblPr>
        <w:tblW w:w="6614" w:type="dxa"/>
        <w:jc w:val="left"/>
        <w:tblInd w:w="0" w:type="dxa"/>
        <w:tblLayout w:type="fixed"/>
        <w:tblCellMar>
          <w:top w:w="0" w:type="dxa"/>
          <w:left w:w="0" w:type="dxa"/>
          <w:bottom w:w="0" w:type="dxa"/>
          <w:right w:w="0" w:type="dxa"/>
        </w:tblCellMar>
      </w:tblPr>
      <w:tblGrid>
        <w:gridCol w:w="1681"/>
        <w:gridCol w:w="109"/>
        <w:gridCol w:w="211"/>
        <w:gridCol w:w="781"/>
        <w:gridCol w:w="109"/>
        <w:gridCol w:w="238"/>
        <w:gridCol w:w="392"/>
        <w:gridCol w:w="114"/>
        <w:gridCol w:w="238"/>
        <w:gridCol w:w="392"/>
        <w:gridCol w:w="114"/>
        <w:gridCol w:w="220"/>
        <w:gridCol w:w="817"/>
        <w:gridCol w:w="114"/>
        <w:gridCol w:w="220"/>
        <w:gridCol w:w="864"/>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392"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392"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817"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864"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392"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392"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817"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864"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23"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September 30, 2024</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1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1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1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2"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2"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1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187,382</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187,382</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27,771</w:t>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27,771</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215,017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215,153</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6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215,153</w:t>
            </w:r>
          </w:p>
        </w:tc>
      </w:tr>
    </w:tbl>
    <w:tbl>
      <w:tblPr>
        <w:tblW w:w="6583"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12"/>
        <w:gridCol w:w="239"/>
        <w:gridCol w:w="391"/>
        <w:gridCol w:w="112"/>
        <w:gridCol w:w="218"/>
        <w:gridCol w:w="807"/>
        <w:gridCol w:w="112"/>
        <w:gridCol w:w="218"/>
        <w:gridCol w:w="853"/>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92"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December 31, 2023</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181,801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148,325</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148,325</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28,499</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27,832</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27,832</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176,157</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176,157</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sz w:val="16"/>
        </w:rPr>
        <w:t>(1)These balances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are presented before any deduction for deferred financing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description of the valuation methodologies used to estimate the fair value of our financial assets and liabilities. There have been no changes in the methodologies used as of September 30, 2024, and December 31, 2023.</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investments in marketable securities primarily consist of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financial instruments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September 30, 2024, and December 31, 2023, we concluded that the credit valuation adjustments were not significant to the overall valuation of our derivatives. </w:t>
      </w:r>
    </w:p>
    <w:p>
      <w:pPr>
        <w:pStyle w:val="TextBody"/>
        <w:bidi w:val="0"/>
        <w:spacing w:lineRule="auto" w:line="259"/>
        <w:rPr/>
      </w:pPr>
      <w:r>
        <w:rPr>
          <w:caps w:val="false"/>
          <w:smallCaps w:val="false"/>
        </w:rPr>
        <w:t></w:t>
      </w:r>
      <w:r>
        <w:rPr>
          <w:rFonts w:ascii="Times New Roman;serif" w:hAnsi="Times New Roman;serif"/>
          <w:b/>
          <w:i w:val="false"/>
          <w:caps w:val="false"/>
          <w:smallCaps w:val="false"/>
          <w:sz w:val="20"/>
        </w:rPr>
        <w:t>Level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borrowings include our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Company’s financial instruments also include cash, cash equivalents, receivables and accounts payable. The carrying values of these financial instruments approximate the fair values due to their short maturities.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quarter and nine months ended September 30, 2024, and September 30, 2023.</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20 – Subsequent Events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October 2024, we amended our Bank of America credit facility to defer the monthly principal payments required in October, November and December, to the end of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October 2024, we obtained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further six month extensions for our loan with Valley National, the first of which we exercised. The loan now carries an interest rate of 5.0% above monthly SOFR, with a floor of 7.50%, and includes provisions for a prepaid interest reserve. In connection with these extensions, we have increased our cash deposit with Valley National Bank by $500,000 to $1,500,000.</w:t>
      </w:r>
    </w:p>
    <w:p>
      <w:pPr>
        <w:pStyle w:val="TextBody"/>
        <w:bidi w:val="0"/>
        <w:spacing w:lineRule="auto" w:line="259"/>
        <w:rPr>
          <w:rFonts w:ascii="Times New Roman;serif" w:hAnsi="Times New Roman;serif"/>
          <w:b w:val="false"/>
          <w:i/>
          <w:sz w:val="16"/>
        </w:rPr>
      </w:pPr>
      <w:bookmarkStart w:id="20" w:name="_Hlk69471389"/>
      <w:bookmarkStart w:id="21" w:name="_Hlk85483713"/>
      <w:bookmarkStart w:id="22" w:name="_Hlk182402448"/>
      <w:bookmarkEnd w:id="20"/>
      <w:bookmarkEnd w:id="21"/>
      <w:bookmarkEnd w:id="22"/>
      <w:r>
        <w:rPr>
          <w:rFonts w:ascii="Times New Roman;serif" w:hAnsi="Times New Roman;serif"/>
          <w:b w:val="false"/>
          <w:i/>
          <w:sz w:val="16"/>
        </w:rPr>
        <w:t>This MD&amp;A should be read in conjunction with the accompanying unaudited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 Factors” set forth in our 2023 Form 10-K, Part 1 – Financial Information, Item 1A and the Risk Factors set out below.</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Item 2 – Management’s Discussion and Analysis (“MD&amp;A”) of Financial Condition and Results of Operations</w:t>
      </w:r>
      <w:bookmarkStart w:id="23" w:name="Item2"/>
      <w:bookmarkEnd w:id="23"/>
    </w:p>
    <w:p>
      <w:pPr>
        <w:pStyle w:val="TextBody"/>
        <w:bidi w:val="0"/>
        <w:spacing w:lineRule="auto" w:line="259"/>
        <w:rPr>
          <w:rFonts w:ascii="Times New Roman;serif" w:hAnsi="Times New Roman;serif"/>
          <w:b w:val="false"/>
          <w:i w:val="false"/>
          <w:caps w:val="false"/>
          <w:smallCaps w:val="false"/>
          <w:sz w:val="20"/>
        </w:rPr>
      </w:pPr>
      <w:bookmarkStart w:id="24" w:name="MDABusinessOverview"/>
      <w:bookmarkEnd w:id="24"/>
      <w:r>
        <w:rPr>
          <w:rFonts w:ascii="Times New Roman;serif" w:hAnsi="Times New Roman;serif"/>
          <w:b w:val="false"/>
          <w:i w:val="false"/>
          <w:caps w:val="false"/>
          <w:smallCaps w:val="false"/>
          <w:sz w:val="20"/>
        </w:rPr>
        <w:t>The MD&amp;A should be read in conjunction with our consolidated financial statements and related notes in this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Business Overview &amp; Updates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While our performance this quarter was not as strong as we had anticipated, especially in comparison to the third quarter of 2023, we remain optimistic about the direction of our cinema business and the cinema industry as a whole. Presales to date for </w:t>
      </w:r>
      <w:r>
        <w:rPr>
          <w:rFonts w:ascii="Times New Roman;serif" w:hAnsi="Times New Roman;serif"/>
          <w:b w:val="false"/>
          <w:i/>
          <w:color w:val="000000"/>
          <w:sz w:val="20"/>
        </w:rPr>
        <w:t>Wicked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Moana 2</w:t>
      </w:r>
      <w:r>
        <w:rPr>
          <w:rFonts w:ascii="Times New Roman;serif" w:hAnsi="Times New Roman;serif"/>
          <w:b w:val="false"/>
          <w:i w:val="false"/>
          <w:caps w:val="false"/>
          <w:smallCaps w:val="false"/>
          <w:color w:val="000000"/>
          <w:sz w:val="20"/>
        </w:rPr>
        <w:t xml:space="preserve">, which open in November 2024 are strong and we have high expectations for </w:t>
      </w:r>
      <w:r>
        <w:rPr>
          <w:rFonts w:ascii="Times New Roman;serif" w:hAnsi="Times New Roman;serif"/>
          <w:b w:val="false"/>
          <w:i/>
          <w:color w:val="000000"/>
          <w:sz w:val="20"/>
        </w:rPr>
        <w:t>Gladiator II</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Mufasa: The Lion King</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 xml:space="preserve">Sonic the Hedgehog 3, </w:t>
      </w:r>
      <w:r>
        <w:rPr>
          <w:rFonts w:ascii="Times New Roman;serif" w:hAnsi="Times New Roman;serif"/>
          <w:b w:val="false"/>
          <w:i w:val="false"/>
          <w:caps w:val="false"/>
          <w:smallCaps w:val="false"/>
          <w:color w:val="000000"/>
          <w:sz w:val="20"/>
        </w:rPr>
        <w:t>each of which open in December 2024. As we think about the future of the cinema industry, we are encouraged about the long term prospects of the cinema industry for a variety of reasons, including (i) the current movie release schedule from 2025 to 2027 reflects an increase in quality tentpole movies, (ii) more content is being released catering to niche cinema audiences, such as faith-based movies and concert films, (iii) major studios and distributors, including streaming platforms like Amazon, Apple TV, and Netflix, are adding a cinema exhibition leg to their overall distribution plan as they recognize the economic value of the theatrical release window, not only for driving box office revenues, but also for promoting and distinguishing their films from other content available on their platforms, and (iv) the success of certain highly anticipated and well-marketed films has shown that audiences are willing to return to cinemas, with attendance levels on a per film basis rivaling those of pre-pandemic blockbusters.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have reduced our operating costs by neither renewing nor extending our leases at five (5) underperforming locations (three in Hawaii, one in California and one in Texas). The reduction in our cinema count has, however, negatively impacted our gross revenues. We have been working to re-negotiate leases at our continuing U.S. cinemas to either reduce occupancy or to convert fixed rent to percentage rent, thus better aligning our landlord's interests with our own.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With respect to our real estate segment, our Australian real estate operations continue to perform well, when measured in local currency. However, while the exchange rates for the Australian dollar have improved marginally in the third quarter 2024 as reflected above, the contribution of the Australian real estate operations to our financial performance for the nine-month period ended September 30, 2024 has been adversely impacted by the generally downward trend in exchange rates. And, recognizing our reduced need for administrative space, in 2024, we streamlined operations by selling our administrative building in Culver City, California, generating $1.2 million in cash after settling mortgages, brokerage fees, and transactional costs. Further, we anticipate that this sale will save us around $1.5 million in operating and holding costs through the end of 2025. Currently, we are managing our California operations remotely while we search for a more affordable, appropriately sized space for relocation.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current macroeconomic situations such as inflation, interest rates, labor cost increases and the relatively low exchange value of the Australian and New Zealand dollars have continued to be obstacles that our cinema operations and the entire cinema industry continues to navigate, and have adversely impacted our global cinema segment:</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Cinema patronage levels have not yet returned to pre-pandemic levels;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Inflationary pressures, ongoing supply chain issues, mandatory minimum wage increases and increases in benefits, increased operating expenses all arising post-pandemic continue to push up our variable costs while we encounter consumer resistance to higher ticket prices;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Increased fixed costs for third party cinema rents, some of which are increasing due to fixed rent escalations, some of which are fixed and some of which are adjusted by reference to changes in the cost-of-living index, which are exacerbated by having to also pay COVID-19 related rent deferrals for the periods of time when our operations were closed or restricted;</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Since March 2022,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reserve banks in the U.S., Australia and New Zealand have materially increased interest rates causing our cost of borrowing to increase materially. We are encouraged by (i) the U.S. Federal Reserve reducing interest rates by 50 basis points in September 2024 and by 25 basis points in November 2024 and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(ii) the New Zealand Reserve Bank in October 2024 reducing interest rates by 50 basis points, with an indication that the market expects a further 75 basis point cut by the New Zealand Reserve Bank in November;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Also, while exchange rates for the Australian and New Zealand dollar have improved somewhat over the quarter ended September 30, 2024, exchange rates for the Australian and New Zealand currencies have generally decreased when compared to the U.S. Dollar, on a year-to-date basis; and</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General market and economic conditions.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film exhibition industry has seen some notable movie titles initially slated for 2024 being postponed to 2025, including </w:t>
      </w:r>
      <w:r>
        <w:rPr>
          <w:rFonts w:ascii="Times New Roman;serif" w:hAnsi="Times New Roman;serif"/>
          <w:b w:val="false"/>
          <w:i/>
          <w:color w:val="000000"/>
          <w:sz w:val="20"/>
        </w:rPr>
        <w:t>Captain America: Brave New World</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Thunderbolts</w:t>
      </w:r>
      <w:r>
        <w:rPr>
          <w:rFonts w:ascii="Times New Roman;serif" w:hAnsi="Times New Roman;serif"/>
          <w:b w:val="false"/>
          <w:i w:val="false"/>
          <w:caps w:val="false"/>
          <w:smallCaps w:val="false"/>
          <w:color w:val="000000"/>
          <w:sz w:val="20"/>
        </w:rPr>
        <w:t xml:space="preserve">, Disney’s </w:t>
      </w:r>
      <w:r>
        <w:rPr>
          <w:rFonts w:ascii="Times New Roman;serif" w:hAnsi="Times New Roman;serif"/>
          <w:b w:val="false"/>
          <w:i/>
          <w:color w:val="000000"/>
          <w:sz w:val="20"/>
        </w:rPr>
        <w:t>Snow White</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Elio</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Mission: Impossible 8</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SpongeBob SquarePants</w:t>
      </w:r>
      <w:r>
        <w:rPr>
          <w:rFonts w:ascii="Times New Roman;serif" w:hAnsi="Times New Roman;serif"/>
          <w:b w:val="false"/>
          <w:i w:val="false"/>
          <w:caps w:val="false"/>
          <w:smallCaps w:val="false"/>
          <w:color w:val="000000"/>
          <w:sz w:val="20"/>
        </w:rPr>
        <w:t xml:space="preserve">, and James Cameron’s eagerly awaited </w:t>
      </w:r>
      <w:r>
        <w:rPr>
          <w:rFonts w:ascii="Times New Roman;serif" w:hAnsi="Times New Roman;serif"/>
          <w:b w:val="false"/>
          <w:i/>
          <w:color w:val="000000"/>
          <w:sz w:val="20"/>
        </w:rPr>
        <w:t>Avatar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sequel, which, while negatively impacting our current year, we anticipate will make for a positive effect on the 2025 movie slate.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third quarter of 2024 did have some impressive movie releases such as </w:t>
      </w:r>
      <w:r>
        <w:rPr>
          <w:rFonts w:ascii="Times New Roman;serif" w:hAnsi="Times New Roman;serif"/>
          <w:b w:val="false"/>
          <w:i/>
          <w:color w:val="000000"/>
          <w:sz w:val="20"/>
        </w:rPr>
        <w:t>Deadpool &amp; Wolverine</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Despicable Me 4</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Beetlejuice Beetlejuice</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Twisters</w:t>
      </w:r>
      <w:r>
        <w:rPr>
          <w:rFonts w:ascii="Times New Roman;serif" w:hAnsi="Times New Roman;serif"/>
          <w:b w:val="false"/>
          <w:i w:val="false"/>
          <w:caps w:val="false"/>
          <w:smallCaps w:val="false"/>
          <w:color w:val="000000"/>
          <w:sz w:val="20"/>
        </w:rPr>
        <w:t xml:space="preserve">, and </w:t>
      </w:r>
      <w:r>
        <w:rPr>
          <w:rFonts w:ascii="Times New Roman;serif" w:hAnsi="Times New Roman;serif"/>
          <w:b w:val="false"/>
          <w:i/>
          <w:color w:val="000000"/>
          <w:sz w:val="20"/>
        </w:rPr>
        <w:t>It Ends with Us</w:t>
      </w:r>
      <w:r>
        <w:rPr>
          <w:rFonts w:ascii="Times New Roman;serif" w:hAnsi="Times New Roman;serif"/>
          <w:b w:val="false"/>
          <w:i w:val="false"/>
          <w:caps w:val="false"/>
          <w:smallCaps w:val="false"/>
          <w:color w:val="000000"/>
          <w:sz w:val="20"/>
        </w:rPr>
        <w:t xml:space="preserve">. The third quarter of 2024 was also helped by the steady success of </w:t>
      </w:r>
      <w:r>
        <w:rPr>
          <w:rFonts w:ascii="Times New Roman;serif" w:hAnsi="Times New Roman;serif"/>
          <w:b w:val="false"/>
          <w:i/>
          <w:color w:val="000000"/>
          <w:sz w:val="20"/>
        </w:rPr>
        <w:t>Inside Out 2</w:t>
      </w:r>
      <w:r>
        <w:rPr>
          <w:rFonts w:ascii="Times New Roman;serif" w:hAnsi="Times New Roman;serif"/>
          <w:b w:val="false"/>
          <w:i w:val="false"/>
          <w:caps w:val="false"/>
          <w:smallCaps w:val="false"/>
          <w:color w:val="000000"/>
          <w:sz w:val="20"/>
        </w:rPr>
        <w:t xml:space="preserve">, which is now the highest grossing animated movie of all time worldwide. </w:t>
      </w:r>
      <w:r>
        <w:rPr>
          <w:rFonts w:ascii="Times New Roman;serif" w:hAnsi="Times New Roman;serif"/>
          <w:b w:val="false"/>
          <w:i/>
          <w:color w:val="000000"/>
          <w:sz w:val="20"/>
        </w:rPr>
        <w:t xml:space="preserve">Deadpool &amp; Wolverine </w:t>
      </w:r>
      <w:r>
        <w:rPr>
          <w:rFonts w:ascii="Times New Roman;serif" w:hAnsi="Times New Roman;serif"/>
          <w:b w:val="false"/>
          <w:i w:val="false"/>
          <w:caps w:val="false"/>
          <w:smallCaps w:val="false"/>
          <w:color w:val="000000"/>
          <w:sz w:val="20"/>
        </w:rPr>
        <w:t>led the way</w:t>
      </w:r>
      <w:r>
        <w:rPr>
          <w:rFonts w:ascii="Times New Roman;serif" w:hAnsi="Times New Roman;serif"/>
          <w:color w:val="000000"/>
          <w:sz w:val="20"/>
        </w:rPr>
        <w:t xml:space="preserve"> </w:t>
      </w:r>
      <w:r>
        <w:rPr>
          <w:rFonts w:ascii="Times New Roman;serif" w:hAnsi="Times New Roman;serif"/>
          <w:b w:val="false"/>
          <w:i w:val="false"/>
          <w:caps w:val="false"/>
          <w:smallCaps w:val="false"/>
          <w:color w:val="000000"/>
          <w:sz w:val="20"/>
        </w:rPr>
        <w:t>for the third quarter (global box office to date $1.3 billion), along with</w:t>
      </w:r>
      <w:r>
        <w:rPr>
          <w:rFonts w:ascii="Times New Roman;serif" w:hAnsi="Times New Roman;serif"/>
          <w:color w:val="000000"/>
          <w:sz w:val="20"/>
        </w:rPr>
        <w:t xml:space="preserve"> </w:t>
      </w:r>
      <w:r>
        <w:rPr>
          <w:rFonts w:ascii="Times New Roman;serif" w:hAnsi="Times New Roman;serif"/>
          <w:b w:val="false"/>
          <w:i/>
          <w:color w:val="000000"/>
          <w:sz w:val="20"/>
        </w:rPr>
        <w:t>Despicable Me 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(global box office to date of $969 million), </w:t>
      </w:r>
      <w:r>
        <w:rPr>
          <w:rFonts w:ascii="Times New Roman;serif" w:hAnsi="Times New Roman;serif"/>
          <w:b w:val="false"/>
          <w:i/>
          <w:color w:val="000000"/>
          <w:sz w:val="20"/>
        </w:rPr>
        <w:t xml:space="preserve">Twisters </w:t>
      </w:r>
      <w:r>
        <w:rPr>
          <w:rFonts w:ascii="Times New Roman;serif" w:hAnsi="Times New Roman;serif"/>
          <w:b w:val="false"/>
          <w:i w:val="false"/>
          <w:caps w:val="false"/>
          <w:smallCaps w:val="false"/>
          <w:color w:val="000000"/>
          <w:sz w:val="20"/>
        </w:rPr>
        <w:t xml:space="preserve">(global box office to date of almost $371 million), and the recently released </w:t>
      </w:r>
      <w:r>
        <w:rPr>
          <w:rFonts w:ascii="Times New Roman;serif" w:hAnsi="Times New Roman;serif"/>
          <w:b w:val="false"/>
          <w:i/>
          <w:color w:val="000000"/>
          <w:sz w:val="20"/>
        </w:rPr>
        <w:t xml:space="preserve">Beetlejuice Beetlejuice </w:t>
      </w:r>
      <w:r>
        <w:rPr>
          <w:rFonts w:ascii="Times New Roman;serif" w:hAnsi="Times New Roman;serif"/>
          <w:b w:val="false"/>
          <w:i w:val="false"/>
          <w:caps w:val="false"/>
          <w:smallCaps w:val="false"/>
          <w:color w:val="000000"/>
          <w:sz w:val="20"/>
        </w:rPr>
        <w:t xml:space="preserve">(global box office to date of $451 million). Surprisingly, the independent film, </w:t>
      </w:r>
      <w:r>
        <w:rPr>
          <w:rFonts w:ascii="Times New Roman;serif" w:hAnsi="Times New Roman;serif"/>
          <w:b w:val="false"/>
          <w:i/>
          <w:color w:val="000000"/>
          <w:sz w:val="20"/>
        </w:rPr>
        <w:t>Longlegs</w:t>
      </w:r>
      <w:r>
        <w:rPr>
          <w:rFonts w:ascii="Times New Roman;serif" w:hAnsi="Times New Roman;serif"/>
          <w:b w:val="false"/>
          <w:i w:val="false"/>
          <w:caps w:val="false"/>
          <w:smallCaps w:val="false"/>
          <w:color w:val="000000"/>
          <w:sz w:val="20"/>
        </w:rPr>
        <w:t xml:space="preserve">, performed better than expected at the box office grossing $126 million worldwide. While these titles helped uplift the third quarter’s grosses, they were released late in the quarter and, as a result, were not enough to boost the third quarter of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2024’s grosses to the same level or higher than that of the third quarter of 2023. In addition, our specialty cinemas in the U.S. did not perform as well in the third quarter 2024 compared to the same period in 2023 when movies like </w:t>
      </w:r>
      <w:r>
        <w:rPr>
          <w:rFonts w:ascii="Times New Roman;serif" w:hAnsi="Times New Roman;serif"/>
          <w:b w:val="false"/>
          <w:i/>
          <w:color w:val="000000"/>
          <w:sz w:val="20"/>
        </w:rPr>
        <w:t xml:space="preserve">Past Lives, Bottoms, Theater Camp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 xml:space="preserve">Asteroid City </w:t>
      </w:r>
      <w:r>
        <w:rPr>
          <w:rFonts w:ascii="Times New Roman;serif" w:hAnsi="Times New Roman;serif"/>
          <w:b w:val="false"/>
          <w:i w:val="false"/>
          <w:caps w:val="false"/>
          <w:smallCaps w:val="false"/>
          <w:color w:val="000000"/>
          <w:sz w:val="20"/>
        </w:rPr>
        <w:t xml:space="preserve">were in release, in addition to two key New York City engagements of </w:t>
      </w:r>
      <w:r>
        <w:rPr>
          <w:rFonts w:ascii="Times New Roman;serif" w:hAnsi="Times New Roman;serif"/>
          <w:b w:val="false"/>
          <w:i/>
          <w:color w:val="000000"/>
          <w:sz w:val="20"/>
        </w:rPr>
        <w:t>Oppenheimer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in 70mm projection.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2024 remaining film lineup looks robust, and features some highly anticipated releases, which are expected to continue driving audiences to our big screens. These films include: </w:t>
      </w:r>
      <w:r>
        <w:rPr>
          <w:rFonts w:ascii="Times New Roman;serif" w:hAnsi="Times New Roman;serif"/>
          <w:b w:val="false"/>
          <w:i/>
          <w:color w:val="000000"/>
          <w:sz w:val="20"/>
        </w:rPr>
        <w:t>Wicked</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Moana 2,</w:t>
      </w:r>
      <w:r>
        <w:rPr>
          <w:rFonts w:ascii="Times New Roman;serif" w:hAnsi="Times New Roman;serif"/>
          <w:caps w:val="false"/>
          <w:smallCaps w:val="false"/>
          <w:color w:val="000000"/>
          <w:sz w:val="20"/>
        </w:rPr>
        <w:t xml:space="preserve"> </w:t>
      </w:r>
      <w:r>
        <w:rPr>
          <w:rFonts w:ascii="Times New Roman;serif" w:hAnsi="Times New Roman;serif"/>
          <w:b w:val="false"/>
          <w:i/>
          <w:color w:val="000000"/>
          <w:sz w:val="20"/>
        </w:rPr>
        <w:t>Gladiator 2</w:t>
      </w:r>
      <w:r>
        <w:rPr>
          <w:rFonts w:ascii="Times New Roman;serif" w:hAnsi="Times New Roman;serif"/>
          <w:b w:val="false"/>
          <w:i w:val="false"/>
          <w:caps w:val="false"/>
          <w:smallCaps w:val="false"/>
          <w:color w:val="000000"/>
          <w:sz w:val="20"/>
        </w:rPr>
        <w:t>,</w:t>
      </w:r>
      <w:r>
        <w:rPr>
          <w:rFonts w:ascii="Times New Roman;serif" w:hAnsi="Times New Roman;serif"/>
          <w:color w:val="000000"/>
          <w:sz w:val="20"/>
        </w:rPr>
        <w:t xml:space="preserve"> </w:t>
      </w:r>
      <w:r>
        <w:rPr>
          <w:rFonts w:ascii="Times New Roman;serif" w:hAnsi="Times New Roman;serif"/>
          <w:b w:val="false"/>
          <w:i w:val="false"/>
          <w:caps w:val="false"/>
          <w:smallCaps w:val="false"/>
          <w:color w:val="000000"/>
          <w:sz w:val="20"/>
        </w:rPr>
        <w:t>and</w:t>
      </w:r>
      <w:r>
        <w:rPr>
          <w:rFonts w:ascii="Times New Roman;serif" w:hAnsi="Times New Roman;serif"/>
          <w:color w:val="000000"/>
          <w:sz w:val="20"/>
        </w:rPr>
        <w:t xml:space="preserve"> </w:t>
      </w:r>
      <w:r>
        <w:rPr>
          <w:rFonts w:ascii="Times New Roman;serif" w:hAnsi="Times New Roman;serif"/>
          <w:b w:val="false"/>
          <w:i/>
          <w:color w:val="000000"/>
          <w:sz w:val="20"/>
        </w:rPr>
        <w:t>Mufasa: The Lion King</w:t>
      </w:r>
      <w:r>
        <w:rPr>
          <w:rFonts w:ascii="Times New Roman;serif" w:hAnsi="Times New Roman;serif"/>
          <w:b w:val="false"/>
          <w:i w:val="false"/>
          <w:caps w:val="false"/>
          <w:smallCaps w:val="false"/>
          <w:color w:val="000000"/>
          <w:sz w:val="20"/>
        </w:rPr>
        <w:t xml:space="preserve">. On the specialty film side, while our specialty film slate is not as strong as it was in 2023, the releases for the remainder of 2024 are promising. Films such as </w:t>
      </w:r>
      <w:r>
        <w:rPr>
          <w:rFonts w:ascii="Times New Roman;serif" w:hAnsi="Times New Roman;serif"/>
          <w:b w:val="false"/>
          <w:i/>
          <w:color w:val="000000"/>
          <w:sz w:val="20"/>
        </w:rPr>
        <w:t>Anora</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Conclave</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Nickel Boys</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A Complete Unknown, September 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Nosferatu</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are either performing well right now or expect to be well received at the box office when they open later in 2024.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are actively working with our landlords to manage our occupancy costs, which remain high relative to our current revenue levels. Recognizing the oversupply of cinemas in the U.S., we have been evaluating our U.S. holdings and plan to close underperforming locations where reasonable agreements with landlords cannot be reached. Since the start of fourth quarter 2022, we have chosen not to renew leases at three locations in Hawaii, one location in Texas, and one location in Northern California (all of which experienced negative cash flow at the theater level). While some of our U.S. landlords have initiated legal proceedings incident to these negotiations, we believe that we have tentatively reached revised lease agreements in each pending case, which are now being documented. While in the short term, cinema closures will have an impact on our gross revenue levels year-over-year, we anticipate that they will improve our longer term operating results and remain confident that such closures are in the best interests of our Company and our stockholders and that in the coming years, our cinema revenue will once again support our real estate development initiatives. Currently, we have one eight-screen cinema project in the pipeline in Australia.</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Additionally, we expect continued improvements to the operational performance of our cinemas as our global circuit steadily recovers. A key factor in this optimism is the ongoing expansion and enhancement of our Food and Beverage (F&amp;B) offerings. As of 2023, we are currently able to sell beer and wine in 100% of our U.S. cinemas, and liquor in all but three. We are actively pursuing licenses to offer liquor, along with beer and wine, at those remaining three locations. Looking ahead, we are committed to securing liquor licenses and enhancing our F&amp;B offerings across our circuits in Australia and New Zealand as well, reinforcing our dedication to elevating the cinema experience for our customers.</w:t>
      </w:r>
    </w:p>
    <w:p>
      <w:pPr>
        <w:pStyle w:val="TextBody"/>
        <w:bidi w:val="0"/>
        <w:spacing w:lineRule="auto" w:line="259"/>
        <w:rPr>
          <w:rFonts w:ascii="Times New Roman;serif" w:hAnsi="Times New Roman;serif"/>
          <w:b/>
          <w:i/>
          <w:sz w:val="20"/>
        </w:rPr>
      </w:pPr>
      <w:r>
        <w:rPr>
          <w:rFonts w:ascii="Times New Roman;serif" w:hAnsi="Times New Roman;serif"/>
          <w:b/>
          <w:i/>
          <w:sz w:val="20"/>
        </w:rPr>
        <w:t>Recent Box Office Improvements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box office performance of certain films released in the third quarter of 2024 has illustrated resilience for the industry as a whole. As previously noted, sequel movies, such as </w:t>
      </w:r>
      <w:r>
        <w:rPr>
          <w:rFonts w:ascii="Times New Roman;serif" w:hAnsi="Times New Roman;serif"/>
          <w:b w:val="false"/>
          <w:i/>
          <w:sz w:val="20"/>
        </w:rPr>
        <w:t>Deadpool &amp; Wolverine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 xml:space="preserve">Inside Out 2, </w:t>
      </w:r>
      <w:r>
        <w:rPr>
          <w:rFonts w:ascii="Times New Roman;serif" w:hAnsi="Times New Roman;serif"/>
          <w:b w:val="false"/>
          <w:i w:val="false"/>
          <w:caps w:val="false"/>
          <w:smallCaps w:val="false"/>
          <w:sz w:val="20"/>
        </w:rPr>
        <w:t xml:space="preserve">delivered stellar results. The Marvel sequel, </w:t>
      </w:r>
      <w:r>
        <w:rPr>
          <w:rFonts w:ascii="Times New Roman;serif" w:hAnsi="Times New Roman;serif"/>
          <w:b w:val="false"/>
          <w:i/>
          <w:sz w:val="20"/>
        </w:rPr>
        <w:t>Deadpool &amp; Wolverine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led the charge for released films this past quarter and quickly became the number one R rated movie of all time both domestically and worldwide</w:t>
      </w:r>
      <w:r>
        <w:rPr>
          <w:rFonts w:ascii="Times New Roman;serif" w:hAnsi="Times New Roman;serif"/>
          <w:b w:val="false"/>
          <w:i/>
          <w:sz w:val="20"/>
        </w:rPr>
        <w:t>. Inside Out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has soared to become the highest grossing animated movie of all time worldwide and continued its success into the third quarter. Another animated success that is continuing to generate revenue is </w:t>
      </w:r>
      <w:r>
        <w:rPr>
          <w:rFonts w:ascii="Times New Roman;serif" w:hAnsi="Times New Roman;serif"/>
          <w:b w:val="false"/>
          <w:i/>
          <w:sz w:val="20"/>
        </w:rPr>
        <w:t>Despicable Me 4</w:t>
      </w:r>
      <w:r>
        <w:rPr>
          <w:rFonts w:ascii="Times New Roman;serif" w:hAnsi="Times New Roman;serif"/>
          <w:b w:val="false"/>
          <w:i w:val="false"/>
          <w:caps w:val="false"/>
          <w:smallCaps w:val="false"/>
          <w:sz w:val="20"/>
        </w:rPr>
        <w:t xml:space="preserve">, which by producing just under $1 billion worldwide, brings the franchise’s collective revenue to over $5.6 billion worldwide. Also, </w:t>
      </w:r>
      <w:r>
        <w:rPr>
          <w:rFonts w:ascii="Times New Roman;serif" w:hAnsi="Times New Roman;serif"/>
          <w:b w:val="false"/>
          <w:i/>
          <w:sz w:val="20"/>
        </w:rPr>
        <w:t xml:space="preserve">Beetlejuice Beetlejuice </w:t>
      </w:r>
      <w:r>
        <w:rPr>
          <w:rFonts w:ascii="Times New Roman;serif" w:hAnsi="Times New Roman;serif"/>
          <w:b w:val="false"/>
          <w:i w:val="false"/>
          <w:caps w:val="false"/>
          <w:smallCaps w:val="false"/>
          <w:sz w:val="20"/>
        </w:rPr>
        <w:t>has become Warner Bros highest grossing domestic movie of 2024 and the overall fourth highest grossing movie of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success of these films has reinforced our confidence in the resilience of the global cinema industry, demonstrating its ability to withstand adversity, including rising operating costs, labor shortages, and shifting release schedules. Additionally, several standout releases from the third quarter of 2024 achieved significant milestones with </w:t>
      </w:r>
      <w:r>
        <w:rPr>
          <w:rFonts w:ascii="Times New Roman;serif" w:hAnsi="Times New Roman;serif"/>
          <w:b w:val="false"/>
          <w:i/>
          <w:sz w:val="20"/>
        </w:rPr>
        <w:t>Twisters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having the highest domestic opening weekend ever for a natural disaster film, while </w:t>
      </w:r>
      <w:r>
        <w:rPr>
          <w:rFonts w:ascii="Times New Roman;serif" w:hAnsi="Times New Roman;serif"/>
          <w:b w:val="false"/>
          <w:i/>
          <w:sz w:val="20"/>
        </w:rPr>
        <w:t>It Ends With Us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became the highest-grossing romantic drama since the 2018 hit, </w:t>
      </w:r>
      <w:r>
        <w:rPr>
          <w:rFonts w:ascii="Times New Roman;serif" w:hAnsi="Times New Roman;serif"/>
          <w:b w:val="false"/>
          <w:i/>
          <w:sz w:val="20"/>
        </w:rPr>
        <w:t>A Star is Born</w:t>
      </w:r>
      <w:r>
        <w:rPr>
          <w:rFonts w:ascii="Times New Roman;serif" w:hAnsi="Times New Roman;serif"/>
          <w:b w:val="false"/>
          <w:i w:val="false"/>
          <w:caps w:val="false"/>
          <w:smallCaps w:val="false"/>
          <w:sz w:val="20"/>
        </w:rPr>
        <w:t xml:space="preserve">. As mentioned above, another Michael Keaton, reborn cult classic, </w:t>
      </w:r>
      <w:r>
        <w:rPr>
          <w:rFonts w:ascii="Times New Roman;serif" w:hAnsi="Times New Roman;serif"/>
          <w:b w:val="false"/>
          <w:i/>
          <w:sz w:val="20"/>
        </w:rPr>
        <w:t>Beetlejuice Beetlejuice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became the highest-grossing domestic film of the year for Warner Bros., surpassing </w:t>
      </w:r>
      <w:r>
        <w:rPr>
          <w:rFonts w:ascii="Times New Roman;serif" w:hAnsi="Times New Roman;serif"/>
          <w:b w:val="false"/>
          <w:i/>
          <w:sz w:val="20"/>
        </w:rPr>
        <w:t>Dune: Part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the top spot. As we enter the fourth quarter of 2024, we are ready to build on this momentum continuing another exciting movie lineup. We look forward to the diverse lineup of releases planned for the rest of 2024, including (i)</w:t>
      </w:r>
      <w:r>
        <w:rPr>
          <w:rFonts w:ascii="Times New Roman;serif" w:hAnsi="Times New Roman;serif"/>
          <w:b w:val="false"/>
          <w:i/>
          <w:sz w:val="20"/>
        </w:rPr>
        <w:t>Wicked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Moana 2,</w:t>
      </w:r>
      <w:r>
        <w:rPr>
          <w:rFonts w:ascii="Times New Roman;serif" w:hAnsi="Times New Roman;serif"/>
          <w:caps w:val="false"/>
          <w:smallCaps w:val="false"/>
          <w:sz w:val="20"/>
        </w:rPr>
        <w:t xml:space="preserve"> </w:t>
      </w:r>
      <w:r>
        <w:rPr>
          <w:rFonts w:ascii="Times New Roman;serif" w:hAnsi="Times New Roman;serif"/>
          <w:b w:val="false"/>
          <w:i/>
          <w:sz w:val="20"/>
        </w:rPr>
        <w:t xml:space="preserve">Gladiator 2, Mufasa: Lion King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 xml:space="preserve">Sonic the Hedgehog 3 </w:t>
      </w:r>
      <w:r>
        <w:rPr>
          <w:rFonts w:ascii="Times New Roman;serif" w:hAnsi="Times New Roman;serif"/>
          <w:b w:val="false"/>
          <w:i w:val="false"/>
          <w:caps w:val="false"/>
          <w:smallCaps w:val="false"/>
          <w:sz w:val="20"/>
        </w:rPr>
        <w:t>and (ii) critically acclaimed films from specialty distributors, such as</w:t>
      </w:r>
      <w:r>
        <w:rPr>
          <w:rFonts w:ascii="Times New Roman;serif" w:hAnsi="Times New Roman;serif"/>
          <w:sz w:val="20"/>
        </w:rPr>
        <w:t xml:space="preserve"> </w:t>
      </w:r>
      <w:r>
        <w:rPr>
          <w:rFonts w:ascii="Times New Roman;serif" w:hAnsi="Times New Roman;serif"/>
          <w:b w:val="false"/>
          <w:i w:val="false"/>
          <w:caps w:val="false"/>
          <w:smallCaps w:val="false"/>
          <w:sz w:val="20"/>
        </w:rPr>
        <w:t xml:space="preserve">director John Crowley’s </w:t>
      </w:r>
      <w:r>
        <w:rPr>
          <w:rFonts w:ascii="Times New Roman;serif" w:hAnsi="Times New Roman;serif"/>
          <w:b w:val="false"/>
          <w:i/>
          <w:sz w:val="20"/>
        </w:rPr>
        <w:t xml:space="preserve">We Live in Time, </w:t>
      </w:r>
      <w:r>
        <w:rPr>
          <w:rFonts w:ascii="Times New Roman;serif" w:hAnsi="Times New Roman;serif"/>
          <w:b w:val="false"/>
          <w:i w:val="false"/>
          <w:caps w:val="false"/>
          <w:smallCaps w:val="false"/>
          <w:sz w:val="20"/>
        </w:rPr>
        <w:t>director RaMell Ross’</w:t>
      </w:r>
      <w:r>
        <w:rPr>
          <w:rFonts w:ascii="Times New Roman;serif" w:hAnsi="Times New Roman;serif"/>
          <w:sz w:val="20"/>
        </w:rPr>
        <w:t xml:space="preserve"> </w:t>
      </w:r>
      <w:r>
        <w:rPr>
          <w:rFonts w:ascii="Times New Roman;serif" w:hAnsi="Times New Roman;serif"/>
          <w:b w:val="false"/>
          <w:i/>
          <w:sz w:val="20"/>
        </w:rPr>
        <w:t xml:space="preserve">Nickel Boys, </w:t>
      </w:r>
      <w:r>
        <w:rPr>
          <w:rFonts w:ascii="Times New Roman;serif" w:hAnsi="Times New Roman;serif"/>
          <w:b w:val="false"/>
          <w:i w:val="false"/>
          <w:caps w:val="false"/>
          <w:smallCaps w:val="false"/>
          <w:sz w:val="20"/>
        </w:rPr>
        <w:t>director James Mangold’s</w:t>
      </w:r>
      <w:r>
        <w:rPr>
          <w:rFonts w:ascii="Times New Roman;serif" w:hAnsi="Times New Roman;serif"/>
          <w:sz w:val="20"/>
        </w:rPr>
        <w:t xml:space="preserve"> </w:t>
      </w:r>
      <w:r>
        <w:rPr>
          <w:rFonts w:ascii="Times New Roman;serif" w:hAnsi="Times New Roman;serif"/>
          <w:b w:val="false"/>
          <w:i/>
          <w:sz w:val="20"/>
        </w:rPr>
        <w:t xml:space="preserve">A Complete Unknown </w:t>
      </w:r>
      <w:r>
        <w:rPr>
          <w:rFonts w:ascii="Times New Roman;serif" w:hAnsi="Times New Roman;serif"/>
          <w:b w:val="false"/>
          <w:i w:val="false"/>
          <w:caps w:val="false"/>
          <w:smallCaps w:val="false"/>
          <w:sz w:val="20"/>
        </w:rPr>
        <w:t xml:space="preserve">and director Robert Eggers’ </w:t>
      </w:r>
      <w:r>
        <w:rPr>
          <w:rFonts w:ascii="Times New Roman;serif" w:hAnsi="Times New Roman;serif"/>
          <w:b w:val="false"/>
          <w:i/>
          <w:sz w:val="20"/>
        </w:rPr>
        <w:t>Nosferatu</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i/>
          <w:sz w:val="20"/>
        </w:rPr>
        <w:t>Real Estate Developments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Regarding our United States real estate, during the first quarter of 2024, we sold our underutilized administrative office building in Culver City, California for $10.0 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Regarding our 44 Union Square property in New York City, we enlisted George Comfort &amp; Sons (</w:t>
      </w:r>
      <w:r>
        <w:rPr>
          <w:rFonts w:ascii="Times New Roman;serif" w:hAnsi="Times New Roman;serif"/>
          <w:b w:val="false"/>
          <w:i w:val="false"/>
          <w:caps w:val="false"/>
          <w:smallCaps w:val="false"/>
          <w:color w:val="0000FF"/>
          <w:sz w:val="20"/>
          <w:u w:val="single"/>
        </w:rPr>
        <w:t>www.gcomfort.com</w:t>
      </w:r>
      <w:r>
        <w:rPr>
          <w:rFonts w:ascii="Times New Roman;serif" w:hAnsi="Times New Roman;serif"/>
          <w:b w:val="false"/>
          <w:i w:val="false"/>
          <w:caps w:val="false"/>
          <w:smallCaps w:val="false"/>
          <w:sz w:val="20"/>
        </w:rPr>
        <w:t>) as our new leasing broker in the first quarter of 2024 to lead efforts in securing tenants for the remaining space. While the space was initially intended for office use, we are exploring a variety of alternative options beyond traditional office tenants. This shift is driven by the property's prime location in Union Square, the resurgence of foot traffic in the area, and the building’s strong branding potential, including short-term and special purpose uses. We believe that the Manhattan real estate market is improving. Compared to earlier periods in 2024, inquiries about rates and availability have increased over the last two months.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September 30, 2024, all of our tenants at our Australian and New Zealand properties were operational. While most of the retail spaces at our Courtenay Central location in New Zealand remain closed due to seismic concerns, one tenant is still open and conducting business. Additionally, one tenant is trading at our Wakefield property. Our open land areas in Wellington are also generating parking 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our liquidity requirements, we have largely paused our real estate development projects. Our restricted capital expenditures in 2023 and through the majority of 2024 have primarily targeted improvements to our existing cinemas. To bolster our liquidity, the Company has listed for sale various assets, being our Newberry Yard property in Williamsport, Pennsylvania, as well as locations in (i) Townsville, Queensland, Australia, (ii) Wellington, New Zealand, and (iii) Rotorua, New Zealand. In each case where we are selling a cinema property, we intend to take back a lease of the cinema component.</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Company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principally focused on the development, ownership, and operation of entertainment and real estate assets in the United States, Australia, and New Zealand. Currently, we operate in two business segments: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 xml:space="preserve">Cinema exhibition, through our 60 cinemas as of September 30, 2024.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Real estate, including real estate development and the rental of retail, commercial, and live theatre assets.</w:t>
      </w:r>
    </w:p>
    <w:p>
      <w:pPr>
        <w:pStyle w:val="TextBody"/>
        <w:bidi w:val="0"/>
        <w:spacing w:lineRule="auto" w:line="259"/>
        <w:rPr>
          <w:rFonts w:ascii="Times New Roman;serif" w:hAnsi="Times New Roman;serif"/>
          <w:b w:val="false"/>
          <w:i w:val="false"/>
          <w:caps w:val="false"/>
          <w:smallCaps w:val="false"/>
          <w:sz w:val="20"/>
        </w:rPr>
      </w:pPr>
      <w:bookmarkStart w:id="25" w:name="_Hlk69460598"/>
      <w:bookmarkStart w:id="26" w:name="_Hlk148705778"/>
      <w:bookmarkEnd w:id="25"/>
      <w:bookmarkEnd w:id="26"/>
      <w:r>
        <w:rPr>
          <w:rFonts w:ascii="Times New Roman;serif" w:hAnsi="Times New Roman;serif"/>
          <w:b w:val="false"/>
          <w:i w:val="false"/>
          <w:caps w:val="false"/>
          <w:smallCaps w:val="false"/>
          <w:sz w:val="20"/>
        </w:rPr>
        <w:t xml:space="preserve">It is evident that these two business segments complement and support each other. In the post-pandemic environment, we have increasingly depended on income from our real estate assets and leveraged the inherent value of those assets to navigate current industry and economic challenges. As the impact of ongoing macroeconomic challenges begins to settle and the movie release schedule improves in both quality and volume, attracting more moviegoers to our cinemas, we expect to once again rely on the cash flows generated by our cinema portfolio.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While we remain confident in the long-term viability of the cinema industry, we acknowledge our upcoming liquidity needs arising from debt maturities and other factors. As a result, we have identified specific real estate assets for monetization and will consider additional properties if necessary to meet our liquidity requirements. We are confident that our two-pronged, diversified international business strategy will support the Company through these challenging times as we navigate the uncertainties and difficulties posed by recent macroeconomic conditions. Please refer to Note 3 – </w:t>
      </w:r>
      <w:r>
        <w:rPr>
          <w:rFonts w:ascii="Times New Roman;serif" w:hAnsi="Times New Roman;serif"/>
          <w:b w:val="false"/>
          <w:i/>
          <w:sz w:val="20"/>
        </w:rPr>
        <w:t>Liquidity and Impairment Assessment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more details.</w:t>
      </w:r>
    </w:p>
    <w:p>
      <w:pPr>
        <w:pStyle w:val="TextBody"/>
        <w:bidi w:val="0"/>
        <w:spacing w:lineRule="auto" w:line="259"/>
        <w:rPr>
          <w:rFonts w:ascii="Times New Roman;serif" w:hAnsi="Times New Roman;serif"/>
          <w:b/>
          <w:i/>
          <w:sz w:val="20"/>
        </w:rPr>
      </w:pPr>
      <w:r>
        <w:rPr>
          <w:rFonts w:ascii="Times New Roman;serif" w:hAnsi="Times New Roman;serif"/>
          <w:b/>
          <w:i/>
          <w:sz w:val="20"/>
        </w:rPr>
        <w:t>Key Performance Indicators</w:t>
      </w:r>
    </w:p>
    <w:p>
      <w:pPr>
        <w:pStyle w:val="TextBody"/>
        <w:bidi w:val="0"/>
        <w:spacing w:lineRule="auto" w:line="259"/>
        <w:rPr>
          <w:rFonts w:ascii="Times New Roman;serif" w:hAnsi="Times New Roman;serif"/>
          <w:b/>
          <w:i w:val="false"/>
          <w:caps w:val="false"/>
          <w:smallCaps w:val="false"/>
          <w:color w:val="000000"/>
          <w:sz w:val="20"/>
          <w:u w:val="single"/>
        </w:rPr>
      </w:pPr>
      <w:bookmarkStart w:id="27" w:name="_Hlk108171748"/>
      <w:bookmarkEnd w:id="27"/>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 key performance indicator utilized by management in our cinema segment is F&amp;B Spend Per Patron (“SPP</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This metric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is calculated by dividing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post-tax</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F&amp;B Revenues by the number of cinema attendees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a specific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One of our strategic priorities has been to continue upgrading the F&amp;B menu at several of our global cinemas. As of September 30, 2024, we have a total of 38 theater locations with elevated F&amp;B menus (i.e. menus that are beyond traditional popcorn, soda, and candy). We use SPP to assess our F&amp;B performance compared to our competitors. While various factors like labor and cost of goods affect our F&amp;B profitability, SPP indicates our ability to maintain strong top-line performance. It also reflects our success in generating additional revenue by promoting and selling supplementary products to our customers during their visits. Furthermore, this metric helps us evaluate how well we differentiate our F&amp;B offerings from competitors. Management uses F&amp;B SPP to adjust pricing strategies, measure the effectiveness of marketing initiatives, optimize menu offerings, and ensure that prices remain accessible to our customers.</w:t>
      </w:r>
    </w:p>
    <w:p>
      <w:pPr>
        <w:pStyle w:val="TextBody"/>
        <w:bidi w:val="0"/>
        <w:spacing w:lineRule="auto" w:line="259"/>
        <w:rPr>
          <w:caps w:val="false"/>
          <w:smallCaps w:val="false"/>
        </w:rPr>
      </w:pPr>
      <w:r>
        <w:rPr>
          <w:caps w:val="false"/>
          <w:smallCaps w:val="false"/>
        </w:rPr>
        <w:drawing>
          <wp:inline distT="0" distB="0" distL="0" distR="0">
            <wp:extent cx="6858000" cy="14960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496060"/>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Another key performance indicator used by management in our cinema segment is Average Ticket Price (“ATP”) per Patron, which is calculated based on our total Box Office Revenues on a post-tax basis divided by our cinema attendance during a specific period. ATP measures our operational cinema performance when compared to that of our competitors. ATP is a useful metric for evaluating our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ability to achieve a strong top-line performance, gauging the effectiveness of our cinemas’ pricing strategies and our ability to entice customers back to our theaters. Management uses ATP to adjust and inform ticket pricing schemes for our individual theaters, measures the effectiveness of our content programming, and ensures that price barriers are not created for our guests. </w:t>
      </w:r>
    </w:p>
    <w:p>
      <w:pPr>
        <w:pStyle w:val="TextBody"/>
        <w:bidi w:val="0"/>
        <w:spacing w:lineRule="auto" w:line="259"/>
        <w:rPr>
          <w:caps w:val="false"/>
          <w:smallCaps w:val="false"/>
        </w:rPr>
      </w:pPr>
      <w:r>
        <w:rPr>
          <w:caps w:val="false"/>
          <w:smallCaps w:val="false"/>
        </w:rPr>
        <w:drawing>
          <wp:inline distT="0" distB="0" distL="0" distR="0">
            <wp:extent cx="6858000" cy="16249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1624965"/>
                    </a:xfrm>
                    <a:prstGeom prst="rect">
                      <a:avLst/>
                    </a:prstGeom>
                  </pic:spPr>
                </pic:pic>
              </a:graphicData>
            </a:graphic>
          </wp:inline>
        </w:drawing>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Real Estate Key Performance Indicators</w:t>
      </w:r>
    </w:p>
    <w:p>
      <w:pPr>
        <w:pStyle w:val="TextBody"/>
        <w:bidi w:val="0"/>
        <w:spacing w:lineRule="auto" w:line="259"/>
        <w:rPr>
          <w:rFonts w:ascii="Times New Roman;serif" w:hAnsi="Times New Roman;serif"/>
          <w:sz w:val="20"/>
        </w:rPr>
      </w:pPr>
      <w:bookmarkStart w:id="28" w:name="_Hlk172364379"/>
      <w:bookmarkEnd w:id="28"/>
      <w:r>
        <w:rPr>
          <w:rFonts w:ascii="Times New Roman;serif" w:hAnsi="Times New Roman;serif"/>
          <w:b w:val="false"/>
          <w:i w:val="false"/>
          <w:caps w:val="false"/>
          <w:smallCaps w:val="false"/>
          <w:sz w:val="20"/>
        </w:rPr>
        <w:t>The key performance indicators used by management in our real estate segment with respect to our properties held for rent (other than our Live Theatres) are net operating income, occupancy factor (the percentage of the net rentable area of our properties that is leased) and average lease duration. Set forth in the table below is a comparison of these indicators for the third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quarter and nine months ended September 30, 2024 compared to the corresponding periods in 2023. As a matter of clarification, we have not included in our calculation of net rentable area available for lease any space that is closed for renovation or redevelopment (such as our Courtenay Central property).</w:t>
      </w:r>
    </w:p>
    <w:p>
      <w:pPr>
        <w:pStyle w:val="TextBody"/>
        <w:bidi w:val="0"/>
        <w:spacing w:lineRule="auto" w:line="259"/>
        <w:rPr/>
      </w:pPr>
      <w:r>
        <w:rPr>
          <w:caps w:val="false"/>
          <w:smallCaps w:val="false"/>
        </w:rPr>
        <w:drawing>
          <wp:inline distT="0" distB="0" distL="0" distR="0">
            <wp:extent cx="6858000" cy="22472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2247265"/>
                    </a:xfrm>
                    <a:prstGeom prst="rect">
                      <a:avLst/>
                    </a:prstGeom>
                  </pic:spPr>
                </pic:pic>
              </a:graphicData>
            </a:graphic>
          </wp:inline>
        </w:drawing>
      </w:r>
      <w:r>
        <w:rPr>
          <w:caps w:val="false"/>
          <w:smallCaps w:val="false"/>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In the case of our Live Theatres, with respect to key performance indicators, we primarily look to the live theater rental revenue and ancillary income from the theatres. </w:t>
      </w:r>
      <w:r>
        <w:rPr>
          <w:rFonts w:ascii="Times New Roman;serif" w:hAnsi="Times New Roman;serif"/>
          <w:b w:val="false"/>
          <w:i w:val="false"/>
          <w:caps w:val="false"/>
          <w:smallCaps w:val="false"/>
          <w:sz w:val="20"/>
        </w:rPr>
        <w:t>This key performance indicator represents box office revenues less amounts paid to producers for license fee settlements, plus ancillary income earned by us from certain theater operations. Our live theater rental revenue and ancillary income for the third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of 2024 and 2023 are reflected in the chart below..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in the case of our development properties (such as 44 Union Square in New York City) and our various international properties such as Newmarket Village in Australia, we have no specific key performance standards to compare performance from period to period. Rather we continue to analyze budgets and projections and compare actual results to budgeted or projected results from time to time. </w:t>
      </w:r>
    </w:p>
    <w:p>
      <w:pPr>
        <w:pStyle w:val="TextBody"/>
        <w:bidi w:val="0"/>
        <w:spacing w:lineRule="auto" w:line="259"/>
        <w:rPr>
          <w:rFonts w:ascii="Times New Roman;serif" w:hAnsi="Times New Roman;serif"/>
          <w:b/>
          <w:i/>
          <w:sz w:val="20"/>
        </w:rPr>
      </w:pPr>
      <w:r>
        <w:rPr>
          <w:rFonts w:ascii="Times New Roman;serif" w:hAnsi="Times New Roman;serif"/>
          <w:b/>
          <w:i/>
          <w:sz w:val="20"/>
        </w:rPr>
        <w:t>Cinema Exhibition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our worldwide cinema exhibition businesses through various subsidiaries under various brands: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in the U.S., under the Reading Cinemas, Consolidated Theatres and Angelika Film Center brands.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in Australia, under the Reading Cinemas, Angelika, and, for our one unconsolidated joint venture theatre, Event Cinemas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New</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Zealand, under the Reading Cinemas and our two unconsolidated joint venture theatres, Rialto Cinemas brands.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cinema circuit in each country, by state/territory/region, our cinema brands, and our interest in the underlying assets as of September 30, 2024.</w:t>
      </w:r>
    </w:p>
    <w:tbl>
      <w:tblPr>
        <w:tblW w:w="10205" w:type="dxa"/>
        <w:jc w:val="left"/>
        <w:tblInd w:w="0" w:type="dxa"/>
        <w:tblLayout w:type="fixed"/>
        <w:tblCellMar>
          <w:top w:w="0" w:type="dxa"/>
          <w:left w:w="0" w:type="dxa"/>
          <w:bottom w:w="0" w:type="dxa"/>
          <w:right w:w="0" w:type="dxa"/>
        </w:tblCellMar>
      </w:tblPr>
      <w:tblGrid>
        <w:gridCol w:w="1316"/>
        <w:gridCol w:w="109"/>
        <w:gridCol w:w="1426"/>
        <w:gridCol w:w="109"/>
        <w:gridCol w:w="765"/>
        <w:gridCol w:w="109"/>
        <w:gridCol w:w="586"/>
        <w:gridCol w:w="109"/>
        <w:gridCol w:w="796"/>
        <w:gridCol w:w="143"/>
        <w:gridCol w:w="815"/>
        <w:gridCol w:w="109"/>
        <w:gridCol w:w="3813"/>
      </w:tblGrid>
      <w:tr>
        <w:trPr/>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shd w:fill="FFFFFF" w:val="clear"/>
            <w:vAlign w:val="center"/>
          </w:tcPr>
          <w:p>
            <w:pPr>
              <w:pStyle w:val="TableContents"/>
              <w:bidi w:val="0"/>
              <w:spacing w:before="0" w:after="283"/>
              <w:jc w:val="left"/>
              <w:rPr>
                <w:sz w:val="4"/>
                <w:szCs w:val="4"/>
              </w:rPr>
            </w:pPr>
            <w:r>
              <w:rPr>
                <w:sz w:val="4"/>
                <w:szCs w:val="4"/>
              </w:rPr>
            </w:r>
          </w:p>
        </w:tc>
      </w:tr>
      <w:tr>
        <w:trPr/>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shd w:fill="FFFFFF" w:val="clear"/>
            <w:vAlign w:val="center"/>
          </w:tcPr>
          <w:p>
            <w:pPr>
              <w:pStyle w:val="TableContents"/>
              <w:bidi w:val="0"/>
              <w:spacing w:before="0" w:after="283"/>
              <w:jc w:val="left"/>
              <w:rPr>
                <w:sz w:val="4"/>
                <w:szCs w:val="4"/>
              </w:rPr>
            </w:pPr>
            <w:r>
              <w:rPr>
                <w:sz w:val="4"/>
                <w:szCs w:val="4"/>
              </w:rPr>
            </w:r>
          </w:p>
        </w:tc>
      </w:tr>
      <w:tr>
        <w:trPr/>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54" w:type="dxa"/>
            <w:gridSpan w:val="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shd w:fill="FFFFFF" w:val="clear"/>
            <w:vAlign w:val="center"/>
          </w:tcPr>
          <w:p>
            <w:pPr>
              <w:pStyle w:val="TableContents"/>
              <w:bidi w:val="0"/>
              <w:spacing w:before="0" w:after="283"/>
              <w:jc w:val="left"/>
              <w:rPr>
                <w:sz w:val="4"/>
                <w:szCs w:val="4"/>
              </w:rPr>
            </w:pPr>
            <w:r>
              <w:rPr>
                <w:sz w:val="4"/>
                <w:szCs w:val="4"/>
              </w:rPr>
            </w:r>
          </w:p>
        </w:tc>
      </w:tr>
      <w:tr>
        <w:trPr/>
        <w:tc>
          <w:tcPr>
            <w:tcW w:w="131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1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1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193</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Reading Cinemas, Angelika Cinemas, Event Cinemas</w:t>
            </w:r>
            <w:r>
              <w:rPr>
                <w:rFonts w:ascii="Times New Roman;serif" w:hAnsi="Times New Roman;serif"/>
                <w:b w:val="false"/>
                <w:i w:val="false"/>
                <w:caps w:val="false"/>
                <w:smallCaps w:val="false"/>
                <w:color w:val="000000"/>
                <w:position w:val="5"/>
                <w:sz w:val="13"/>
                <w:sz w:val="16"/>
              </w:rPr>
              <w:t>(1)</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1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3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226</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1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60</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486</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51</w:t>
            </w:r>
          </w:p>
        </w:tc>
        <w:tc>
          <w:tcPr>
            <w:tcW w:w="14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(1)Our Company</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has a 33.3% unincorporated joint venture interest in a 16-screen cinema located in Mt. Gravatt, Queensland managed by Event Cinemas.</w:t>
      </w:r>
    </w:p>
    <w:p>
      <w:pPr>
        <w:pStyle w:val="TextBody"/>
        <w:bidi w:val="0"/>
        <w:spacing w:lineRule="auto" w:line="259" w:before="0" w:after="6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with a total of 13 screens. We are responsible for the booking of these cinemas and our joint venture partner, Event Cinemas, manages their day-to-day operations.</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rPr>
        <w:t xml:space="preserve">Our cinema revenues consist primarily of cinema ticket sales, F&amp;B sales, screen advertising, gift card sales, cinema rentals, and online convenience fee revenue generated by the sale of our cinema tickets through our websites and mobile apps. </w:t>
      </w:r>
      <w:bookmarkStart w:id="29" w:name="_Hlk100939110"/>
      <w:bookmarkEnd w:id="29"/>
      <w:r>
        <w:rPr>
          <w:rFonts w:ascii="Times New Roman;serif" w:hAnsi="Times New Roman;serif"/>
          <w:b w:val="false"/>
          <w:i w:val="false"/>
          <w:caps w:val="false"/>
          <w:smallCaps w:val="false"/>
          <w:sz w:val="20"/>
        </w:rPr>
        <w:t>Cinema operating expenses consist of the costs directly attributable to the operation of the cinemas, including (i) film rent expense, (ii) operating costs, such as employment costs and utilities, and (iii) occupancy costs.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Cinema revenues and certain expenses fluctuate with the availability of quality first run films and the number of weeks such first run films stay in the market. For a breakdown of our current cinema assets that we own and/or manage, please refer to </w:t>
      </w:r>
      <w:r>
        <w:rPr>
          <w:rFonts w:ascii="Times New Roman;serif" w:hAnsi="Times New Roman;serif"/>
          <w:b w:val="false"/>
          <w:i/>
          <w:sz w:val="20"/>
        </w:rPr>
        <w:t xml:space="preserve">Part I, Item 1 – Our Business </w:t>
      </w:r>
      <w:r>
        <w:rPr>
          <w:rFonts w:ascii="Times New Roman;serif" w:hAnsi="Times New Roman;serif"/>
          <w:b w:val="false"/>
          <w:i w:val="false"/>
          <w:caps w:val="false"/>
          <w:smallCaps w:val="false"/>
          <w:sz w:val="20"/>
        </w:rPr>
        <w:t xml:space="preserve">of our 2023 Form 10-K. We now present a discussion of recent material developments. </w:t>
      </w:r>
    </w:p>
    <w:p>
      <w:pPr>
        <w:pStyle w:val="TextBody"/>
        <w:bidi w:val="0"/>
        <w:spacing w:lineRule="auto" w:line="259"/>
        <w:rPr>
          <w:rFonts w:ascii="Times New Roman;serif" w:hAnsi="Times New Roman;serif"/>
          <w:b/>
          <w:i/>
          <w:sz w:val="20"/>
        </w:rPr>
      </w:pPr>
      <w:bookmarkStart w:id="30" w:name="_Hlk166658387"/>
      <w:bookmarkEnd w:id="30"/>
      <w:r>
        <w:rPr>
          <w:rFonts w:ascii="Times New Roman;serif" w:hAnsi="Times New Roman;serif"/>
          <w:b/>
          <w:i/>
          <w:sz w:val="20"/>
        </w:rPr>
        <w:t>Cinema Additions and Pipeline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latest additions to our cinema portfolio as of September 30, 2024, were as follows:</w:t>
      </w:r>
    </w:p>
    <w:p>
      <w:pPr>
        <w:pStyle w:val="TextBody"/>
        <w:bidi w:val="0"/>
        <w:spacing w:lineRule="auto" w:line="259"/>
        <w:rPr/>
      </w:pPr>
      <w:r>
        <w:rPr>
          <w:caps w:val="false"/>
          <w:smallCaps w:val="false"/>
        </w:rPr>
        <w:t></w:t>
      </w:r>
      <w:bookmarkStart w:id="31" w:name="_Hlk43932591"/>
      <w:bookmarkStart w:id="32" w:name="_Hlk55806935"/>
      <w:bookmarkEnd w:id="31"/>
      <w:bookmarkEnd w:id="32"/>
      <w:r>
        <w:rPr>
          <w:rFonts w:ascii="Times New Roman;serif" w:hAnsi="Times New Roman;serif"/>
          <w:b w:val="false"/>
          <w:i/>
          <w:sz w:val="20"/>
          <w:u w:val="single"/>
        </w:rPr>
        <w:t>Armadale, Western Australia, Australia</w:t>
      </w:r>
      <w:r>
        <w:rPr>
          <w:rFonts w:ascii="Times New Roman;serif" w:hAnsi="Times New Roman;serif"/>
          <w:b w:val="false"/>
          <w:i/>
          <w:sz w:val="20"/>
        </w:rPr>
        <w:t xml:space="preserve">: </w:t>
      </w:r>
      <w:r>
        <w:rPr>
          <w:rFonts w:ascii="Times New Roman;serif" w:hAnsi="Times New Roman;serif"/>
          <w:b w:val="false"/>
          <w:i w:val="false"/>
          <w:caps w:val="false"/>
          <w:smallCaps w:val="false"/>
          <w:sz w:val="20"/>
        </w:rPr>
        <w:t>On January 13, 2023, we took over an existing six-screen cinema in Armadale, Australia, a suburb of Perth in Western Australia.</w:t>
      </w:r>
    </w:p>
    <w:p>
      <w:pPr>
        <w:pStyle w:val="TextBody"/>
        <w:bidi w:val="0"/>
        <w:spacing w:lineRule="auto" w:line="259"/>
        <w:rPr/>
      </w:pPr>
      <w:r>
        <w:rPr>
          <w:caps w:val="false"/>
          <w:smallCaps w:val="false"/>
        </w:rPr>
        <w:t></w:t>
      </w:r>
      <w:r>
        <w:rPr>
          <w:rFonts w:ascii="Times New Roman;serif" w:hAnsi="Times New Roman;serif"/>
          <w:b w:val="false"/>
          <w:i/>
          <w:sz w:val="20"/>
          <w:u w:val="single"/>
        </w:rPr>
        <w:t>South City Square, Brisbane, Australia:</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August 24, 2023, we launched our first-ever Angelika Cinemas outside of the United States at South City Square in Woolloongabba, Brisbane.</w:t>
      </w:r>
      <w:r>
        <w:rPr>
          <w:rFonts w:ascii="Symbol" w:hAnsi="Symbol"/>
          <w:sz w:val="20"/>
        </w:rPr>
        <w:t xml:space="preserve"> </w:t>
      </w:r>
      <w:r>
        <w:rPr>
          <w:rFonts w:ascii="Times New Roman;serif" w:hAnsi="Times New Roman;serif"/>
          <w:b w:val="false"/>
          <w:i w:val="false"/>
          <w:caps w:val="false"/>
          <w:smallCaps w:val="false"/>
          <w:sz w:val="20"/>
        </w:rPr>
        <w:t>The location operates as an eight-screen complex, featuring elevated F&amp;B offerings (including alcoholic beverages), and recliner seating. Three of the auditoriums, known as Soho Lounge cinemas, offer table service.</w:t>
      </w:r>
    </w:p>
    <w:p>
      <w:pPr>
        <w:pStyle w:val="TextBody"/>
        <w:bidi w:val="0"/>
        <w:spacing w:lineRule="auto" w:line="259"/>
        <w:rPr/>
      </w:pPr>
      <w:r>
        <w:rPr>
          <w:caps w:val="false"/>
          <w:smallCaps w:val="false"/>
        </w:rPr>
        <w:t></w:t>
      </w:r>
      <w:r>
        <w:rPr>
          <w:rFonts w:ascii="Times New Roman;serif" w:hAnsi="Times New Roman;serif"/>
          <w:b w:val="false"/>
          <w:i/>
          <w:sz w:val="20"/>
          <w:u w:val="single"/>
        </w:rPr>
        <w:t>Busselton,</w:t>
      </w:r>
      <w:r>
        <w:rPr>
          <w:rFonts w:ascii="Symbol" w:hAnsi="Symbol"/>
          <w:sz w:val="20"/>
          <w:u w:val="single"/>
        </w:rPr>
        <w:t xml:space="preserve"> </w:t>
      </w:r>
      <w:r>
        <w:rPr>
          <w:rFonts w:ascii="Times New Roman;serif" w:hAnsi="Times New Roman;serif"/>
          <w:b w:val="false"/>
          <w:i/>
          <w:sz w:val="20"/>
          <w:u w:val="single"/>
        </w:rPr>
        <w:t>Western Australia, Australia:</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September 22, 2023, we opened a five-screen complex in the newly expanded Busselton Central Shopping Centre precinct of Busselton, Western Australia. The state-of-the-art complex features a TITAN LUXE screen, elevated F&amp;B offerings, and recliner seating.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has also authorized management to proceed with the negotiation of lease for one new state-of-the-art cinema, located in Noosa, Queensland, Australia.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Cinema Upgrades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September 30, 2024, the upgrades to our cinema circuits’ film exhibition technology and amenities over the years are as summarized in the following table:</w:t>
      </w:r>
    </w:p>
    <w:tbl>
      <w:tblPr>
        <w:tblW w:w="5662" w:type="dxa"/>
        <w:jc w:val="left"/>
        <w:tblInd w:w="0" w:type="dxa"/>
        <w:tblLayout w:type="fixed"/>
        <w:tblCellMar>
          <w:top w:w="0" w:type="dxa"/>
          <w:left w:w="0" w:type="dxa"/>
          <w:bottom w:w="0" w:type="dxa"/>
          <w:right w:w="0" w:type="dxa"/>
        </w:tblCellMar>
      </w:tblPr>
      <w:tblGrid>
        <w:gridCol w:w="3676"/>
        <w:gridCol w:w="1246"/>
        <w:gridCol w:w="109"/>
        <w:gridCol w:w="631"/>
      </w:tblGrid>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br/>
              <w:t>‎Count</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24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Digital (all cinemas in our cinema circuit)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XC and TITAN LUXE</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 xml:space="preserve">Dine-in Service </w:t>
            </w:r>
          </w:p>
        </w:tc>
        <w:tc>
          <w:tcPr>
            <w:tcW w:w="12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Spotlight (U.S.)</w:t>
            </w:r>
            <w:r>
              <w:rPr>
                <w:rFonts w:ascii="Times New Roman;serif" w:hAnsi="Times New Roman;serif"/>
                <w:b w:val="false"/>
                <w:i w:val="false"/>
                <w:caps w:val="false"/>
                <w:smallCaps w:val="false"/>
                <w:position w:val="7"/>
                <w:sz w:val="16"/>
                <w:sz w:val="20"/>
              </w:rPr>
              <w:t>(3)</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position w:val="7"/>
                <w:sz w:val="16"/>
                <w:sz w:val="20"/>
              </w:rPr>
              <w:t>(4)</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Premium Seating (features recliner seating)</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w:t>
            </w:r>
            <w:r>
              <w:rPr>
                <w:rFonts w:ascii="Times New Roman;serif" w:hAnsi="Times New Roman;serif"/>
                <w:position w:val="7"/>
                <w:sz w:val="16"/>
                <w:sz w:val="20"/>
              </w:rPr>
              <w:t xml:space="preserve"> </w:t>
            </w:r>
            <w:r>
              <w:rPr>
                <w:rFonts w:ascii="Times New Roman;serif" w:hAnsi="Times New Roman;serif"/>
                <w:b w:val="false"/>
                <w:i/>
                <w:position w:val="7"/>
                <w:sz w:val="16"/>
                <w:sz w:val="20"/>
              </w:rPr>
              <w:t>(5)</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33" w:name="_Hlk69471211"/>
      <w:bookmarkEnd w:id="33"/>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i w:val="false"/>
          <w:caps w:val="false"/>
          <w:smallCaps w:val="false"/>
          <w:sz w:val="16"/>
        </w:rPr>
        <w:t>Spotlight Service: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Our first dine-in cinema concept in the U.S. at Reading Cinemas in Murrieta, California. Six of our 17 auditoriums at this cinema feature waiter service before the movie begins with a full F&amp;B menu, luxury recliner seating, and laser focus on customer service. Our Spotlight service has been temporarily suspended since the initial COVID-19 shutdown.</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bookmarkStart w:id="34" w:name="_Hlk54021673"/>
      <w:bookmarkEnd w:id="34"/>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(5)</w:t>
      </w:r>
      <w:bookmarkStart w:id="35" w:name="_Hlk100932312"/>
      <w:bookmarkEnd w:id="35"/>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Licenses are applicable at each cinema location, rather than each cinema auditorium. As of today, we (i) have licenses in 100% of our cinemas operating in the U.S. to sell beer and wine and (ii) we are working to add liquor to our licenses in our three New York City cinemas. In Australia, 83% of our cinemas are licensed and we have one liquor license pending. In New Zealand, 45% of our cinemas are licensed and we have no liquor licenses pending. </w:t>
      </w:r>
    </w:p>
    <w:p>
      <w:pPr>
        <w:pStyle w:val="TextBody"/>
        <w:bidi w:val="0"/>
        <w:spacing w:lineRule="auto" w:line="259"/>
        <w:ind w:left="360" w:right="0" w:hanging="0"/>
        <w:rPr>
          <w:rFonts w:ascii="Times New Roman;serif" w:hAnsi="Times New Roman;serif"/>
          <w:b/>
          <w:i/>
          <w:sz w:val="20"/>
        </w:rPr>
      </w:pPr>
      <w:r>
        <w:rPr>
          <w:rFonts w:ascii="Times New Roman;serif" w:hAnsi="Times New Roman;serif"/>
          <w:b/>
          <w:i/>
          <w:sz w:val="20"/>
        </w:rPr>
        <w:t>Recent Enhancements</w:t>
      </w:r>
    </w:p>
    <w:p>
      <w:pPr>
        <w:pStyle w:val="TextBody"/>
        <w:bidi w:val="0"/>
        <w:spacing w:lineRule="auto" w:line="259"/>
        <w:rPr>
          <w:rFonts w:ascii="Times New Roman;serif" w:hAnsi="Times New Roman;serif"/>
          <w:b w:val="false"/>
          <w:i/>
          <w:sz w:val="20"/>
        </w:rPr>
      </w:pPr>
      <w:bookmarkStart w:id="36" w:name="_Hlk69843594"/>
      <w:bookmarkEnd w:id="36"/>
      <w:r>
        <w:rPr>
          <w:rFonts w:ascii="Times New Roman;serif" w:hAnsi="Times New Roman;serif"/>
          <w:b w:val="false"/>
          <w:i/>
          <w:sz w:val="20"/>
        </w:rPr>
        <w:t>United States</w:t>
      </w:r>
    </w:p>
    <w:p>
      <w:pPr>
        <w:pStyle w:val="TextBody"/>
        <w:bidi w:val="0"/>
        <w:spacing w:lineRule="auto" w:line="259"/>
        <w:rPr/>
      </w:pPr>
      <w:r>
        <w:rPr>
          <w:caps w:val="false"/>
          <w:smallCaps w:val="false"/>
        </w:rPr>
        <w:t></w:t>
      </w:r>
      <w:r>
        <w:rPr>
          <w:rFonts w:ascii="Times New Roman;serif" w:hAnsi="Times New Roman;serif"/>
          <w:b w:val="false"/>
          <w:i/>
          <w:sz w:val="20"/>
          <w:u w:val="single"/>
        </w:rPr>
        <w:t>Renovation Work</w:t>
      </w:r>
      <w:r>
        <w:rPr>
          <w:rFonts w:ascii="Times New Roman;serif" w:hAnsi="Times New Roman;serif"/>
          <w:b w:val="false"/>
          <w:i w:val="false"/>
          <w:caps w:val="false"/>
          <w:smallCaps w:val="false"/>
          <w:sz w:val="20"/>
        </w:rPr>
        <w:t>: As of September 30, 2024, we have converted 110 of our 193 U.S. auditoriums to luxury recliner seating. As of the date of this Report, we are continuing to engage in discussions with certain landlords in the U.S. about tenant allowances to upgrade certain U.S. cinemas.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rPr/>
      </w:pPr>
      <w:r>
        <w:rPr>
          <w:caps w:val="false"/>
          <w:smallCaps w:val="false"/>
        </w:rPr>
        <w:t></w:t>
      </w:r>
      <w:r>
        <w:rPr>
          <w:rFonts w:ascii="Times New Roman;serif" w:hAnsi="Times New Roman;serif"/>
          <w:b w:val="false"/>
          <w:i/>
          <w:sz w:val="20"/>
          <w:u w:val="single"/>
        </w:rPr>
        <w:t>Other Cinema Upgrades</w:t>
      </w:r>
      <w:r>
        <w:rPr>
          <w:rFonts w:ascii="Times New Roman;serif" w:hAnsi="Times New Roman;serif"/>
          <w:b w:val="false"/>
          <w:i w:val="false"/>
          <w:caps w:val="false"/>
          <w:smallCaps w:val="false"/>
          <w:sz w:val="20"/>
        </w:rPr>
        <w:t>: In addition, during the three-year period of 2021 to 2023, we improved our Reading Cinemas in Epping (VIC), Sunbury (VIC) and the State Cinema (TAS) in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remainder of 2024, we will continue to focus on the enhancement of our proprietary online ticketing and Food &amp; Beverage capabilities, together with improving and expanding our social media platforms and interfaces and the development of a paid subscription plan, plus the relaunching of our loyalty program in Australia and New Zealand. These are intended to enhance the convenience of our offerings and to promote guest affinity with the experiences and products we offer. </w:t>
      </w:r>
    </w:p>
    <w:p>
      <w:pPr>
        <w:pStyle w:val="TextBody"/>
        <w:bidi w:val="0"/>
        <w:spacing w:lineRule="auto" w:line="259"/>
        <w:rPr>
          <w:rFonts w:ascii="Times New Roman;serif" w:hAnsi="Times New Roman;serif"/>
          <w:b/>
          <w:i/>
          <w:sz w:val="20"/>
        </w:rPr>
      </w:pPr>
      <w:bookmarkStart w:id="37" w:name="_Hlk174452615"/>
      <w:bookmarkEnd w:id="37"/>
      <w:r>
        <w:rPr>
          <w:rFonts w:ascii="Times New Roman;serif" w:hAnsi="Times New Roman;serif"/>
          <w:b/>
          <w:i/>
          <w:sz w:val="20"/>
        </w:rPr>
        <w:t>Cinema 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May 7, 2023, The Hutt Pop-Up in New Zealand was permanently closed due to the expiration of our lease for that location. We chose not to continue the cinema as it was only brought online as a “pop up” to address a temporary opening in the market. Since the fourth quarter of 2022, we have closed five cinema locations, all of which were loss makers: three in Hawaii, one in Northern California and one in Texas.</w:t>
      </w:r>
    </w:p>
    <w:p>
      <w:pPr>
        <w:pStyle w:val="TextBody"/>
        <w:bidi w:val="0"/>
        <w:spacing w:lineRule="auto" w:line="259"/>
        <w:rPr>
          <w:caps w:val="false"/>
          <w:smallCaps w:val="false"/>
        </w:rPr>
      </w:pPr>
      <w:bookmarkStart w:id="38" w:name="_Hlk69461361"/>
      <w:bookmarkEnd w:id="38"/>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Overview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Through our various subsidiaries, we engage in the real estate business through the development, ownership, rental or licensing to third parties of retail, commercial, and live theatre assets. Our real estate business is intended to create long-term value for our stockholders through the continuous improvement and development of our investment and operating properties, including our ETCs, and has, in recent times and will over the next 12 months, assist our liquidity needs through various asset monetizations. In addition to owning the fee interests in nine of our cinemas (as presented in the table under </w:t>
      </w:r>
      <w:r>
        <w:rPr>
          <w:rFonts w:ascii="Times New Roman;serif" w:hAnsi="Times New Roman;serif"/>
          <w:b w:val="false"/>
          <w:i/>
          <w:sz w:val="20"/>
        </w:rPr>
        <w:t>Cinema Exhibition Overview</w:t>
      </w:r>
      <w:r>
        <w:rPr>
          <w:rFonts w:ascii="Times New Roman;serif" w:hAnsi="Times New Roman;serif"/>
          <w:b w:val="false"/>
          <w:i w:val="false"/>
          <w:caps w:val="false"/>
          <w:smallCaps w:val="false"/>
          <w:sz w:val="20"/>
        </w:rPr>
        <w:t xml:space="preserve">), as of September 30, 2024, we: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two ETCs known as Newmarket Village (in a suburb of Brisbane) and the Belmont Common (in a suburb of Perth)in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another ETC known as Cannon Park in Townsville, Australia, which is currently held for sale; </w:t>
      </w:r>
    </w:p>
    <w:p>
      <w:pPr>
        <w:pStyle w:val="TextBody"/>
        <w:bidi w:val="0"/>
        <w:spacing w:lineRule="auto" w:line="259"/>
        <w:ind w:left="720" w:right="0" w:hanging="360"/>
        <w:jc w:val="both"/>
        <w:rPr/>
      </w:pPr>
      <w:r>
        <w:rPr>
          <w:caps w:val="false"/>
          <w:smallCaps w:val="false"/>
        </w:rPr>
        <w:t xml:space="preserve"> </w:t>
      </w:r>
      <w:r>
        <w:rPr>
          <w:rFonts w:ascii="Times New Roman;serif" w:hAnsi="Times New Roman;serif"/>
          <w:b w:val="false"/>
          <w:i w:val="false"/>
          <w:caps w:val="false"/>
          <w:smallCaps w:val="false"/>
          <w:sz w:val="20"/>
        </w:rPr>
        <w:t>own property assets in Wellington, New Zealand (including Courtenay Central , historically operated as an ETC), which are all currently held for sale;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the fee interests in two developed commercial properties in Manhattan improved with live theatres comprised of a single stage in each location;</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 75% managing member interest in a limited liability company which in turn owns the fee interest in and improvements constituting our Cinemas 1,2,3 located in Manhattan;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 approximately 26.6-acre property in Williamsport, Pennsylvania, which is currently being held for sale; and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in downtown Philadelphia.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real estate assets, made current by our discussion below, please refer to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 xml:space="preserve">Our Business </w:t>
      </w:r>
      <w:r>
        <w:rPr>
          <w:rFonts w:ascii="Times New Roman;serif" w:hAnsi="Times New Roman;serif"/>
          <w:b w:val="false"/>
          <w:i w:val="false"/>
          <w:caps w:val="false"/>
          <w:smallCaps w:val="false"/>
          <w:sz w:val="20"/>
        </w:rPr>
        <w:t>of our 2023 Form 10-K. We now present a discussion of recent material developments.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Held for Development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combination of the COVID-19 pandemic, the lack of any material U.S. public pandemic financial assistance due to our public company status, the 2023 Hollywood Strike, increased interest rates, inflation, increased labor costs, and decreases in the value of the Australian Dollar and New Zealand Dollar vise a vise the U.S. Dollar,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long-term development.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date, we have monetized the following property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(i)Our non-income producing land holdings in Coachella, California and Manukau,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(ii)Our Redyard ETC in Auburn, Australia;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(iii)Our Royal George live theatre complex in Chicago (slated for redevelopment, and now being redeveloped for residential purposes by the new owner);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(iv)The land underlying our cinema in Invercargill,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(v)Our non-competitive four-screen strata title cinema in Maitland, Australia;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(vi)Our administrative office building in Culver City, California.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properties were identified for sale and sold in significant part because of (i) our need for liquidity due to the circumstances referred to above, (ii) the amount of capital required to materially increase their value in the immediate to mid-term, (iii) they were either non-income producing or provided immaterial cash flow and (iv) in the case of our Culver City office building, the property was not required for our operations because it exceeded our office size requirements.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the date of this Report, we continue to have the following properties classified as held for sale: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(i)The land underlying our cinema in Rotorua, New Zealand;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(ii)Our approximately 3.7 acre five-parcel assemblage in the entertainment center of Wellington, New Zealand, which includes the Courtenay Central building;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(iii)Our ETC properties in Townsville (QLD) in Australia known as Cannon Park;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(iv)Our approximately 24 acre Newberry Yard in Williamsport, Pennsylvania (also currently non-income producing).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case of Rotorua, Courtenay Central and Cannon Park, if the potential buyer elects to have a cinema use on the property, we intend to lease back our existing Reading Cinema or a potentially new cinema, in the event the potential buyer elects to build a new cinema. Our remaining assets held for development include the Cinemas 1,2,3 in Manhattan, and our various historic railroad properties, the principal of these being our holding in downtown Philadelphia, which is discussed in greater detail below.</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ind w:left="720" w:right="0" w:hanging="360"/>
        <w:jc w:val="both"/>
        <w:rPr/>
      </w:pPr>
      <w:r>
        <w:rPr>
          <w:caps w:val="false"/>
          <w:smallCaps w:val="false"/>
        </w:rPr>
        <w:t></w:t>
      </w:r>
      <w:bookmarkStart w:id="39" w:name="_Hlk69846917"/>
      <w:bookmarkEnd w:id="39"/>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On January 27, 2022, we finalized a long-term lease agreement with Petco, securing occupancy of the cellar, ground floor, and second floor of the building, amounting to 42% of the leasable area. Petco commenced full-rent, cash-paying occupancy and officially opened its doors to the public on June 1, 2023. During mid-March 2024, we engaged George Comfort &amp; Sons as our exclusive leasing broker for the remaining space. Originally designated for office use, the property's striking presence in Union Square, coupled with the resurgence of foot traffic in the area, and its exceptional branding potential, prompt us to explore a spectrum of uses beyond traditional office tenants. This includes consideration for short-term and special-purpose arrangements. Also, we are advised by our broker that in the last two months there have been an increase in the number of inquiries regarding rates and availability compared to earlier periods in 2024.</w:t>
      </w:r>
    </w:p>
    <w:p>
      <w:pPr>
        <w:pStyle w:val="TextBody"/>
        <w:bidi w:val="0"/>
        <w:spacing w:lineRule="auto" w:line="259" w:before="0" w:after="120"/>
        <w:ind w:left="720" w:right="0" w:hanging="360"/>
        <w:jc w:val="both"/>
        <w:rPr>
          <w:caps w:val="false"/>
          <w:smallCaps w:val="false"/>
        </w:rPr>
      </w:pPr>
      <w:r>
        <w:rPr>
          <w:caps w:val="false"/>
          <w:smallCaps w:val="false"/>
        </w:rPr>
        <w:t></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Minetta Lane Theatre (New York, N.Y.)</w:t>
      </w:r>
      <w:r>
        <w:rPr>
          <w:rFonts w:ascii="Symbol" w:hAnsi="Symbol"/>
          <w:caps w:val="false"/>
          <w:smallCaps w:val="false"/>
          <w:sz w:val="20"/>
        </w:rPr>
        <w:t xml:space="preserve"> – </w:t>
      </w:r>
      <w:bookmarkStart w:id="40" w:name="_Hlk165750992"/>
      <w:bookmarkEnd w:id="40"/>
      <w:r>
        <w:rPr>
          <w:rFonts w:ascii="Times New Roman;serif" w:hAnsi="Times New Roman;serif"/>
          <w:b w:val="false"/>
          <w:i w:val="false"/>
          <w:caps w:val="false"/>
          <w:smallCaps w:val="false"/>
          <w:sz w:val="20"/>
        </w:rPr>
        <w:t>Prior to the pandemic, our theater hosted Audible productions featuring a limited cast and special live performances streamed on the Audible platform. Public performances resumed on October 8, 2021, after an approximate 1.5-year hiatus due to the COVID-19 pandemic, during which we provided certain abatements. Audible has since resumed full operations and extended its license agreement with us through March 15, 2026, with an option to extend for an additional year.</w:t>
      </w:r>
      <w:r>
        <w:rPr>
          <w:rFonts w:ascii="Symbol" w:hAnsi="Symbol"/>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before="100" w:after="120"/>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 </w:t>
      </w:r>
      <w:r>
        <w:rPr>
          <w:rFonts w:ascii="Times New Roman;serif" w:hAnsi="Times New Roman;serif"/>
          <w:b w:val="false"/>
          <w:i w:val="false"/>
          <w:caps w:val="false"/>
          <w:smallCaps w:val="false"/>
          <w:sz w:val="20"/>
        </w:rPr>
        <w:t xml:space="preserve">Before COVID-19, our Orpheum Theatre was home to STOMP. While shows ceased from April 2020 to June 2021 due to the pandemic, performances afterward were intermittent. During this time, we provided certain abatements. STOMP concluded its 30-year run at our theater on January 8, 2023. Under our termination agreement, we retain the rights to host any future productions of the show. Following STOMP's departure, new productions such as </w:t>
      </w:r>
      <w:r>
        <w:rPr>
          <w:rFonts w:ascii="Times New Roman;serif" w:hAnsi="Times New Roman;serif"/>
          <w:b w:val="false"/>
          <w:i/>
          <w:sz w:val="20"/>
        </w:rPr>
        <w:t>The Empire Strips Back</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and Comedian Rachel Bloom's </w:t>
      </w:r>
      <w:r>
        <w:rPr>
          <w:rFonts w:ascii="Times New Roman;serif" w:hAnsi="Times New Roman;serif"/>
          <w:b w:val="false"/>
          <w:i/>
          <w:sz w:val="20"/>
        </w:rPr>
        <w:t>Death, Let Me Do My Show</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brought fresh excitement to audiences during 2023. During the first quarter of 2024, the Orpheum hosted Eddie Izzard’s </w:t>
      </w:r>
      <w:r>
        <w:rPr>
          <w:rFonts w:ascii="Times New Roman;serif" w:hAnsi="Times New Roman;serif"/>
          <w:b w:val="false"/>
          <w:i/>
          <w:sz w:val="20"/>
        </w:rPr>
        <w:t>Hamlet</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which had a four-week run through April 14, 2024. And, on September 14, 2024 performances of </w:t>
      </w:r>
      <w:r>
        <w:rPr>
          <w:rFonts w:ascii="Times New Roman;serif" w:hAnsi="Times New Roman;serif"/>
          <w:b w:val="false"/>
          <w:i/>
          <w:sz w:val="20"/>
        </w:rPr>
        <w:t>The Big Gay Jamboree</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began at the Orpheum. This new show from a book by Marla Mindelle, the co-author and original star of the Off Broadway hit musical-comedy </w:t>
      </w:r>
      <w:r>
        <w:rPr>
          <w:rFonts w:ascii="Times New Roman;serif" w:hAnsi="Times New Roman;serif"/>
          <w:b w:val="false"/>
          <w:i/>
          <w:sz w:val="20"/>
        </w:rPr>
        <w:t xml:space="preserve">Titanique </w:t>
      </w:r>
      <w:r>
        <w:rPr>
          <w:rFonts w:ascii="Times New Roman;serif" w:hAnsi="Times New Roman;serif"/>
          <w:b w:val="false"/>
          <w:i w:val="false"/>
          <w:caps w:val="false"/>
          <w:smallCaps w:val="false"/>
          <w:sz w:val="20"/>
        </w:rPr>
        <w:t>is being produced by</w:t>
      </w:r>
      <w:r>
        <w:rPr>
          <w:rFonts w:ascii="Symbol" w:hAnsi="Symbol"/>
          <w:sz w:val="20"/>
        </w:rPr>
        <w:t xml:space="preserve"> </w:t>
      </w:r>
      <w:r>
        <w:rPr>
          <w:rFonts w:ascii="Times New Roman;serif" w:hAnsi="Times New Roman;serif"/>
          <w:b w:val="false"/>
          <w:i/>
          <w:sz w:val="20"/>
        </w:rPr>
        <w:t xml:space="preserve">(i) </w:t>
      </w:r>
      <w:r>
        <w:rPr>
          <w:rFonts w:ascii="Times New Roman;serif" w:hAnsi="Times New Roman;serif"/>
          <w:b w:val="false"/>
          <w:i w:val="false"/>
          <w:caps w:val="false"/>
          <w:smallCaps w:val="false"/>
          <w:sz w:val="20"/>
        </w:rPr>
        <w:t>LuckyChap, the producing team, which includes Margot Robbie, behind </w:t>
      </w:r>
      <w:r>
        <w:rPr>
          <w:rFonts w:ascii="Times New Roman;serif" w:hAnsi="Times New Roman;serif"/>
          <w:b w:val="false"/>
          <w:i/>
          <w:sz w:val="20"/>
        </w:rPr>
        <w:t>Barbie</w:t>
      </w:r>
      <w:r>
        <w:rPr>
          <w:rFonts w:ascii="Symbol" w:hAnsi="Symbol"/>
          <w:caps w:val="false"/>
          <w:smallCaps w:val="false"/>
          <w:sz w:val="20"/>
        </w:rPr>
        <w:t> </w:t>
      </w:r>
      <w:r>
        <w:rPr>
          <w:rFonts w:ascii="Times New Roman;serif" w:hAnsi="Times New Roman;serif"/>
          <w:b w:val="false"/>
          <w:i w:val="false"/>
          <w:caps w:val="false"/>
          <w:smallCaps w:val="false"/>
          <w:sz w:val="20"/>
        </w:rPr>
        <w:t>and </w:t>
      </w:r>
      <w:r>
        <w:rPr>
          <w:rFonts w:ascii="Times New Roman;serif" w:hAnsi="Times New Roman;serif"/>
          <w:b w:val="false"/>
          <w:i/>
          <w:sz w:val="20"/>
        </w:rPr>
        <w:t>Saltburn</w:t>
      </w:r>
      <w:r>
        <w:rPr>
          <w:rFonts w:ascii="Symbol" w:hAnsi="Symbol"/>
          <w:caps w:val="false"/>
          <w:smallCaps w:val="false"/>
          <w:sz w:val="20"/>
        </w:rPr>
        <w:t> </w:t>
      </w:r>
      <w:r>
        <w:rPr>
          <w:rFonts w:ascii="Times New Roman;serif" w:hAnsi="Times New Roman;serif"/>
          <w:b w:val="false"/>
          <w:i w:val="false"/>
          <w:caps w:val="false"/>
          <w:smallCaps w:val="false"/>
          <w:sz w:val="20"/>
        </w:rPr>
        <w:t>and (ii) multiple-Tony-winning Broadway producing veterans Sue Wagner and John Johnson (</w:t>
      </w:r>
      <w:r>
        <w:rPr>
          <w:rFonts w:ascii="Times New Roman;serif" w:hAnsi="Times New Roman;serif"/>
          <w:b w:val="false"/>
          <w:i/>
          <w:sz w:val="20"/>
        </w:rPr>
        <w:t>Stereophonic, Lempicka</w:t>
      </w:r>
      <w:r>
        <w:rPr>
          <w:rFonts w:ascii="Times New Roman;serif" w:hAnsi="Times New Roman;serif"/>
          <w:b w:val="false"/>
          <w:i w:val="false"/>
          <w:caps w:val="false"/>
          <w:smallCaps w:val="false"/>
          <w:sz w:val="20"/>
        </w:rPr>
        <w:t>).</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Cinemas 1,2,3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Currently operated as the Cinemas 123 by Angelika,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color w:val="000000"/>
        </w:rPr>
        <w:t></w:t>
      </w:r>
      <w:r>
        <w:rPr>
          <w:rFonts w:ascii="Times New Roman;serif" w:hAnsi="Times New Roman;serif"/>
          <w:b w:val="false"/>
          <w:i/>
          <w:sz w:val="20"/>
          <w:u w:val="single"/>
        </w:rPr>
        <w:t>The Philadelphia Viaduct and Adjacent Properties (Philadelphia, Pennsylvania)</w:t>
      </w:r>
      <w:r>
        <w:rPr>
          <w:rFonts w:ascii="Symbol" w:hAnsi="Symbol"/>
          <w:sz w:val="20"/>
        </w:rPr>
        <w:t xml:space="preserve"> – </w:t>
      </w:r>
      <w:r>
        <w:rPr>
          <w:rFonts w:ascii="Times New Roman;serif" w:hAnsi="Times New Roman;serif"/>
          <w:b w:val="false"/>
          <w:i w:val="false"/>
          <w:caps w:val="false"/>
          <w:smallCaps w:val="false"/>
          <w:color w:val="000000"/>
          <w:sz w:val="20"/>
        </w:rPr>
        <w:t xml:space="preserve">The Reading Viaduct is an 0.7-mile-long raised rail bed and bridge system that spans the Callowhill and Poplar neighborhoods and extends to Vine Street in the heart of the city's Central Business District, near the proposed new home of the Philadelphia 76ers. Comprising approximately 6.5 acres of land, along with various connecting bridges over public streets and sidewalks, the Reading Viaduct represents a significant contiguous land holding unobstructed by public thoroughfares. </w:t>
      </w:r>
    </w:p>
    <w:p>
      <w:pPr>
        <w:pStyle w:val="TextBody"/>
        <w:bidi w:val="0"/>
        <w:spacing w:lineRule="auto" w:line="259" w:before="0" w:after="120"/>
        <w:ind w:left="720" w:right="0"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While we believe there continues to be interest from the City of Philadelphia and the City Center District in acquiring the Reading Viaduct for park purposes and while the City did pass an ordinance last year to facilitate an acquisition through condemnation, no concrete steps have been taken to proceed with condemnation or transfer of the property. Recent developments in the area include the announcement of a $158 million federal grant for the Chinatown Stitch project in mid-March 2024, which further highlight the potential of the Reading Viaduct. The Chinatown Stitch project aims to reconnect the Chinatown community and surrounding neighborhoods by capping the Vine Street Expressway I-676, which directly intersects with the Reading Viaduct at Vine Street. We believe that capping the expressway at our property would significantly enhance the attractiveness and viability of the Reading Viaduct for future development. </w:t>
      </w:r>
    </w:p>
    <w:p>
      <w:pPr>
        <w:pStyle w:val="TextBody"/>
        <w:bidi w:val="0"/>
        <w:spacing w:lineRule="auto" w:line="259"/>
        <w:ind w:left="360" w:right="0" w:hanging="360"/>
        <w:jc w:val="both"/>
        <w:rPr/>
      </w:pPr>
      <w:r>
        <w:rPr>
          <w:caps w:val="false"/>
          <w:smallCaps w:val="false"/>
        </w:rPr>
        <w:t></w:t>
      </w:r>
      <w:r>
        <w:rPr>
          <w:rFonts w:ascii="Times New Roman;serif" w:hAnsi="Times New Roman;serif"/>
          <w:b w:val="false"/>
          <w:i/>
          <w:sz w:val="20"/>
        </w:rPr>
        <w:t>Australia:</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sz w:val="20"/>
        </w:rPr>
        <w:t xml:space="preserve"> – </w:t>
      </w:r>
      <w:r>
        <w:rPr>
          <w:rFonts w:ascii="Times New Roman;serif" w:hAnsi="Times New Roman;serif"/>
          <w:b w:val="false"/>
          <w:i w:val="false"/>
          <w:caps w:val="false"/>
          <w:smallCaps w:val="false"/>
          <w:sz w:val="20"/>
        </w:rPr>
        <w:t>Through 2024 and into 2025 we plan to continue operating our Newmarket Village ETC, which includes Reading Cinemas as an anchor tenant. Our site includes a 23,218 square foot parcel adjacent to the center, improved with an office building. Over the next few years, we will be evaluating different development options for this space. As of the date of this Report, the combined center and office building is 99% leased.</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sz w:val="20"/>
          <w:u w:val="single"/>
        </w:rPr>
        <w:t>Cannon Park Center ETC (Queensland,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own two adjoining properties in Townsville, Queensland, Australia, (Cannon Park City Center and Cannon Park Discount Center) comprising approximately 9.4-acres which we operate as our Cannon Park Center ETC. The total gross</w:t>
      </w:r>
      <w:r>
        <w:rPr>
          <w:rFonts w:ascii="Symbol" w:hAnsi="Symbol"/>
          <w:caps w:val="false"/>
          <w:smallCaps w:val="false"/>
          <w:sz w:val="20"/>
        </w:rPr>
        <w:t xml:space="preserve"> </w:t>
      </w:r>
      <w:r>
        <w:rPr>
          <w:rFonts w:ascii="Times New Roman;serif" w:hAnsi="Times New Roman;serif"/>
          <w:b w:val="false"/>
          <w:i w:val="false"/>
          <w:caps w:val="false"/>
          <w:smallCaps w:val="false"/>
          <w:sz w:val="20"/>
        </w:rPr>
        <w:t>leasable area of the two properties is 126,368 square feet. Our six-screen Reading Cinema is an anchor tenant. These properties are currently 94% leased. This property is currently being marketed for sale.</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Belmont Common (Belmont, Perth, Australia)</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The total gross leasable area of the Belmont Common is 60,116 square feet. Our ten-screen Reading Cinema is the anchor tenant with six third-party tenants. The site is currently 100% leased.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rPr/>
      </w:pPr>
      <w:r>
        <w:rPr>
          <w:caps w:val="false"/>
          <w:smallCaps w:val="false"/>
        </w:rPr>
        <w:t></w:t>
      </w:r>
      <w:bookmarkStart w:id="41" w:name="_Hlk100937603"/>
      <w:bookmarkStart w:id="42" w:name="_Hlk108184944"/>
      <w:bookmarkEnd w:id="41"/>
      <w:bookmarkEnd w:id="42"/>
      <w:r>
        <w:rPr>
          <w:rFonts w:ascii="Times New Roman;serif" w:hAnsi="Times New Roman;serif"/>
          <w:b w:val="false"/>
          <w:i/>
          <w:sz w:val="20"/>
          <w:u w:val="single"/>
        </w:rPr>
        <w:t>Wellington, New Zealand, including Courtenay Central.</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Wellington properties include five contiguous parcels representing approximately 161,082 square feet of land located in the entertainment core of Wellington and within walking distance and offering direct views of Wellington Harbor. Assembled over a period of years, we believe our properties represent the largest commercial assemblage available anywhere in Wellington. After recently encountering certain challenges with our development plans, we engaged JLL as our exclusive sales agent to market these key property assets that represent a once-in-a-lifetime development opportunity for a well-capitalized buyer. The June 2023 opening of Takina, Wellington’s first and state-of-the-art Convention and Exhibition Center (wcec.co.nz) directly across the street from our properties, the loosening of certain height and density restrictions, and the lack of comparable building sites, are among the characteristics that we believe make this development site a generational opportunity.</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It is our intention to structure any monetization transaction to preserve for us the right to lease or operate any cinema that is built or operated on the assemblage, in the future.</w:t>
      </w:r>
    </w:p>
    <w:p>
      <w:pPr>
        <w:pStyle w:val="TextBody"/>
        <w:bidi w:val="0"/>
        <w:spacing w:lineRule="auto" w:line="259" w:before="100" w:after="120"/>
        <w:jc w:val="both"/>
        <w:rPr>
          <w:rFonts w:ascii="Times New Roman;serif" w:hAnsi="Times New Roman;serif"/>
          <w:sz w:val="20"/>
        </w:rPr>
      </w:pPr>
      <w:r>
        <w:rPr>
          <w:rFonts w:ascii="Times New Roman;serif" w:hAnsi="Times New Roman;serif"/>
          <w:b w:val="false"/>
          <w:i w:val="false"/>
          <w:caps w:val="false"/>
          <w:smallCaps w:val="false"/>
          <w:sz w:val="20"/>
        </w:rPr>
        <w:t xml:space="preserve">For a complete list of our principal properties, see </w:t>
      </w:r>
      <w:r>
        <w:rPr>
          <w:rFonts w:ascii="Times New Roman;serif" w:hAnsi="Times New Roman;serif"/>
          <w:b w:val="false"/>
          <w:i/>
          <w:sz w:val="20"/>
        </w:rPr>
        <w:t>Part I, 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heading “</w:t>
      </w:r>
      <w:r>
        <w:rPr>
          <w:rFonts w:ascii="Times New Roman;serif" w:hAnsi="Times New Roman;serif"/>
          <w:b w:val="false"/>
          <w:i/>
          <w:sz w:val="20"/>
        </w:rPr>
        <w:t xml:space="preserve">Investment and Development Property” </w:t>
      </w:r>
      <w:r>
        <w:rPr>
          <w:rFonts w:ascii="Times New Roman;serif" w:hAnsi="Times New Roman;serif"/>
          <w:b w:val="false"/>
          <w:i w:val="false"/>
          <w:caps w:val="false"/>
          <w:smallCaps w:val="false"/>
          <w:sz w:val="20"/>
        </w:rPr>
        <w:t>in our 2023 Form 10-K”</w:t>
      </w:r>
    </w:p>
    <w:p>
      <w:pPr>
        <w:pStyle w:val="TextBody"/>
        <w:bidi w:val="0"/>
        <w:spacing w:lineRule="auto" w:line="259"/>
        <w:rPr>
          <w:rFonts w:ascii="Times New Roman;serif" w:hAnsi="Times New Roman;serif"/>
          <w:b/>
          <w:i/>
          <w:sz w:val="20"/>
        </w:rPr>
      </w:pPr>
      <w:r>
        <w:rPr>
          <w:rFonts w:ascii="Times New Roman;serif" w:hAnsi="Times New Roman;serif"/>
          <w:b/>
          <w:i/>
          <w:sz w:val="20"/>
        </w:rPr>
        <w:t>Corporate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 xml:space="preserve">Part I – Financial Information, Item 1 – Notes to Consolidated Financial Statements-- Note 17 – Stock-Based Compensation and Stock Repurchases </w:t>
      </w:r>
      <w:r>
        <w:rPr>
          <w:rFonts w:ascii="Times New Roman;serif" w:hAnsi="Times New Roman;serif"/>
          <w:b w:val="false"/>
          <w:i w:val="false"/>
          <w:caps w:val="false"/>
          <w:smallCaps w:val="false"/>
          <w:sz w:val="20"/>
        </w:rPr>
        <w:t xml:space="preserve">for details regarding our stock repurchase program and Board, Executive and Employee stock-based remuneration programs.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Please refer to our 2023 Form 10-K for more details on our cinema and real estate segments.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results of operations for each of our principal business segments along with the non-segment information for the quarter and nine months ended September 30, 2024, and September 30, 2023, respectively:</w:t>
      </w:r>
    </w:p>
    <w:tbl>
      <w:tblPr>
        <w:tblW w:w="10205" w:type="dxa"/>
        <w:jc w:val="left"/>
        <w:tblInd w:w="0" w:type="dxa"/>
        <w:tblLayout w:type="fixed"/>
        <w:tblCellMar>
          <w:top w:w="0" w:type="dxa"/>
          <w:left w:w="0" w:type="dxa"/>
          <w:bottom w:w="0" w:type="dxa"/>
          <w:right w:w="0" w:type="dxa"/>
        </w:tblCellMar>
      </w:tblPr>
      <w:tblGrid>
        <w:gridCol w:w="124"/>
        <w:gridCol w:w="2792"/>
        <w:gridCol w:w="109"/>
        <w:gridCol w:w="254"/>
        <w:gridCol w:w="862"/>
        <w:gridCol w:w="109"/>
        <w:gridCol w:w="254"/>
        <w:gridCol w:w="862"/>
        <w:gridCol w:w="109"/>
        <w:gridCol w:w="277"/>
        <w:gridCol w:w="277"/>
        <w:gridCol w:w="494"/>
        <w:gridCol w:w="109"/>
        <w:gridCol w:w="230"/>
        <w:gridCol w:w="887"/>
        <w:gridCol w:w="109"/>
        <w:gridCol w:w="230"/>
        <w:gridCol w:w="887"/>
        <w:gridCol w:w="109"/>
        <w:gridCol w:w="277"/>
        <w:gridCol w:w="277"/>
        <w:gridCol w:w="567"/>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79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4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8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8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567"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79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41"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4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Nine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r>
      <w:tr>
        <w:trPr/>
        <w:tc>
          <w:tcPr>
            <w:tcW w:w="291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48"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w:t>
              <w:br/>
              <w:t>‎(Unfav)</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1"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w:t>
              <w:br/>
              <w:t>‎(Unfav)</w:t>
            </w:r>
          </w:p>
        </w:tc>
      </w:tr>
      <w:tr>
        <w:trPr/>
        <w:tc>
          <w:tcPr>
            <w:tcW w:w="2916" w:type="dxa"/>
            <w:gridSpan w:val="2"/>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62,687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140,570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165,731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4,898</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5,056</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4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14,844</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15,338</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56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4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56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60,090</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66,562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w:t>
            </w:r>
          </w:p>
        </w:tc>
        <w:tc>
          <w:tcPr>
            <w:tcW w:w="49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151,951</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177,425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56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49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567"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(50,535)</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(54,458)</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4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(132,972)</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(149,941)</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6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1,165</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1,181</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4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3,463</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3,644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5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(55,558)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4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(136,310)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(152,897)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6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(1,210)</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w:t>
            </w:r>
          </w:p>
        </w:tc>
        <w:tc>
          <w:tcPr>
            <w:tcW w:w="4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(4,084)</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(4,830)</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5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w:t>
            </w:r>
          </w:p>
        </w:tc>
        <w:tc>
          <w:tcPr>
            <w:tcW w:w="4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(13,381)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56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(231)</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c>
          <w:tcPr>
            <w:tcW w:w="4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(725)</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(696)</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5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4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56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1,396</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920</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w:t>
            </w:r>
          </w:p>
        </w:tc>
        <w:tc>
          <w:tcPr>
            <w:tcW w:w="4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3,234</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3,212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5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w:t>
            </w:r>
          </w:p>
        </w:tc>
        <w:tc>
          <w:tcPr>
            <w:tcW w:w="49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7,468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(99)</w:t>
            </w:r>
          </w:p>
        </w:tc>
        <w:tc>
          <w:tcPr>
            <w:tcW w:w="5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91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NON-SEGMENT RESULTS</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(3,845)</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(4,124)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4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(11,928)</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(12,014)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56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(15,766)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(14,063)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217</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w:t>
            </w:r>
          </w:p>
        </w:tc>
        <w:tc>
          <w:tcPr>
            <w:tcW w:w="4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164</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w:t>
            </w:r>
          </w:p>
        </w:tc>
        <w:tc>
          <w:tcPr>
            <w:tcW w:w="56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4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6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(715)</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267</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(592)</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356</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79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w:t>
            </w:r>
          </w:p>
        </w:tc>
        <w:tc>
          <w:tcPr>
            <w:tcW w:w="4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(29,645)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56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(700)</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(896)</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w:t>
            </w:r>
          </w:p>
        </w:tc>
        <w:tc>
          <w:tcPr>
            <w:tcW w:w="4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(321)</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5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91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w:t>
            </w:r>
          </w:p>
        </w:tc>
        <w:tc>
          <w:tcPr>
            <w:tcW w:w="4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w:t>
            </w:r>
          </w:p>
        </w:tc>
        <w:tc>
          <w:tcPr>
            <w:tcW w:w="56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(111)</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c>
          <w:tcPr>
            <w:tcW w:w="4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(481)</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w:t>
            </w:r>
          </w:p>
        </w:tc>
        <w:tc>
          <w:tcPr>
            <w:tcW w:w="56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91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6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(6,916)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6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(57)</w:t>
            </w:r>
          </w:p>
        </w:tc>
        <w:tc>
          <w:tcPr>
            <w:tcW w:w="4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(29,485)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(18,289)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(61)</w:t>
            </w:r>
          </w:p>
        </w:tc>
        <w:tc>
          <w:tcPr>
            <w:tcW w:w="5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r>
        <w:trPr/>
        <w:tc>
          <w:tcPr>
            <w:tcW w:w="291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6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(0.31)</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6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(0.20)</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(55)</w:t>
            </w:r>
          </w:p>
        </w:tc>
        <w:tc>
          <w:tcPr>
            <w:tcW w:w="49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(1.32)</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8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(0.82)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(61)</w:t>
            </w:r>
          </w:p>
        </w:tc>
        <w:tc>
          <w:tcPr>
            <w:tcW w:w="56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and Non-Segment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Third Quarter Net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Revenue for the quarter ended September 30, 2024, decreased by $6.5 million, to $60.1 million, compared to the same period in the prior year, primarily due to </w:t>
      </w:r>
      <w:bookmarkStart w:id="43" w:name="_Hlk164635508"/>
      <w:bookmarkEnd w:id="43"/>
      <w:r>
        <w:rPr>
          <w:rFonts w:ascii="Times New Roman;serif" w:hAnsi="Times New Roman;serif"/>
          <w:b w:val="false"/>
          <w:i w:val="false"/>
          <w:caps w:val="false"/>
          <w:smallCaps w:val="false"/>
          <w:sz w:val="20"/>
        </w:rPr>
        <w:t>(i) lower attendance in all three countries as a result of closing cinemas in the U.S. along with lower performing titles for our theaters in the third quarter of 2024 compared to 2023, (ii) slight decreases in property rent revenue in all three countries, and (iii) lower U.S. live theatre revenue.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decrease in revenue was offset by the appreciation of the AU/NZ foreign exchange rates against US dollar.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for the nine months ended September 30, 2024, decreased by $25.5 million, to $152.0 million, when compared to the same period in the prior year. This decrease is attributable to lower cinema performances in all countries, as a result of a decline in attendance, lower U.S. live theatre revenue and reduced rental income in the U.S. and New Zealand.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Segment Operating Income/(Loss)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total segment operating income for the quarter ended September 30, 2024, decreased by $1.6 million, from a gain of $5.3 million to a gain of $3.7 million, primarily due to weaker attendance, and lower global rent revenue.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total segment operating income for the nine months ended September 30, 2024, decreased by $7.4 million, from an income of $7.5 million to an income of $0.1 million, primarily due to (i) weakened cinema performance, as attendance declined year-over-year, and (ii) a loss in third party rental revenue in the U.S. and New Zealand.</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During the third quarter of 2024, both the Australia and New Zealand dollars improved against the U.S. dollar. The average Australia dollar exchange rate against the U.S. dollar for the third quarter of 2024 increased 2.3% compared to the same period in 2023. The average New Zealand dollar exchange rate against the U.S. dollar for the third quarter of 2024 increased 1.1% compared to the same period in 2023. The appreciation of the Australia and New Zealand currencies positively impacts segment operating income and negatively impacts segment operating loss in U.S. dollar terms for the period.</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Net Income/(Loss)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Our net loss attributable to Reading International, Inc.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for the quarter ending September 30, 2024, increased by $2.5 million, from a loss of $4.4 million to a loss of $6.9 million, when compared to the same period in the prior year, primarily due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weakened cinema performance and increased interest expense, partially offset by reduced depreciation expense.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For the nine months ended September 30, 2024, net loss </w:t>
      </w:r>
      <w:bookmarkStart w:id="44" w:name="_Hlk182400600"/>
      <w:bookmarkEnd w:id="44"/>
      <w:r>
        <w:rPr>
          <w:rFonts w:ascii="Times New Roman;serif" w:hAnsi="Times New Roman;serif"/>
          <w:b w:val="false"/>
          <w:i w:val="false"/>
          <w:caps w:val="false"/>
          <w:smallCaps w:val="false"/>
          <w:color w:val="000000"/>
          <w:sz w:val="20"/>
        </w:rPr>
        <w:t>attributable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Reading International, Inc. increased by $11.2 million, from a loss of $18.3 million to a loss of $29.5 million, when compared to the same period in the prior year primarily due to decreased cinemas segment results, increased interest expense, and a loss on the sale of our Culver City office building.</w:t>
      </w:r>
    </w:p>
    <w:p>
      <w:pPr>
        <w:pStyle w:val="TextBody"/>
        <w:bidi w:val="0"/>
        <w:spacing w:lineRule="auto" w:line="259"/>
        <w:rPr>
          <w:rFonts w:ascii="Times New Roman;serif" w:hAnsi="Times New Roman;serif"/>
          <w:b/>
          <w:i/>
          <w:sz w:val="20"/>
          <w:u w:val="single"/>
        </w:rPr>
      </w:pPr>
      <w:bookmarkStart w:id="45" w:name="_Hlk43970889"/>
      <w:bookmarkStart w:id="46" w:name="_Hlk53589266"/>
      <w:bookmarkEnd w:id="45"/>
      <w:bookmarkEnd w:id="46"/>
      <w:r>
        <w:rPr>
          <w:rFonts w:ascii="Times New Roman;serif" w:hAnsi="Times New Roman;serif"/>
          <w:b/>
          <w:i/>
          <w:sz w:val="20"/>
          <w:u w:val="single"/>
        </w:rPr>
        <w:t>Income Tax Expense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expense for the three months ended September 30, 2024, decreased by $0.2 million compared to the equivalent prior-year period. The change between 2024 and 2023 is primarily related to an increase in pretax loss in 2024.</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expense for the nine months ended September 30, 2024, increased by $0.01 million compared to the equivalent prior-year period. The change between 2024 and 2023 is primarily related to an increase in unrecognized tax benefits in 2024, partially offset by an increased in pretax loss in 2024.</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Business Segment Results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Cinema Exhibition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cinema exhibition segment operating results for the quarter and nine months ended September 30, 2024, and September 30, 2023, respectively:</w:t>
      </w:r>
    </w:p>
    <w:tbl>
      <w:tblPr>
        <w:tblW w:w="10205" w:type="dxa"/>
        <w:jc w:val="left"/>
        <w:tblInd w:w="0" w:type="dxa"/>
        <w:tblLayout w:type="fixed"/>
        <w:tblCellMar>
          <w:top w:w="0" w:type="dxa"/>
          <w:left w:w="0" w:type="dxa"/>
          <w:bottom w:w="0" w:type="dxa"/>
          <w:right w:w="0" w:type="dxa"/>
        </w:tblCellMar>
      </w:tblPr>
      <w:tblGrid>
        <w:gridCol w:w="150"/>
        <w:gridCol w:w="913"/>
        <w:gridCol w:w="1669"/>
        <w:gridCol w:w="203"/>
        <w:gridCol w:w="628"/>
        <w:gridCol w:w="598"/>
        <w:gridCol w:w="203"/>
        <w:gridCol w:w="628"/>
        <w:gridCol w:w="598"/>
        <w:gridCol w:w="109"/>
        <w:gridCol w:w="181"/>
        <w:gridCol w:w="651"/>
        <w:gridCol w:w="598"/>
        <w:gridCol w:w="181"/>
        <w:gridCol w:w="651"/>
        <w:gridCol w:w="598"/>
        <w:gridCol w:w="109"/>
        <w:gridCol w:w="460"/>
        <w:gridCol w:w="241"/>
        <w:gridCol w:w="511"/>
        <w:gridCol w:w="325"/>
      </w:tblGrid>
      <w:tr>
        <w:trPr/>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c>
          <w:tcPr>
            <w:tcW w:w="1669" w:type="dxa"/>
            <w:tcBorders/>
            <w:shd w:fill="FFFFFF" w:val="clear"/>
            <w:vAlign w:val="center"/>
          </w:tcPr>
          <w:p>
            <w:pPr>
              <w:pStyle w:val="TableContents"/>
              <w:bidi w:val="0"/>
              <w:spacing w:before="0" w:after="283"/>
              <w:jc w:val="left"/>
              <w:rPr>
                <w:sz w:val="4"/>
                <w:szCs w:val="4"/>
              </w:rPr>
            </w:pPr>
            <w:r>
              <w:rPr>
                <w:sz w:val="4"/>
                <w:szCs w:val="4"/>
              </w:rPr>
            </w:r>
          </w:p>
        </w:tc>
        <w:tc>
          <w:tcPr>
            <w:tcW w:w="203" w:type="dxa"/>
            <w:tcBorders/>
            <w:shd w:fill="FFFFFF" w:val="clear"/>
            <w:vAlign w:val="center"/>
          </w:tcPr>
          <w:p>
            <w:pPr>
              <w:pStyle w:val="TableContents"/>
              <w:bidi w:val="0"/>
              <w:spacing w:before="0" w:after="283"/>
              <w:jc w:val="left"/>
              <w:rPr>
                <w:sz w:val="4"/>
                <w:szCs w:val="4"/>
              </w:rPr>
            </w:pPr>
            <w:r>
              <w:rPr>
                <w:sz w:val="4"/>
                <w:szCs w:val="4"/>
              </w:rPr>
            </w:r>
          </w:p>
        </w:tc>
        <w:tc>
          <w:tcPr>
            <w:tcW w:w="628" w:type="dxa"/>
            <w:tcBorders/>
            <w:shd w:fill="FFFFFF" w:val="clear"/>
            <w:vAlign w:val="center"/>
          </w:tcPr>
          <w:p>
            <w:pPr>
              <w:pStyle w:val="TableContents"/>
              <w:bidi w:val="0"/>
              <w:spacing w:before="0" w:after="283"/>
              <w:jc w:val="left"/>
              <w:rPr>
                <w:sz w:val="4"/>
                <w:szCs w:val="4"/>
              </w:rPr>
            </w:pPr>
            <w:r>
              <w:rPr>
                <w:sz w:val="4"/>
                <w:szCs w:val="4"/>
              </w:rPr>
            </w:r>
          </w:p>
        </w:tc>
        <w:tc>
          <w:tcPr>
            <w:tcW w:w="598" w:type="dxa"/>
            <w:tcBorders/>
            <w:shd w:fill="FFFFFF" w:val="clear"/>
            <w:vAlign w:val="center"/>
          </w:tcPr>
          <w:p>
            <w:pPr>
              <w:pStyle w:val="TableContents"/>
              <w:bidi w:val="0"/>
              <w:spacing w:before="0" w:after="283"/>
              <w:jc w:val="left"/>
              <w:rPr>
                <w:sz w:val="4"/>
                <w:szCs w:val="4"/>
              </w:rPr>
            </w:pPr>
            <w:r>
              <w:rPr>
                <w:sz w:val="4"/>
                <w:szCs w:val="4"/>
              </w:rPr>
            </w:r>
          </w:p>
        </w:tc>
        <w:tc>
          <w:tcPr>
            <w:tcW w:w="203" w:type="dxa"/>
            <w:tcBorders/>
            <w:shd w:fill="FFFFFF" w:val="clear"/>
            <w:vAlign w:val="center"/>
          </w:tcPr>
          <w:p>
            <w:pPr>
              <w:pStyle w:val="TableContents"/>
              <w:bidi w:val="0"/>
              <w:spacing w:before="0" w:after="283"/>
              <w:jc w:val="left"/>
              <w:rPr>
                <w:sz w:val="4"/>
                <w:szCs w:val="4"/>
              </w:rPr>
            </w:pPr>
            <w:r>
              <w:rPr>
                <w:sz w:val="4"/>
                <w:szCs w:val="4"/>
              </w:rPr>
            </w:r>
          </w:p>
        </w:tc>
        <w:tc>
          <w:tcPr>
            <w:tcW w:w="628" w:type="dxa"/>
            <w:tcBorders/>
            <w:shd w:fill="FFFFFF" w:val="clear"/>
            <w:vAlign w:val="center"/>
          </w:tcPr>
          <w:p>
            <w:pPr>
              <w:pStyle w:val="TableContents"/>
              <w:bidi w:val="0"/>
              <w:spacing w:before="0" w:after="283"/>
              <w:jc w:val="left"/>
              <w:rPr>
                <w:sz w:val="4"/>
                <w:szCs w:val="4"/>
              </w:rPr>
            </w:pPr>
            <w:r>
              <w:rPr>
                <w:sz w:val="4"/>
                <w:szCs w:val="4"/>
              </w:rPr>
            </w:r>
          </w:p>
        </w:tc>
        <w:tc>
          <w:tcPr>
            <w:tcW w:w="5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598"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51" w:type="dxa"/>
            <w:tcBorders/>
            <w:shd w:fill="FFFFFF" w:val="clear"/>
            <w:vAlign w:val="center"/>
          </w:tcPr>
          <w:p>
            <w:pPr>
              <w:pStyle w:val="TableContents"/>
              <w:bidi w:val="0"/>
              <w:spacing w:before="0" w:after="283"/>
              <w:jc w:val="left"/>
              <w:rPr>
                <w:sz w:val="4"/>
                <w:szCs w:val="4"/>
              </w:rPr>
            </w:pPr>
            <w:r>
              <w:rPr>
                <w:sz w:val="4"/>
                <w:szCs w:val="4"/>
              </w:rPr>
            </w:r>
          </w:p>
        </w:tc>
        <w:tc>
          <w:tcPr>
            <w:tcW w:w="5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60"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left"/>
              <w:rPr>
                <w:sz w:val="4"/>
                <w:szCs w:val="4"/>
              </w:rPr>
            </w:pPr>
            <w:r>
              <w:rPr>
                <w:sz w:val="4"/>
                <w:szCs w:val="4"/>
              </w:rPr>
            </w:r>
          </w:p>
        </w:tc>
      </w:tr>
      <w:tr>
        <w:trPr/>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c>
          <w:tcPr>
            <w:tcW w:w="1669" w:type="dxa"/>
            <w:tcBorders/>
            <w:shd w:fill="FFFFFF" w:val="clear"/>
            <w:vAlign w:val="center"/>
          </w:tcPr>
          <w:p>
            <w:pPr>
              <w:pStyle w:val="TableContents"/>
              <w:bidi w:val="0"/>
              <w:spacing w:before="0" w:after="283"/>
              <w:jc w:val="left"/>
              <w:rPr>
                <w:sz w:val="4"/>
                <w:szCs w:val="4"/>
              </w:rPr>
            </w:pPr>
            <w:r>
              <w:rPr>
                <w:sz w:val="4"/>
                <w:szCs w:val="4"/>
              </w:rPr>
            </w:r>
          </w:p>
        </w:tc>
        <w:tc>
          <w:tcPr>
            <w:tcW w:w="2858"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60"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Nine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37"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Fav/(Unfav)</w:t>
            </w:r>
          </w:p>
        </w:tc>
      </w:tr>
      <w:tr>
        <w:trPr/>
        <w:tc>
          <w:tcPr>
            <w:tcW w:w="2732"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83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September 30,</w:t>
            </w:r>
          </w:p>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2024</w:t>
            </w:r>
          </w:p>
        </w:tc>
        <w:tc>
          <w:tcPr>
            <w:tcW w:w="59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83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September 30,</w:t>
            </w:r>
          </w:p>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2023</w:t>
            </w:r>
          </w:p>
        </w:tc>
        <w:tc>
          <w:tcPr>
            <w:tcW w:w="59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September 30,</w:t>
            </w:r>
          </w:p>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2024</w:t>
            </w:r>
          </w:p>
        </w:tc>
        <w:tc>
          <w:tcPr>
            <w:tcW w:w="59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8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September 30,</w:t>
            </w:r>
          </w:p>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2023</w:t>
            </w:r>
          </w:p>
        </w:tc>
        <w:tc>
          <w:tcPr>
            <w:tcW w:w="59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 xml:space="preserve">Quarter </w:t>
              <w:br/>
              <w:t>‎Ended</w:t>
            </w:r>
          </w:p>
        </w:tc>
        <w:tc>
          <w:tcPr>
            <w:tcW w:w="83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Nine Months Ended</w:t>
            </w:r>
          </w:p>
        </w:tc>
      </w:tr>
      <w:tr>
        <w:trPr/>
        <w:tc>
          <w:tcPr>
            <w:tcW w:w="2732"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20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15,445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27%</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19,495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39,368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50,250</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9,824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11,663</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24,237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31,108</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2,547</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3,074</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6,996</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8,700</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27,816</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49%</w:t>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34,232</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70,601</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50%</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90,058</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14,445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14,918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35,559</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39,428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24%</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8,691</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7,856</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20,805</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21,016</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1,609</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4,248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3,894</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24,745</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44%</w:t>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24,186</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60,612</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64,338</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2,215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5,559</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6,989</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1,339</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1,383</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3,262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3,774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219</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536</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3,796</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4,270</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9,357</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11,335</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25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203"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56,357</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203"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62,688</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140,570</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165,731</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73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2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(8,780)</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(10,876)</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(21,192)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(27,563)</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(2,632)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(2,908)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(6,550)</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(8,039)</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(5,102)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(6,265)</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(14,095)</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(18,768)</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(10,388)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18%</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(11,722)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(28,485)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(32,513)</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(26,902)</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48%</w:t>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(31,771)</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(70,322)</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50%</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(86,883)</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(6,775)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(6,582)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(16,170)</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(17,652)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(1,922)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(1,670)</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(4,631)</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(4,407)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(4,673)</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(4,276)</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(13,612)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(13,048)</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(6,831)</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(6,576)</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(19,156)</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(18,104)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(20,201)</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36%</w:t>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(19,104)</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(53,569)</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38%</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(53,211)</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32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(1,048)</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(1,190)</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(2,482)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(3,164)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(273)</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(273)</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(703)</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(731)</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(2,347)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(1,306)</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(1,330)</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(3,549)</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(3,595)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(3,431)</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2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(3,585)</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(9,081)</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(9,847)</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25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203"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(50,534)</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90%</w:t>
            </w:r>
          </w:p>
        </w:tc>
        <w:tc>
          <w:tcPr>
            <w:tcW w:w="203"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(54,460)</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(132,972)</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95%</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(149,941)</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73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2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(1,262)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(1,458)</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(3,784)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(4,518)</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of long-lived assets</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(513)</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(1,885)</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(1,839)</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(1,775)</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(2,130)</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(5,669)</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(6,357)</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32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(1,237)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(3,619)</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(3,611)</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expense</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(389)</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(377)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(1,626)</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(1,569)</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(4,706)</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(4,755)</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32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(350)</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expense</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(113)</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2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(134)</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(351)</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(422)</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32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669"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c>
          <w:tcPr>
            <w:tcW w:w="25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203"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(3,514)</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203"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(3,833)</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(10,726)</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(11,534)</w:t>
            </w:r>
          </w:p>
        </w:tc>
        <w:tc>
          <w:tcPr>
            <w:tcW w:w="598"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w:t>
            </w:r>
          </w:p>
        </w:tc>
        <w:tc>
          <w:tcPr>
            <w:tcW w:w="32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732"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CINEMA</w:t>
            </w:r>
          </w:p>
        </w:tc>
        <w:tc>
          <w:tcPr>
            <w:tcW w:w="20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c>
          <w:tcPr>
            <w:tcW w:w="25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(861)</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331</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(5,390)</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(3,182)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25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2,918</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3,513</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2,337</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6,372</w:t>
            </w:r>
          </w:p>
        </w:tc>
        <w:tc>
          <w:tcPr>
            <w:tcW w:w="598"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vAlign w:val="center"/>
          </w:tcPr>
          <w:p>
            <w:pPr>
              <w:pStyle w:val="TableContents"/>
              <w:bidi w:val="0"/>
              <w:spacing w:before="0" w:after="283"/>
              <w:jc w:val="left"/>
              <w:rPr>
                <w:sz w:val="4"/>
                <w:szCs w:val="4"/>
              </w:rPr>
            </w:pPr>
            <w:r>
              <w:rPr>
                <w:sz w:val="4"/>
                <w:szCs w:val="4"/>
              </w:rPr>
            </w:r>
          </w:p>
        </w:tc>
        <w:tc>
          <w:tcPr>
            <w:tcW w:w="25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252</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551</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1,066</w:t>
            </w:r>
          </w:p>
        </w:tc>
        <w:tc>
          <w:tcPr>
            <w:tcW w:w="598"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(54)</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25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Cinema operating income (loss)</w:t>
            </w:r>
          </w:p>
        </w:tc>
        <w:tc>
          <w:tcPr>
            <w:tcW w:w="2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2,309</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2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4,395</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(3,128)</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4,256</w:t>
            </w:r>
          </w:p>
        </w:tc>
        <w:tc>
          <w:tcPr>
            <w:tcW w:w="598"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(47)</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(&gt;100)</w:t>
            </w:r>
          </w:p>
        </w:tc>
        <w:tc>
          <w:tcPr>
            <w:tcW w:w="32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Third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ended September 30, 2024, cinema revenue decreased by $6.3 million, to $56.4 million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when compared to the same period in the prior year. This decrease was primarily due to a global decline in attendance, in part due to the closure of the cinemas in the U.S. described above and a weaker slate of film in our U.S. specialty cinemas.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nine months ended September 30, 2024, cinema revenue decreased by $25.2 million, to $140.6 million compared to the same period in the prior year. This decrease was primarily driven by (i) weaker movie slates as result of the 2023 Hollywood Strikes, (ii) weaker film slate in our U.S. specialty cinemas, (iii) four closed U.S. cinemas, and (iv) and lower Average Ticket Price in AU and NZ, along with (v) a weakening of AU/NZ foreign exchange rates. This was offset by a higher Average Ticket Price in the U.S and higher global F&amp;B per capitas</w:t>
      </w:r>
    </w:p>
    <w:p>
      <w:pPr>
        <w:pStyle w:val="TextBody"/>
        <w:bidi w:val="0"/>
        <w:spacing w:lineRule="auto" w:line="259"/>
        <w:rPr>
          <w:rFonts w:ascii="Times New Roman;serif" w:hAnsi="Times New Roman;serif"/>
          <w:b/>
          <w:i/>
          <w:sz w:val="20"/>
        </w:rPr>
      </w:pPr>
      <w:r>
        <w:rPr>
          <w:rFonts w:ascii="Times New Roman;serif" w:hAnsi="Times New Roman;serif"/>
          <w:b/>
          <w:i/>
          <w:sz w:val="20"/>
        </w:rPr>
        <w:t>Cinema Segment Operating Income/(Loss)</w:t>
      </w:r>
    </w:p>
    <w:p>
      <w:pPr>
        <w:pStyle w:val="TextBody"/>
        <w:bidi w:val="0"/>
        <w:spacing w:lineRule="auto" w:line="259"/>
        <w:rPr>
          <w:rFonts w:ascii="Times New Roman;serif" w:hAnsi="Times New Roman;serif"/>
          <w:b w:val="false"/>
          <w:i w:val="false"/>
          <w:caps w:val="false"/>
          <w:smallCaps w:val="false"/>
          <w:sz w:val="20"/>
        </w:rPr>
      </w:pPr>
      <w:bookmarkStart w:id="47" w:name="_Hlk172366133"/>
      <w:bookmarkEnd w:id="47"/>
      <w:r>
        <w:rPr>
          <w:rFonts w:ascii="Times New Roman;serif" w:hAnsi="Times New Roman;serif"/>
          <w:b w:val="false"/>
          <w:i w:val="false"/>
          <w:caps w:val="false"/>
          <w:smallCaps w:val="false"/>
          <w:sz w:val="20"/>
        </w:rPr>
        <w:t>Cinema segment operating income for the quarter ended September 30, 2024, decreased by $2.1 million, from an income of $4.4 million to an income of $2.3 million when compared to the same period in the prior year. This decline in operating income is due to a decrease in cinema revenue in the U.S. and New Zealand as a result of lower attendance.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Cinema segment operating loss for the nine months ended September 30, 2024, was $3.1 million compared to a gain of $4.3 million during the same period in the prior year, primarily due to decreased attendance as a result of a weaker film slate as a result of the impacts of the 2023 Hollywood Strikes, in addition to a weaker film slate at our U.S. specialty cinemas and the closure of multiple cinemas in the U.S. </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expenses for the quarter ended September 30, 2024, decreased by $3.9 million, to $50.5 million, compared to the same quarter in the prior year. Operating expenses for the nine months ended September 30, 2024, decreased by $17.0 million, to $133.0 million, compared to the same time period in the prior year. These decreases were due to decreased global film rent expense as a result of lower attendance, decreased food &amp; beverage cost, primarily in the U.S., and reduced U.S. occupancy costs offset by increases in Australia occupancy and other operating expenses.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 xml:space="preserve">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real estate segment operating results for the quarters and nine months ended September 30, 2024 and September 30, 2023, respectively:</w:t>
      </w:r>
    </w:p>
    <w:tbl>
      <w:tblPr>
        <w:tblW w:w="10205" w:type="dxa"/>
        <w:jc w:val="left"/>
        <w:tblInd w:w="0" w:type="dxa"/>
        <w:tblLayout w:type="fixed"/>
        <w:tblCellMar>
          <w:top w:w="0" w:type="dxa"/>
          <w:left w:w="0" w:type="dxa"/>
          <w:bottom w:w="0" w:type="dxa"/>
          <w:right w:w="0" w:type="dxa"/>
        </w:tblCellMar>
      </w:tblPr>
      <w:tblGrid>
        <w:gridCol w:w="129"/>
        <w:gridCol w:w="1611"/>
        <w:gridCol w:w="1271"/>
        <w:gridCol w:w="226"/>
        <w:gridCol w:w="604"/>
        <w:gridCol w:w="541"/>
        <w:gridCol w:w="226"/>
        <w:gridCol w:w="604"/>
        <w:gridCol w:w="541"/>
        <w:gridCol w:w="109"/>
        <w:gridCol w:w="217"/>
        <w:gridCol w:w="613"/>
        <w:gridCol w:w="541"/>
        <w:gridCol w:w="217"/>
        <w:gridCol w:w="613"/>
        <w:gridCol w:w="541"/>
        <w:gridCol w:w="109"/>
        <w:gridCol w:w="429"/>
        <w:gridCol w:w="255"/>
        <w:gridCol w:w="495"/>
        <w:gridCol w:w="313"/>
      </w:tblGrid>
      <w:tr>
        <w:trPr/>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1611"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9"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495" w:type="dxa"/>
            <w:tcBorders/>
            <w:shd w:fill="FFFFFF" w:val="clear"/>
            <w:vAlign w:val="center"/>
          </w:tcPr>
          <w:p>
            <w:pPr>
              <w:pStyle w:val="TableContents"/>
              <w:bidi w:val="0"/>
              <w:spacing w:before="0" w:after="283"/>
              <w:jc w:val="left"/>
              <w:rPr>
                <w:sz w:val="4"/>
                <w:szCs w:val="4"/>
              </w:rPr>
            </w:pPr>
            <w:r>
              <w:rPr>
                <w:sz w:val="4"/>
                <w:szCs w:val="4"/>
              </w:rPr>
            </w:r>
          </w:p>
        </w:tc>
        <w:tc>
          <w:tcPr>
            <w:tcW w:w="313" w:type="dxa"/>
            <w:tcBorders/>
            <w:shd w:fill="FFFFFF" w:val="clear"/>
            <w:vAlign w:val="center"/>
          </w:tcPr>
          <w:p>
            <w:pPr>
              <w:pStyle w:val="TableContents"/>
              <w:bidi w:val="0"/>
              <w:spacing w:before="0" w:after="283"/>
              <w:jc w:val="left"/>
              <w:rPr>
                <w:sz w:val="4"/>
                <w:szCs w:val="4"/>
              </w:rPr>
            </w:pPr>
            <w:r>
              <w:rPr>
                <w:sz w:val="4"/>
                <w:szCs w:val="4"/>
              </w:rPr>
            </w:r>
          </w:p>
        </w:tc>
      </w:tr>
      <w:tr>
        <w:trPr/>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1611"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2" w:type="dxa"/>
            <w:gridSpan w:val="4"/>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0"/>
              </w:rPr>
            </w:pPr>
            <w:r>
              <w:rPr>
                <w:rFonts w:ascii="Times New Roman;serif" w:hAnsi="Times New Roman;serif"/>
                <w:b/>
                <w:i w:val="false"/>
                <w:caps w:val="false"/>
                <w:smallCaps w:val="false"/>
                <w:sz w:val="10"/>
              </w:rPr>
              <w:t>% Change</w:t>
            </w:r>
          </w:p>
        </w:tc>
      </w:tr>
      <w:tr>
        <w:trPr/>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1611" w:type="dxa"/>
            <w:tcBorders/>
            <w:shd w:fill="FFFFFF" w:val="clear"/>
            <w:vAlign w:val="center"/>
          </w:tcPr>
          <w:p>
            <w:pPr>
              <w:pStyle w:val="TableContents"/>
              <w:bidi w:val="0"/>
              <w:spacing w:before="0" w:after="283"/>
              <w:jc w:val="left"/>
              <w:rPr>
                <w:sz w:val="4"/>
                <w:szCs w:val="4"/>
              </w:rPr>
            </w:pPr>
            <w:r>
              <w:rPr>
                <w:sz w:val="4"/>
                <w:szCs w:val="4"/>
              </w:rPr>
            </w:r>
          </w:p>
        </w:tc>
        <w:tc>
          <w:tcPr>
            <w:tcW w:w="1271" w:type="dxa"/>
            <w:tcBorders/>
            <w:shd w:fill="FFFFFF" w:val="clear"/>
            <w:vAlign w:val="center"/>
          </w:tcPr>
          <w:p>
            <w:pPr>
              <w:pStyle w:val="TableContents"/>
              <w:bidi w:val="0"/>
              <w:spacing w:before="0" w:after="283"/>
              <w:jc w:val="left"/>
              <w:rPr>
                <w:sz w:val="4"/>
                <w:szCs w:val="4"/>
              </w:rPr>
            </w:pPr>
            <w:r>
              <w:rPr>
                <w:sz w:val="4"/>
                <w:szCs w:val="4"/>
              </w:rPr>
            </w:r>
          </w:p>
        </w:tc>
        <w:tc>
          <w:tcPr>
            <w:tcW w:w="2742"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Quarter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2"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Nine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2"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Fav/(Unfav)</w:t>
            </w:r>
          </w:p>
        </w:tc>
      </w:tr>
      <w:tr>
        <w:trPr/>
        <w:tc>
          <w:tcPr>
            <w:tcW w:w="3011"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8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September 30,</w:t>
            </w:r>
          </w:p>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2024</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8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September 30,</w:t>
            </w:r>
          </w:p>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2023</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September 30,</w:t>
            </w:r>
          </w:p>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2024</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8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September 30,</w:t>
            </w:r>
          </w:p>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2023</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Quarter Ended</w:t>
            </w:r>
          </w:p>
        </w:tc>
        <w:tc>
          <w:tcPr>
            <w:tcW w:w="80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Nine Months Ended</w:t>
            </w:r>
          </w:p>
        </w:tc>
      </w:tr>
      <w:tr>
        <w:trPr/>
        <w:tc>
          <w:tcPr>
            <w:tcW w:w="3011"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2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3,192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3,632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1,444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29%</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1,614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4,412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2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5,002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w:t>
            </w:r>
          </w:p>
        </w:tc>
        <w:tc>
          <w:tcPr>
            <w:tcW w:w="2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w:t>
            </w:r>
          </w:p>
        </w:tc>
        <w:tc>
          <w:tcPr>
            <w:tcW w:w="31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3,082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3,063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9,342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63%</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9,191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372</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380</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1,090</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21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1,145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271" w:type="dxa"/>
            <w:tcBorders/>
            <w:vAlign w:val="center"/>
          </w:tcPr>
          <w:p>
            <w:pPr>
              <w:pStyle w:val="TableContents"/>
              <w:bidi w:val="0"/>
              <w:spacing w:before="0" w:after="283"/>
              <w:jc w:val="left"/>
              <w:rPr>
                <w:sz w:val="4"/>
                <w:szCs w:val="4"/>
              </w:rPr>
            </w:pPr>
            <w:r>
              <w:rPr>
                <w:sz w:val="4"/>
                <w:szCs w:val="4"/>
              </w:rPr>
            </w:r>
          </w:p>
        </w:tc>
        <w:tc>
          <w:tcPr>
            <w:tcW w:w="22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4,898</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22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5,057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14,844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217"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15,338</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2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31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301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EXPENSE</w:t>
            </w:r>
          </w:p>
        </w:tc>
        <w:tc>
          <w:tcPr>
            <w:tcW w:w="2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(1,069)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(653)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13%</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(848)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(2,295)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15%</w:t>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(2,351)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(548)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(1,661)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21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(1,653)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(1,476)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(1,477)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(997)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20%</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(1,053)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21%</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(3,137)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21%</w:t>
            </w:r>
          </w:p>
        </w:tc>
        <w:tc>
          <w:tcPr>
            <w:tcW w:w="2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(3,130)</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w:t>
            </w:r>
          </w:p>
        </w:tc>
        <w:tc>
          <w:tcPr>
            <w:tcW w:w="2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31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(1,019)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(309)</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(456)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(1,369)</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(1,119)</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(22)</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(2,106)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22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(2,282)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(6,801)</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46%</w:t>
            </w:r>
          </w:p>
        </w:tc>
        <w:tc>
          <w:tcPr>
            <w:tcW w:w="217"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(6,600)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301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DEPRECIATION, AMORTIZATION, GENERAL AND ADMINISTRATIVE EXPENSE</w:t>
            </w:r>
          </w:p>
        </w:tc>
        <w:tc>
          <w:tcPr>
            <w:tcW w:w="2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(824)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(2,089)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(995)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(2,762)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19%</w:t>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(2,865)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(1,632)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(1,900)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(677)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13%</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11%</w:t>
            </w:r>
          </w:p>
        </w:tc>
        <w:tc>
          <w:tcPr>
            <w:tcW w:w="21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(2,089)</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14%</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29</w:t>
            </w:r>
          </w:p>
        </w:tc>
        <w:tc>
          <w:tcPr>
            <w:tcW w:w="2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w:t>
            </w:r>
          </w:p>
        </w:tc>
        <w:tc>
          <w:tcPr>
            <w:tcW w:w="31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1611"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2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(572)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74</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28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22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(1,396)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29%</w:t>
            </w:r>
          </w:p>
        </w:tc>
        <w:tc>
          <w:tcPr>
            <w:tcW w:w="22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(1,855)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37%</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(4,809)</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217"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(5,526)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36%</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25</w:t>
            </w:r>
          </w:p>
        </w:tc>
        <w:tc>
          <w:tcPr>
            <w:tcW w:w="2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w:t>
            </w:r>
          </w:p>
        </w:tc>
        <w:tc>
          <w:tcPr>
            <w:tcW w:w="31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301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REAL ESTATE</w:t>
            </w:r>
          </w:p>
        </w:tc>
        <w:tc>
          <w:tcPr>
            <w:tcW w:w="2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313" w:type="dxa"/>
            <w:tcBorders/>
            <w:shd w:fill="CCEEFF" w:val="clear"/>
            <w:vAlign w:val="center"/>
          </w:tcPr>
          <w:p>
            <w:pPr>
              <w:pStyle w:val="TableContents"/>
              <w:bidi w:val="0"/>
              <w:spacing w:before="0" w:after="283"/>
              <w:jc w:val="left"/>
              <w:rPr>
                <w:sz w:val="4"/>
                <w:szCs w:val="4"/>
              </w:rPr>
            </w:pPr>
            <w:r>
              <w:rPr>
                <w:sz w:val="4"/>
                <w:szCs w:val="4"/>
              </w:rPr>
            </w:r>
          </w:p>
        </w:tc>
      </w:tr>
      <w:tr>
        <w:trPr/>
        <w:tc>
          <w:tcPr>
            <w:tcW w:w="129" w:type="dxa"/>
            <w:tcBorders/>
            <w:vAlign w:val="center"/>
          </w:tcPr>
          <w:p>
            <w:pPr>
              <w:pStyle w:val="TableContents"/>
              <w:bidi w:val="0"/>
              <w:spacing w:before="0" w:after="283"/>
              <w:jc w:val="left"/>
              <w:rPr>
                <w:sz w:val="4"/>
                <w:szCs w:val="4"/>
              </w:rPr>
            </w:pPr>
            <w:r>
              <w:rPr>
                <w:sz w:val="4"/>
                <w:szCs w:val="4"/>
              </w:rPr>
            </w:r>
          </w:p>
        </w:tc>
        <w:tc>
          <w:tcPr>
            <w:tcW w:w="28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(229)</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(645)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8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1,602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3,972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vAlign w:val="center"/>
          </w:tcPr>
          <w:p>
            <w:pPr>
              <w:pStyle w:val="TableContents"/>
              <w:bidi w:val="0"/>
              <w:spacing w:before="0" w:after="283"/>
              <w:jc w:val="left"/>
              <w:rPr>
                <w:sz w:val="4"/>
                <w:szCs w:val="4"/>
              </w:rPr>
            </w:pPr>
            <w:r>
              <w:rPr>
                <w:sz w:val="4"/>
                <w:szCs w:val="4"/>
              </w:rPr>
            </w:r>
          </w:p>
        </w:tc>
        <w:tc>
          <w:tcPr>
            <w:tcW w:w="28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(642)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(546)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25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8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real estate operating income (loss)</w:t>
            </w:r>
          </w:p>
        </w:tc>
        <w:tc>
          <w:tcPr>
            <w:tcW w:w="2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1,396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29%</w:t>
            </w:r>
          </w:p>
        </w:tc>
        <w:tc>
          <w:tcPr>
            <w:tcW w:w="2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920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3,234</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22%</w:t>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3,212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52</w:t>
            </w:r>
          </w:p>
        </w:tc>
        <w:tc>
          <w:tcPr>
            <w:tcW w:w="2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w:t>
            </w:r>
          </w:p>
        </w:tc>
        <w:tc>
          <w:tcPr>
            <w:tcW w:w="3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Third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revenue for the quarter ended September 30, 2024, decreased slightly by $0.2 million, to $4.9 million, compared to the same period in the prior year. This revenue decrease was primarily due to the elimination of intercompany rent income due to the sale of our Maitland property in the fourth quarter of 2023 and the third party and intercompany rent income loss from our Culver City office building due to the abandonment by that tenant of their premises at the building in July 2023 (we subsequently sold the property in February 2024). Additionally, as a result of the Orpheum Theater being “dark” for July and August 2024, there was a decrease in Live theater rental and ancillary income contributing to the real estate revenue being $0.1 million lower compared to the same period in the prior year.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nine months ended September 30, 2024, real estate revenue decreased by $0.5 million, to $14.8 million, compared to the same period in the prior year. Aligning with the third quarter of 2024, the slight decrease was due to the decrease in U.S. rental income, partially offset by the increase in rental income in Australia. </w:t>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segment operating income for the quarter ended September 30, 2024 increased by $0.5 million to $1.4 million, compared to the same period in the prior year. This increase was primarily due reduced operating expenses in the U.S. and Australia and reduced global depreciation and amortization.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nine months ended September 30, 2024, real estate segment operating income increased slightly to $3.2 million, compared to the same period in the prior year. This increase in operating income was due to lower depreciation and amortization expenses across all three countries and lower general and administrative expense in Australia.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Our Financing Strategy </w:t>
      </w:r>
    </w:p>
    <w:p>
      <w:pPr>
        <w:pStyle w:val="TextBody"/>
        <w:bidi w:val="0"/>
        <w:spacing w:lineRule="auto" w:line="259"/>
        <w:rPr>
          <w:rFonts w:ascii="Times New Roman;serif" w:hAnsi="Times New Roman;serif"/>
          <w:b w:val="false"/>
          <w:i w:val="false"/>
          <w:caps w:val="false"/>
          <w:smallCaps w:val="false"/>
          <w:sz w:val="20"/>
        </w:rPr>
      </w:pPr>
      <w:bookmarkStart w:id="48" w:name="_Hlk166607651"/>
      <w:bookmarkEnd w:id="48"/>
      <w:r>
        <w:rPr>
          <w:rFonts w:ascii="Times New Roman;serif" w:hAnsi="Times New Roman;serif"/>
          <w:b w:val="false"/>
          <w:i w:val="false"/>
          <w:caps w:val="false"/>
          <w:smallCaps w:val="false"/>
          <w:sz w:val="20"/>
        </w:rPr>
        <w:t xml:space="preserve">Prior to the COVID-19 pandemic, we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 </w:t>
      </w:r>
    </w:p>
    <w:p>
      <w:pPr>
        <w:pStyle w:val="TextBody"/>
        <w:bidi w:val="0"/>
        <w:spacing w:lineRule="auto" w:line="259"/>
        <w:rPr>
          <w:rFonts w:ascii="Times New Roman;serif" w:hAnsi="Times New Roman;serif"/>
          <w:b w:val="false"/>
          <w:i w:val="false"/>
          <w:caps w:val="false"/>
          <w:smallCaps w:val="false"/>
          <w:sz w:val="20"/>
        </w:rPr>
      </w:pPr>
      <w:bookmarkStart w:id="49" w:name="_Hlk182465573"/>
      <w:bookmarkEnd w:id="49"/>
      <w:r>
        <w:rPr>
          <w:rFonts w:ascii="Times New Roman;serif" w:hAnsi="Times New Roman;serif"/>
          <w:b w:val="false"/>
          <w:i w:val="false"/>
          <w:caps w:val="false"/>
          <w:smallCaps w:val="false"/>
          <w:sz w:val="20"/>
        </w:rPr>
        <w:t>However, disruptions to our cinema cash flow caused by the (i) COVID-19 pandemic and government efforts to address the pandemic, (ii) the lack of receiving any U.S. federal COVID-19 pandemic funding (i.e. Payroll Protection Program and Shutter Venue Program) due to our public company status, (iii) the historic rise in interest rates and inflation which occurred following the pandemic and (iv) the 2023 Hollywood Strikes, we have needed to defer capital expenditures and to rely on borrowings and the proceeds of asset monetizations to cover our costs of operations, pay interest expense and pay down debt. Since March 31, 2020, we have paid down our institutional debt by $48.0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bank loans with Bank of America, NAB, and Westpac require that our Company comply with certain covenants. Furthermore, our Company’s use of loan funds from NAB and Westpac is limited due to limitations on the expatriation of funds from Australia and New Zealand to the United States. We believe that our lenders understand that we are doing everything that can reasonably be done, and that, generally speaking, our relationships with our lenders are good.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our Company believes that there will be recovery in the global cinema business, we still face macroeconomic headwinds such as increased interest rates, inflation, supply chain issues and increased film rent, labor and operating costs, many of which are beyond our control. We have taken a variety of steps across our various operating jurisdictions to reduce our spending, including, without limitation, deferring non-essential capital expenditures, deferring certain operational expenses, renegotiating occupancy arrangements, deferring compensation expense and eliminating certain T&amp;E expenses. We are closely monitoring our debt maturity dates to arrange necessary amendments. In this third quarter of 2024, we have drawn an additional NZD $5.0 million loan from Westpac and extended the Santander loan’s maturity to June 1, 2025. In October 2024, we executed an amendment to our Bank of America loan to defer the monthly principal payments of $500,000 in October, November and December 2024 to the end of December 2024. In October 2024, we obtained two further six-month extensions for the Valley National Bank loan, the first of which we exercised. As of September 30, 2024, we have debt of $52.6 million coming due in the next 12 months. Notably, we expect that the recent reductions of federal funds rate in September 2024 (50 bps) and November 2024 (25 bps) will help ease the pressure on our financing and have a favorable impact on our interest expense and financial results in the coming quarter.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discussed elsewhere in this Report, we believe that cinema cash flow for the fourth quarter of this year and for 2025 will be strong. However, if our Company is unable to generate sufficient cash flow in the upcoming months, we will be required to adopt one or more alternatives, such as reducing, delaying or eliminating planned capital expenditure, monetizing additional assets, restructuring our debt and/or our lease obligations or finding additional sources of liquidity. In February 2024, we sold our Culver City office building for $10.0 million. While we incurred a loss of $1.1 million on the transaction, we were able to reduce debt by $8.4 million and to free up cash in the amount of $1.2 million which was used to support operational activities.  Further, due to the scope and extent of office vacancies in Los Angeles County, we anticipate that we will be able to save approximately $1.5 million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between now and the end of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by moving to other premises. We listed as an asset held for sale our Newberry Yard property in Williamsport, Pennsylvania. This property was historically used as a rail yard, and, accordingly, improved with tracks and switches and has direct access to the area’s rail system.  We carry the property on our books at a book value (the lower of cost or market, as opposed to fair market value) of $0.5 million. This asset was selected since it is currently non-income producing. Certain issues as to the location of various railroad rights of way have now been resolved on what we believe to be favorable terms and terms which enhance the value of the property.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order to further bolster our liquidity and capital resources, in the second quarter 2024, we classified our Cannon Park property in Townsville, Australia and our Wellington property assemblage in New Zealand, with book values of $19.5 million and $17.9 million, respectively, as properties held for sale. Our Wellington assemblage consists of five parcels aggregating 161,082 square feet located in the entertainment center of Wellington and within walking distance of Wellington harbor, we are currently conducting a controlled auction of the property through JLL. No assurances can be given that we will consummate a sale of such assets. We have also classified the land underlying our Rotorua, New Zealand as held for sale.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event that we cannot obtain sufficient net proceeds from the disposition of these assets (or determine to defer disposition due to unfavorable market conditions), in addition to other strategies, we may look to monetize other real estate assets.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please refer to </w:t>
      </w:r>
      <w:r>
        <w:rPr>
          <w:rFonts w:ascii="Times New Roman;serif" w:hAnsi="Times New Roman;serif"/>
          <w:b w:val="false"/>
          <w:i/>
          <w:sz w:val="20"/>
        </w:rPr>
        <w:t>Part I – Financial Information, Item 1 – 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12 – Borrowings</w:t>
      </w:r>
      <w:r>
        <w:rPr>
          <w:rFonts w:ascii="Times New Roman;serif" w:hAnsi="Times New Roman;serif"/>
          <w:b w:val="false"/>
          <w:i w:val="false"/>
          <w:caps w:val="false"/>
          <w:smallCaps w:val="false"/>
          <w:sz w:val="20"/>
        </w:rPr>
        <w:t xml:space="preserve">. For more information about our efforts to manage our liquidity issues, see </w:t>
      </w:r>
      <w:r>
        <w:rPr>
          <w:rFonts w:ascii="Times New Roman;serif" w:hAnsi="Times New Roman;serif"/>
          <w:b w:val="false"/>
          <w:i/>
          <w:sz w:val="20"/>
        </w:rPr>
        <w:t>Part I- Financial Information, Item 1 – Notes to Consolidated Financial Statements – Note 3 – Liquidity and Impairment Assessment.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changes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and cash equivalents for the nine months ended September 30, 2024, and September 30, 2023, respectively, are discussed as follows:</w:t>
      </w:r>
      <w:r>
        <w:rPr>
          <w:rFonts w:ascii="Times New Roman;serif" w:hAnsi="Times New Roman;serif"/>
          <w:caps w:val="false"/>
          <w:smallCaps w:val="false"/>
          <w:sz w:val="20"/>
        </w:rPr>
        <w:t xml:space="preserve"> </w:t>
      </w:r>
      <w:bookmarkStart w:id="50" w:name="_Hlk69847856"/>
      <w:bookmarkEnd w:id="50"/>
    </w:p>
    <w:tbl>
      <w:tblPr>
        <w:tblW w:w="8957" w:type="dxa"/>
        <w:jc w:val="left"/>
        <w:tblInd w:w="0" w:type="dxa"/>
        <w:tblLayout w:type="fixed"/>
        <w:tblCellMar>
          <w:top w:w="0" w:type="dxa"/>
          <w:left w:w="0" w:type="dxa"/>
          <w:bottom w:w="0" w:type="dxa"/>
          <w:right w:w="0" w:type="dxa"/>
        </w:tblCellMar>
      </w:tblPr>
      <w:tblGrid>
        <w:gridCol w:w="5536"/>
        <w:gridCol w:w="109"/>
        <w:gridCol w:w="211"/>
        <w:gridCol w:w="796"/>
        <w:gridCol w:w="109"/>
        <w:gridCol w:w="211"/>
        <w:gridCol w:w="796"/>
        <w:gridCol w:w="109"/>
        <w:gridCol w:w="675"/>
        <w:gridCol w:w="405"/>
      </w:tblGrid>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Nine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September 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55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tc>
        <w:tc>
          <w:tcPr>
            <w:tcW w:w="4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(6,191)</w:t>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4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4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(897)</w:t>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4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tc>
        <w:tc>
          <w:tcPr>
            <w:tcW w:w="4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sz w:val="20"/>
        </w:rPr>
      </w:pPr>
      <w:bookmarkStart w:id="51" w:name="_Hlk69927655"/>
      <w:bookmarkEnd w:id="51"/>
      <w:r>
        <w:rPr>
          <w:rFonts w:ascii="Times New Roman;serif" w:hAnsi="Times New Roman;serif"/>
          <w:b/>
          <w:i/>
          <w:sz w:val="20"/>
        </w:rPr>
        <w:t>Operating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Cash used in operating activities for the nine months ended September 30, 2024, increased by $5.5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to</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$11.8 million compared to cash used in the same period of prior year of $6.4 million. This was primarily driven by an increase in Net Loss and offset by an increase in net payables.</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provided in investing activities during the nine months ended September 30, 2024 was $5.0 million compared to cash used in the same period of prior year of $6.2 million. This was due to $9.7 million proceeds from sale of the Culver City office building in February 2024.</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bookmarkStart w:id="52" w:name="_Hlk85485691"/>
      <w:bookmarkEnd w:id="5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provided in financing activities for the nine months ended September 30, 2024, increased by $6.0 million, to $2.1 million compared to cash used in the same prior year period. This was primarily due to the new bridge loan of $13.9 million from NAB on April 10, 2024, and an increase of $3.2 million for Westpac loan on August 19, 2024. The increase was partially offset by the payoff of the Citizens loan of $8.4 million, following the sale of the Culver City office buildings, the scheduled repayments of $4.0 million on the Bank of America Credit Facility, and $0.3 million debt repayment to Santander on August 23,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presents the changes in our total available resources (cash and borrowings), debt-to-equity ratio, working capital, and other relevant information addressing our liquidity for the nine months ended September 30, 2024, and preceding four years:</w:t>
      </w:r>
    </w:p>
    <w:tbl>
      <w:tblPr>
        <w:tblW w:w="9599" w:type="dxa"/>
        <w:jc w:val="left"/>
        <w:tblInd w:w="0" w:type="dxa"/>
        <w:tblLayout w:type="fixed"/>
        <w:tblCellMar>
          <w:top w:w="0" w:type="dxa"/>
          <w:left w:w="0" w:type="dxa"/>
          <w:bottom w:w="0" w:type="dxa"/>
          <w:right w:w="0" w:type="dxa"/>
        </w:tblCellMar>
      </w:tblPr>
      <w:tblGrid>
        <w:gridCol w:w="3286"/>
        <w:gridCol w:w="109"/>
        <w:gridCol w:w="418"/>
        <w:gridCol w:w="1577"/>
        <w:gridCol w:w="109"/>
        <w:gridCol w:w="196"/>
        <w:gridCol w:w="736"/>
        <w:gridCol w:w="109"/>
        <w:gridCol w:w="196"/>
        <w:gridCol w:w="736"/>
        <w:gridCol w:w="109"/>
        <w:gridCol w:w="196"/>
        <w:gridCol w:w="736"/>
        <w:gridCol w:w="109"/>
        <w:gridCol w:w="196"/>
        <w:gridCol w:w="781"/>
      </w:tblGrid>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8" w:type="dxa"/>
            <w:tcBorders/>
            <w:shd w:fill="FFFFFF" w:val="clear"/>
            <w:vAlign w:val="center"/>
          </w:tcPr>
          <w:p>
            <w:pPr>
              <w:pStyle w:val="TableContents"/>
              <w:bidi w:val="0"/>
              <w:spacing w:before="0" w:after="283"/>
              <w:jc w:val="left"/>
              <w:rPr>
                <w:sz w:val="4"/>
                <w:szCs w:val="4"/>
              </w:rPr>
            </w:pPr>
            <w:r>
              <w:rPr>
                <w:sz w:val="4"/>
                <w:szCs w:val="4"/>
              </w:rPr>
            </w:r>
          </w:p>
        </w:tc>
        <w:tc>
          <w:tcPr>
            <w:tcW w:w="15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8" w:type="dxa"/>
            <w:tcBorders/>
            <w:shd w:fill="FFFFFF" w:val="clear"/>
            <w:vAlign w:val="center"/>
          </w:tcPr>
          <w:p>
            <w:pPr>
              <w:pStyle w:val="TableContents"/>
              <w:bidi w:val="0"/>
              <w:spacing w:before="0" w:after="283"/>
              <w:jc w:val="left"/>
              <w:rPr>
                <w:sz w:val="4"/>
                <w:szCs w:val="4"/>
              </w:rPr>
            </w:pPr>
            <w:r>
              <w:rPr>
                <w:sz w:val="4"/>
                <w:szCs w:val="4"/>
              </w:rPr>
            </w:r>
          </w:p>
        </w:tc>
        <w:tc>
          <w:tcPr>
            <w:tcW w:w="15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As of and</w:t>
              <w:br/>
              <w:t>‎for the</w:t>
              <w:br/>
              <w:t>‎9-Months</w:t>
              <w:br/>
              <w:t>‎Ended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00"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Year Ended December 31</w:t>
            </w:r>
          </w:p>
        </w:tc>
      </w:tr>
      <w:tr>
        <w:trPr/>
        <w:tc>
          <w:tcPr>
            <w:tcW w:w="32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 Bold" w:hAnsi="Times New Roman Bold"/>
                <w:b w:val="false"/>
                <w:i/>
                <w:color w:val="000000"/>
                <w:sz w:val="16"/>
              </w:rPr>
            </w:pPr>
            <w:r>
              <w:rPr>
                <w:rFonts w:ascii="Times New Roman Bold" w:hAnsi="Times New Roman Bold"/>
                <w:b w:val="false"/>
                <w:i/>
                <w:color w:val="000000"/>
                <w:sz w:val="16"/>
              </w:rPr>
              <w:t>($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September 30,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2020</w:t>
            </w:r>
          </w:p>
        </w:tc>
      </w:tr>
      <w:tr>
        <w:trPr/>
        <w:tc>
          <w:tcPr>
            <w:tcW w:w="3286" w:type="dxa"/>
            <w:tcBorders/>
            <w:shd w:fill="FFFF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8" w:type="dxa"/>
            <w:tcBorders/>
            <w:shd w:fill="FFFFFF" w:val="clear"/>
            <w:vAlign w:val="center"/>
          </w:tcPr>
          <w:p>
            <w:pPr>
              <w:pStyle w:val="TableContents"/>
              <w:bidi w:val="0"/>
              <w:spacing w:before="0" w:after="283"/>
              <w:jc w:val="left"/>
              <w:rPr>
                <w:sz w:val="4"/>
                <w:szCs w:val="4"/>
              </w:rPr>
            </w:pPr>
            <w:r>
              <w:rPr>
                <w:sz w:val="4"/>
                <w:szCs w:val="4"/>
              </w:rPr>
            </w:r>
          </w:p>
        </w:tc>
        <w:tc>
          <w:tcPr>
            <w:tcW w:w="15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5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10,083 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26,826 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15,490 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Restricted for capital projects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9,377 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6,113 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period end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17,942 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95,251 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42,316 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period end</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10,083 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32,939 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222,876 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248,948 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300,449 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215,017 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236,948 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284,959 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52,624 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12,060 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42,299 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162,393 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224,888 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242,660 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105,060 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81,173 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46.68 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3.51 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(80,490)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(64,140)</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8" w:type="dxa"/>
            <w:tcBorders/>
            <w:shd w:fill="CCEEFF" w:val="clear"/>
            <w:vAlign w:val="center"/>
          </w:tcPr>
          <w:p>
            <w:pPr>
              <w:pStyle w:val="TableContents"/>
              <w:bidi w:val="0"/>
              <w:spacing w:before="0" w:after="283"/>
              <w:jc w:val="left"/>
              <w:rPr>
                <w:sz w:val="4"/>
                <w:szCs w:val="4"/>
              </w:rPr>
            </w:pPr>
            <w:r>
              <w:rPr>
                <w:sz w:val="4"/>
                <w:szCs w:val="4"/>
              </w:rPr>
            </w:r>
          </w:p>
        </w:tc>
        <w:tc>
          <w:tcPr>
            <w:tcW w:w="15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0.47 </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57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4,571 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16,759 </w:t>
            </w:r>
          </w:p>
        </w:tc>
      </w:tr>
    </w:tbl>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53" w:name="_Hlk69122165"/>
      <w:bookmarkEnd w:id="53"/>
      <w:r>
        <w:rPr>
          <w:rFonts w:ascii="Times New Roman;serif" w:hAnsi="Times New Roman;serif"/>
          <w:b w:val="false"/>
          <w:i w:val="false"/>
          <w:caps w:val="false"/>
          <w:smallCaps w:val="false"/>
          <w:sz w:val="16"/>
        </w:rPr>
        <w:t>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September 30, 2024, we had $10.1 million in unrestricted cash and cash equivalents compared to $12.9 million on December 31, 2023. On September 30, 2024, our total outstanding borrowings were $215.0 million compared to $210.3 million on December 31, 2023.</w:t>
      </w:r>
    </w:p>
    <w:p>
      <w:pPr>
        <w:pStyle w:val="TextBody"/>
        <w:bidi w:val="0"/>
        <w:spacing w:lineRule="auto" w:line="259" w:before="0" w:after="30"/>
        <w:jc w:val="both"/>
        <w:rPr>
          <w:rFonts w:ascii="Times New Roman;serif" w:hAnsi="Times New Roman;serif"/>
          <w:b w:val="false"/>
          <w:i w:val="false"/>
          <w:caps w:val="false"/>
          <w:smallCaps w:val="false"/>
          <w:sz w:val="20"/>
        </w:rPr>
      </w:pPr>
      <w:bookmarkStart w:id="54" w:name="_Hlk102226248"/>
      <w:bookmarkEnd w:id="54"/>
      <w:r>
        <w:rPr>
          <w:rFonts w:ascii="Times New Roman;serif" w:hAnsi="Times New Roman;serif"/>
          <w:b w:val="false"/>
          <w:i w:val="false"/>
          <w:caps w:val="false"/>
          <w:smallCaps w:val="false"/>
          <w:sz w:val="20"/>
        </w:rPr>
        <w:t xml:space="preserve">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CONTRACTUAL OBLIGATIONS, COMMITMENTS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with respect to the maturities and scheduled principal repayments of our recorded contractual obligations and certain of our commitments and contingencies, either recorded or off-balance sheet, as of September 30, 2024: </w:t>
      </w:r>
    </w:p>
    <w:tbl>
      <w:tblPr>
        <w:tblW w:w="9808" w:type="dxa"/>
        <w:jc w:val="left"/>
        <w:tblInd w:w="0" w:type="dxa"/>
        <w:tblLayout w:type="fixed"/>
        <w:tblCellMar>
          <w:top w:w="0" w:type="dxa"/>
          <w:left w:w="0" w:type="dxa"/>
          <w:bottom w:w="0" w:type="dxa"/>
          <w:right w:w="0" w:type="dxa"/>
        </w:tblCellMar>
      </w:tblPr>
      <w:tblGrid>
        <w:gridCol w:w="3151"/>
        <w:gridCol w:w="109"/>
        <w:gridCol w:w="196"/>
        <w:gridCol w:w="601"/>
        <w:gridCol w:w="109"/>
        <w:gridCol w:w="196"/>
        <w:gridCol w:w="691"/>
        <w:gridCol w:w="109"/>
        <w:gridCol w:w="196"/>
        <w:gridCol w:w="601"/>
        <w:gridCol w:w="109"/>
        <w:gridCol w:w="196"/>
        <w:gridCol w:w="601"/>
        <w:gridCol w:w="109"/>
        <w:gridCol w:w="196"/>
        <w:gridCol w:w="601"/>
        <w:gridCol w:w="109"/>
        <w:gridCol w:w="196"/>
        <w:gridCol w:w="691"/>
        <w:gridCol w:w="109"/>
        <w:gridCol w:w="196"/>
        <w:gridCol w:w="736"/>
      </w:tblGrid>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99,622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187,104</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30,862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29,623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27,239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23,460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21,834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113,572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246,590</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leases, including imputed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2,943</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417</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Estimated interest on debt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22,320</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Village East purchase option</w:t>
            </w:r>
            <w:r>
              <w:rPr>
                <w:rFonts w:ascii="Times New Roman;serif" w:hAnsi="Times New Roman;serif"/>
                <w:b w:val="false"/>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63,930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141,000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114,026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493,242</w:t>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(2)Estimated interest on debt is based on the anticipated loan balances for future periods and current applicable interest rates.  </w:t>
      </w:r>
    </w:p>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(3)Represents the lease liability of the option associated with the ground lease purchase of the Village East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Cinema, which on August 12, 2024 was extended to November 30, 2024 and our sublease of the facility was extended until September 1, 2026.</w:t>
      </w:r>
    </w:p>
    <w:p>
      <w:pPr>
        <w:pStyle w:val="TextBody"/>
        <w:bidi w:val="0"/>
        <w:spacing w:lineRule="auto" w:line="259"/>
        <w:rPr>
          <w:rFonts w:ascii="Times New Roman;serif" w:hAnsi="Times New Roman;serif"/>
          <w:b/>
          <w:i w:val="false"/>
          <w:caps w:val="false"/>
          <w:smallCaps w:val="false"/>
          <w:sz w:val="20"/>
        </w:rPr>
      </w:pPr>
      <w:bookmarkStart w:id="55" w:name="_Hlk69122991"/>
      <w:bookmarkEnd w:id="55"/>
      <w:r>
        <w:rPr>
          <w:rFonts w:ascii="Times New Roman;serif" w:hAnsi="Times New Roman;serif"/>
          <w:b/>
          <w:i w:val="false"/>
          <w:caps w:val="false"/>
          <w:smallCaps w:val="false"/>
          <w:sz w:val="20"/>
        </w:rPr>
        <w:t>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our 2023 Form 10-K for more information. There have been no material changes to our litigation since our 2023 Form 10-K, except as set forth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15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on this Quarterly Report on Form 10-Q. This note sets out our litigation accounting policies.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 </w:t>
      </w:r>
    </w:p>
    <w:p>
      <w:pPr>
        <w:pStyle w:val="TextBody"/>
        <w:bidi w:val="0"/>
        <w:spacing w:lineRule="auto" w:line="259"/>
        <w:rPr>
          <w:rFonts w:ascii="Times New Roman;serif" w:hAnsi="Times New Roman;serif"/>
          <w:b/>
          <w:i w:val="false"/>
          <w:caps w:val="false"/>
          <w:smallCaps w:val="false"/>
          <w:sz w:val="20"/>
        </w:rPr>
      </w:pPr>
      <w:bookmarkStart w:id="56" w:name="_Hlk69123268"/>
      <w:bookmarkEnd w:id="56"/>
      <w:r>
        <w:rPr>
          <w:rFonts w:ascii="Times New Roman;serif" w:hAnsi="Times New Roman;serif"/>
          <w:b/>
          <w:i w:val="false"/>
          <w:caps w:val="false"/>
          <w:smallCaps w:val="false"/>
          <w:sz w:val="20"/>
        </w:rPr>
        <w:t>CRITICAL ACCOUNTING POLICIES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 Impairment of Long-lived Assets (other than Goodwill and Intangible Assets with indefinite lives) – </w:t>
      </w:r>
      <w:r>
        <w:rPr>
          <w:rFonts w:ascii="Times New Roman;serif" w:hAnsi="Times New Roman;serif"/>
          <w:b w:val="false"/>
          <w:i w:val="false"/>
          <w:caps w:val="false"/>
          <w:smallCaps w:val="false"/>
          <w:color w:val="000000"/>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and finite-lived intangible assets for the quarter ended September 30, 2024.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(ii) Impairment of Goodwill and Intangible Assets with indefinite lives – </w:t>
      </w:r>
      <w:r>
        <w:rPr>
          <w:rFonts w:ascii="Times New Roman;serif" w:hAnsi="Times New Roman;serif"/>
          <w:b w:val="false"/>
          <w:i w:val="false"/>
          <w:caps w:val="false"/>
          <w:smallCaps w:val="false"/>
          <w:color w:val="000000"/>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quarter ended September 30, 2024.</w:t>
      </w:r>
    </w:p>
    <w:p>
      <w:pPr>
        <w:pStyle w:val="TextBody"/>
        <w:bidi w:val="0"/>
        <w:spacing w:lineRule="auto" w:line="259"/>
        <w:rPr>
          <w:rFonts w:ascii="Times New Roman;serif" w:hAnsi="Times New Roman;serif"/>
          <w:b/>
          <w:i w:val="false"/>
          <w:caps w:val="false"/>
          <w:smallCaps w:val="false"/>
          <w:sz w:val="20"/>
        </w:rPr>
      </w:pPr>
      <w:bookmarkStart w:id="57" w:name="_Hlk72071289"/>
      <w:bookmarkEnd w:id="57"/>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beliefs regarding the future of the Reading Viaduct;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the effects of our enhanced F&amp;B offerings on our operating results; our expectations regarding credit facility covenant compliance and our ability to continue to obtain necessary covenant waivers and loan extensions on terms acceptable to us; and our expectations of our liquidity and capital requirements and the allocation of funds; our expectations regarding our ability timely monetize certain assets and to generate sufficient cash proceeds from such sales; and our expectations concerning our ability to negotiate arrangements with our landlords to abate and/or defer the payment of rent; and our expectations regarding the reduction of the federal funds rate on our liquidity.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reduced consumer demand due to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effects of external events of the past COVID-19 pandemic and Hollywood Strikes on our Company’s results from operations, liquidity, cash flows, financial condition, and access to credit markets;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impact of the COVID-19 pandemic or other contagious diseases on short-term and/or long-term entertainment, leisure and discretionary spending habits and practices of our patrons;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decrease in attendance at our cinemas and theatres due to (i) increased ticket prices (ii) a change in consumer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behavior in favor of alternative forms or mediums of entertainment, and (iii) limited availability of wide release content;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reduction in operating margins (or negative operating margins) due to (i) decreased attendance, (ii) limited availability of wide release content, and (iii.) increased operating expenses;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unwillingness of employees to report to work due to the adverse effects of contagious diseases or to otherwise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uncertainty as to the scope and extent of our government's responses to future outbreak of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lack of availability of films in the short- or long-term as a result of (i) major film distributors releasing scheduled films on alternative channels or (ii) disruptions of film production or (iii) rescheduling of movie releases into later periods, as most currently experienced due to the effects of the 2023 Hollywood Strikes;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amount of money spent by film distributors to promote their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increasingly costly labor laws and regulations applicable to part time non-exempt workers. Disruptions in film supply and film marketing due to the 2023 Hollywood Strikes;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terms and conditions, including price, for the asset monetization transactions for the assets we have held for sale as of June 30, 2024.</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on tenants from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environmental remediation issues;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government policy, consumer willingness to visit shopping centers.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2024 and beyond, and the impact of increasing interest rates;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Eastern Europe and the threats of potential conflicts in the Asia-Pacific region;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Israel and the threats of other potential conflicts in the Middle East.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Forward-looking statements made by us in this quarter report are based only on information currently available to us and are current only as of the date of this Quarterly Report on Form 10-Q for the period ended September 30, 2024. We undertake no obligation to publicly update or to revise any of our forward-looking statements, whether as a result of new information, future events or otherwise,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except as may be required under applicable law. Accordingly, you should always note the date to which our forward-looking statements speak.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3 –</w:t>
      </w:r>
      <w:bookmarkStart w:id="58" w:name="Item3"/>
      <w:bookmarkEnd w:id="58"/>
      <w:r>
        <w:rPr>
          <w:rFonts w:ascii="Times New Roman;serif" w:hAnsi="Times New Roman;serif"/>
          <w:caps w:val="false"/>
          <w:smallCaps w:val="false"/>
          <w:sz w:val="20"/>
          <w:u w:val="single"/>
        </w:rPr>
        <w:t xml:space="preserve"> </w:t>
      </w:r>
      <w:r>
        <w:rPr>
          <w:rFonts w:ascii="Times New Roman;serif" w:hAnsi="Times New Roman;serif"/>
          <w:b/>
          <w:i w:val="false"/>
          <w:caps w:val="false"/>
          <w:smallCaps w:val="false"/>
          <w:sz w:val="20"/>
          <w:u w:val="single"/>
        </w:rPr>
        <w:t>Quantitative and Qualitative Disclosure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It is based on a single point in time;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It does not include the effects of other complex market reactions that would arise from the changes modeled.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the results of such an analysis may be useful as a benchmark, they should not be viewed as forecasts.</w:t>
      </w:r>
    </w:p>
    <w:p>
      <w:pPr>
        <w:pStyle w:val="TextBody"/>
        <w:bidi w:val="0"/>
        <w:spacing w:lineRule="auto" w:line="259"/>
        <w:rPr>
          <w:rFonts w:ascii="Times New Roman;serif" w:hAnsi="Times New Roman;serif"/>
          <w:b/>
          <w:i/>
          <w:sz w:val="20"/>
        </w:rPr>
      </w:pPr>
      <w:r>
        <w:rPr>
          <w:rFonts w:ascii="Times New Roman;serif" w:hAnsi="Times New Roman;serif"/>
          <w:b/>
          <w:i/>
          <w:sz w:val="20"/>
        </w:rPr>
        <w:t>Currency Risk</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pStyle w:val="TextBody"/>
        <w:bidi w:val="0"/>
        <w:spacing w:lineRule="auto" w:line="259"/>
        <w:rPr>
          <w:caps w:val="false"/>
          <w:smallCaps w:val="false"/>
        </w:rPr>
      </w:pPr>
      <w:r>
        <w:rPr>
          <w:caps w:val="false"/>
          <w:smallCaps w:val="false"/>
        </w:rPr>
        <w:drawing>
          <wp:inline distT="0" distB="0" distL="0" distR="0">
            <wp:extent cx="6838950" cy="4879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38950" cy="4879975"/>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Australian dollar and/or the New Zealand dollar would effectively raise the overall cost of our borrowing and capital and make it more expensive to return funds from the United States to Australia and New Zealand.</w:t>
      </w:r>
    </w:p>
    <w:p>
      <w:pPr>
        <w:pStyle w:val="TextBody"/>
        <w:bidi w:val="0"/>
        <w:spacing w:lineRule="auto" w:line="259"/>
        <w:rPr>
          <w:rFonts w:ascii="Times New Roman;serif" w:hAnsi="Times New Roman;serif"/>
          <w:sz w:val="20"/>
        </w:rPr>
      </w:pPr>
      <w:bookmarkStart w:id="59" w:name="_Hlk77580730"/>
      <w:bookmarkEnd w:id="59"/>
      <w:r>
        <w:rPr>
          <w:rFonts w:ascii="Times New Roman;serif" w:hAnsi="Times New Roman;serif"/>
          <w:b w:val="false"/>
          <w:i w:val="false"/>
          <w:caps w:val="false"/>
          <w:smallCaps w:val="false"/>
          <w:sz w:val="20"/>
        </w:rPr>
        <w:t>Our Company transacts business in Australia and New Zealand and is subject to risks associated with fluctuating foreign currency exchange rates. During the third quarter of 2024, the average Australian dollar and New Zealand dollar strengthened against the U.S. dollar by 2.3% and 1.1%, respectively, compared to the same prior year period.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However, on a year-to-date basis, the average Australian dollar and New Zealand dollar weakened against the U.S. Dollar by 1.0% and 1.3%, respectively.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September 30, 2024, approximately 38.1% and 9.3% of our assets were invested in assets denominated in Australian dollars (Reading Entertainment Australia) and New Zealand dollars (Reading New Zealand), respectively, including approximately $6.3 million in cash and cash equivalents. At December 31, 2023, approximately 36.4% and 8.9% of our assets were invested in assets denominated in Australian dollars (Reading Entertainment Australia) and New Zealand dollars (Reading New Zealand), respectively, including approximately $5.8 million in cash and cash equivalents.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an increase of $1.6 million for the quarter ended September 30, 2024. As we continue to progress our acquisition and development activities in Australia and New Zealand, no assurances can be given that the foreign currency effect on our earnings will not be material in the future.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unrealized foreign currency translation gains or losses that could materially affect our financial position. As of September 30, 2024, and December 31, 2023, the balance of cumulative foreign currency translation adjustments were approximately a ($1.0) million loss and ($1.0) million loss, respectively.</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Interest Rate Risk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exposure to interest rate risk arises out of our long-term floating-rate borrowings. To manage the risk, we utilize interest rate derivative contracts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convert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floating-rate borrowings into fixed-rate borrowings. It is our Company’s policy to enter into interest rate derivative transactions only to the extent considered necessary to meet its objectives as stated above. Our Company does not enter into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these transactions or any other hedging transactions for speculative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 combination of fixed and variable interest rate loans. In connection with our variable interest rate loans, a change of approximately 1% in short-term interest rates would have resulted in an approximate $518,000 increase or decrease in our quarterly interest expense.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discussion on market risks, please refer to </w:t>
      </w:r>
      <w:r>
        <w:rPr>
          <w:rFonts w:ascii="Times New Roman;serif" w:hAnsi="Times New Roman;serif"/>
          <w:b w:val="false"/>
          <w:i/>
          <w:sz w:val="20"/>
        </w:rPr>
        <w:t xml:space="preserve">Part I, Item 1A – Risk Factors </w:t>
      </w:r>
      <w:r>
        <w:rPr>
          <w:rFonts w:ascii="Times New Roman;serif" w:hAnsi="Times New Roman;serif"/>
          <w:b w:val="false"/>
          <w:i w:val="false"/>
          <w:caps w:val="false"/>
          <w:smallCaps w:val="false"/>
          <w:sz w:val="20"/>
        </w:rPr>
        <w:t>included on our 2023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 xml:space="preserve">Item 4 – </w:t>
      </w:r>
      <w:bookmarkStart w:id="60" w:name="Item4"/>
      <w:bookmarkEnd w:id="60"/>
      <w:r>
        <w:rPr>
          <w:rFonts w:ascii="Times New Roman;serif" w:hAnsi="Times New Roman;serif"/>
          <w:b/>
          <w:i w:val="false"/>
          <w:caps w:val="false"/>
          <w:smallCaps w:val="false"/>
          <w:sz w:val="20"/>
          <w:u w:val="single"/>
        </w:rPr>
        <w:t>Controls and Procedures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maintain disclosure controls and procedures that are designed to ensure that information required to be disclosed in our Company’s reports filed under the Securities Exchange Act of 1934, as amended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Exchange Act</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upon that evaluation, we concluded that, as of September 30, 2024, our disclosure controls and procedures were effective.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were no other changes in our internal control over financial reporting (as defined in Rule 13a-15(f) and 15d-15(f) under the Exchange Act) that occurred during the third quarter ended September 30, 2024, that have materially affected, or are reasonably likely to materially affect, our internal control over financial reporting.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 – Other Information</w:t>
      </w:r>
      <w:bookmarkStart w:id="61" w:name="Part2"/>
      <w:bookmarkEnd w:id="61"/>
    </w:p>
    <w:p>
      <w:pPr>
        <w:pStyle w:val="TextBody"/>
        <w:bidi w:val="0"/>
        <w:spacing w:lineRule="auto" w:line="259"/>
        <w:rPr>
          <w:rFonts w:ascii="Times New Roman;serif" w:hAnsi="Times New Roman;serif"/>
          <w:b/>
          <w:i w:val="false"/>
          <w:caps w:val="false"/>
          <w:smallCaps w:val="false"/>
          <w:sz w:val="20"/>
          <w:u w:val="single"/>
        </w:rPr>
      </w:pPr>
      <w:bookmarkStart w:id="62" w:name="Part2Item1"/>
      <w:bookmarkEnd w:id="62"/>
      <w:r>
        <w:rPr>
          <w:rFonts w:ascii="Times New Roman;serif" w:hAnsi="Times New Roman;serif"/>
          <w:b/>
          <w:i w:val="false"/>
          <w:caps w:val="false"/>
          <w:smallCaps w:val="false"/>
          <w:sz w:val="20"/>
          <w:u w:val="single"/>
        </w:rPr>
        <w:t xml:space="preserve">Item 1 – Legal Proceedings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information required under Part II, Item 1</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15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Quarterly Report on Form 10-Q.</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details on our legal proceedings, 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contained in our 2023 Form 10-K.</w:t>
      </w:r>
    </w:p>
    <w:p>
      <w:pPr>
        <w:pStyle w:val="TextBody"/>
        <w:bidi w:val="0"/>
        <w:spacing w:lineRule="auto" w:line="259"/>
        <w:rPr>
          <w:rFonts w:ascii="Times New Roman;serif" w:hAnsi="Times New Roman;serif"/>
          <w:sz w:val="20"/>
        </w:rPr>
      </w:pPr>
      <w:bookmarkStart w:id="63" w:name="Part2Item1A"/>
      <w:bookmarkEnd w:id="63"/>
      <w:r>
        <w:rPr>
          <w:rFonts w:ascii="Times New Roman;serif" w:hAnsi="Times New Roman;serif"/>
          <w:b/>
          <w:i w:val="false"/>
          <w:caps w:val="false"/>
          <w:smallCaps w:val="false"/>
          <w:sz w:val="20"/>
          <w:u w:val="single"/>
        </w:rPr>
        <w:t>Item 1A – Risk Factors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to the risk factors we previously disclosed in Item 1A of our 2023 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encourage investors to review the risks and uncertainties relating to our business disclosed under the heading Risk Factors or otherwise in the 2023 Form 10-K, as well as those contained in Part I – Forward-Looking Statements thereof, as revised or supplemented by our Quarterly Reports filed with the SEC since the filing of the 2023 Form 10-K.</w:t>
      </w:r>
    </w:p>
    <w:p>
      <w:pPr>
        <w:pStyle w:val="TextBody"/>
        <w:bidi w:val="0"/>
        <w:spacing w:lineRule="auto" w:line="259"/>
        <w:rPr>
          <w:rFonts w:ascii="Times New Roman;serif" w:hAnsi="Times New Roman;serif"/>
          <w:b/>
          <w:i w:val="false"/>
          <w:caps w:val="false"/>
          <w:smallCaps w:val="false"/>
          <w:sz w:val="20"/>
          <w:u w:val="single"/>
        </w:rPr>
      </w:pPr>
      <w:bookmarkStart w:id="64" w:name="_Hlk69848374"/>
      <w:bookmarkEnd w:id="64"/>
      <w:r>
        <w:rPr>
          <w:rFonts w:ascii="Times New Roman;serif" w:hAnsi="Times New Roman;serif"/>
          <w:b/>
          <w:i w:val="false"/>
          <w:caps w:val="false"/>
          <w:smallCaps w:val="false"/>
          <w:sz w:val="20"/>
          <w:u w:val="single"/>
        </w:rPr>
        <w:t>Item 2 – Sales of Equity Securities and Use of Proceeds</w:t>
      </w:r>
      <w:bookmarkStart w:id="65" w:name="Part2Item2"/>
      <w:bookmarkEnd w:id="65"/>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6" w:name="Part2Item3"/>
      <w:bookmarkEnd w:id="66"/>
      <w:r>
        <w:rPr>
          <w:rFonts w:ascii="Times New Roman;serif" w:hAnsi="Times New Roman;serif"/>
          <w:b/>
          <w:i w:val="false"/>
          <w:caps w:val="false"/>
          <w:smallCaps w:val="false"/>
          <w:sz w:val="20"/>
          <w:u w:val="single"/>
        </w:rPr>
        <w:t>Item 3 –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7" w:name="Part2Item4"/>
      <w:bookmarkEnd w:id="67"/>
      <w:r>
        <w:rPr>
          <w:rFonts w:ascii="Times New Roman;serif" w:hAnsi="Times New Roman;serif"/>
          <w:b/>
          <w:i w:val="false"/>
          <w:caps w:val="false"/>
          <w:smallCaps w:val="false"/>
          <w:sz w:val="20"/>
          <w:u w:val="single"/>
        </w:rPr>
        <w:t>Item 4 – Mine Safety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20"/>
          <w:u w:val="single"/>
        </w:rPr>
      </w:pPr>
      <w:bookmarkStart w:id="68" w:name="_Hlk69848352"/>
      <w:bookmarkStart w:id="69" w:name="Part2Item5"/>
      <w:bookmarkEnd w:id="68"/>
      <w:bookmarkEnd w:id="69"/>
      <w:r>
        <w:rPr>
          <w:rFonts w:ascii="Times New Roman;serif" w:hAnsi="Times New Roman;serif"/>
          <w:b/>
          <w:i w:val="false"/>
          <w:caps w:val="false"/>
          <w:smallCaps w:val="false"/>
          <w:sz w:val="20"/>
          <w:u w:val="single"/>
        </w:rPr>
        <w:t>Item 5 – Other Information</w:t>
      </w:r>
    </w:p>
    <w:p>
      <w:pPr>
        <w:pStyle w:val="TextBody"/>
        <w:bidi w:val="0"/>
        <w:spacing w:lineRule="auto" w:line="259"/>
        <w:rPr>
          <w:rFonts w:ascii="Times New Roman;serif" w:hAnsi="Times New Roman;serif"/>
          <w:sz w:val="20"/>
        </w:rPr>
      </w:pPr>
      <w:bookmarkStart w:id="70" w:name="Part2Item5_101"/>
      <w:bookmarkEnd w:id="70"/>
      <w:r>
        <w:rPr>
          <w:rFonts w:ascii="Times New Roman;serif" w:hAnsi="Times New Roman;serif"/>
          <w:b w:val="false"/>
          <w:i w:val="false"/>
          <w:caps w:val="false"/>
          <w:smallCaps w:val="false"/>
          <w:sz w:val="20"/>
        </w:rPr>
        <w:t>During the quarter ended September 30, 2024, no director or officer of the Company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trading arrangement” or a “non-Rule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(in each case, as defined in Item 408 of Regulation S-K).</w:t>
        <w:br/>
        <w:t>‎</w:t>
      </w:r>
    </w:p>
    <w:p>
      <w:pPr>
        <w:pStyle w:val="TextBody"/>
        <w:bidi w:val="0"/>
        <w:spacing w:lineRule="auto" w:line="259"/>
        <w:rPr>
          <w:caps w:val="false"/>
          <w:smallCaps w:val="false"/>
        </w:rPr>
      </w:pPr>
      <w:bookmarkStart w:id="71" w:name="_Hlk79170627"/>
      <w:bookmarkStart w:id="72" w:name="Part2Item6"/>
      <w:bookmarkEnd w:id="71"/>
      <w:bookmarkEnd w:id="72"/>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6 – Exhibits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10</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w:t>
      </w:r>
    </w:p>
    <w:tbl>
      <w:tblPr>
        <w:tblW w:w="10205" w:type="dxa"/>
        <w:jc w:val="left"/>
        <w:tblInd w:w="0" w:type="dxa"/>
        <w:tblLayout w:type="fixed"/>
        <w:tblCellMar>
          <w:top w:w="0" w:type="dxa"/>
          <w:left w:w="0" w:type="dxa"/>
          <w:bottom w:w="0" w:type="dxa"/>
          <w:right w:w="0" w:type="dxa"/>
        </w:tblCellMar>
      </w:tblPr>
      <w:tblGrid>
        <w:gridCol w:w="507"/>
        <w:gridCol w:w="9698"/>
      </w:tblGrid>
      <w:tr>
        <w:trPr/>
        <w:tc>
          <w:tcPr>
            <w:tcW w:w="507" w:type="dxa"/>
            <w:tcBorders/>
            <w:shd w:fill="FFFFFF" w:val="clear"/>
            <w:vAlign w:val="center"/>
          </w:tcPr>
          <w:p>
            <w:pPr>
              <w:pStyle w:val="TableContents"/>
              <w:bidi w:val="0"/>
              <w:spacing w:before="0" w:after="283"/>
              <w:jc w:val="left"/>
              <w:rPr>
                <w:sz w:val="4"/>
                <w:szCs w:val="4"/>
              </w:rPr>
            </w:pPr>
            <w:r>
              <w:rPr>
                <w:sz w:val="4"/>
                <w:szCs w:val="4"/>
              </w:rPr>
            </w:r>
          </w:p>
        </w:tc>
        <w:tc>
          <w:tcPr>
            <w:tcW w:w="9698" w:type="dxa"/>
            <w:tcBorders/>
            <w:shd w:fill="FFFFFF" w:val="clear"/>
            <w:vAlign w:val="center"/>
          </w:tcPr>
          <w:p>
            <w:pPr>
              <w:pStyle w:val="TableContents"/>
              <w:bidi w:val="0"/>
              <w:spacing w:before="0" w:after="283"/>
              <w:jc w:val="left"/>
              <w:rPr>
                <w:sz w:val="4"/>
                <w:szCs w:val="4"/>
              </w:rPr>
            </w:pPr>
            <w:r>
              <w:rPr>
                <w:sz w:val="4"/>
                <w:szCs w:val="4"/>
              </w:rPr>
            </w:r>
          </w:p>
        </w:tc>
      </w:tr>
      <w:tr>
        <w:trPr/>
        <w:tc>
          <w:tcPr>
            <w:tcW w:w="5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698" w:type="dxa"/>
            <w:tcBorders/>
            <w:shd w:fill="CCEEFF" w:val="clear"/>
            <w:vAlign w:val="center"/>
          </w:tcPr>
          <w:p>
            <w:pPr>
              <w:pStyle w:val="TableContents"/>
              <w:bidi w:val="0"/>
              <w:spacing w:lineRule="auto" w:line="259" w:before="0" w:after="283"/>
              <w:jc w:val="left"/>
              <w:rPr/>
            </w:pPr>
            <w:hyperlink w:anchor="rdi-20240930xex10_1.htm">
              <w:r>
                <w:rPr>
                  <w:rStyle w:val="InternetLink"/>
                  <w:rFonts w:ascii="Times New Roman;serif" w:hAnsi="Times New Roman;serif"/>
                  <w:b w:val="false"/>
                  <w:i w:val="false"/>
                  <w:caps w:val="false"/>
                  <w:smallCaps w:val="false"/>
                  <w:color w:val="0000FF"/>
                  <w:sz w:val="20"/>
                  <w:u w:val="single"/>
                </w:rPr>
                <w:t>Letter of Variation dated August 09, 2024, between Westpac New Zealand Limited and Reading Courtenay Central Limited</w:t>
              </w:r>
            </w:hyperlink>
          </w:p>
        </w:tc>
      </w:tr>
      <w:tr>
        <w:trPr/>
        <w:tc>
          <w:tcPr>
            <w:tcW w:w="507"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c>
          <w:tcPr>
            <w:tcW w:w="9698" w:type="dxa"/>
            <w:tcBorders/>
            <w:shd w:fill="FFFFFF" w:val="clear"/>
            <w:vAlign w:val="center"/>
          </w:tcPr>
          <w:p>
            <w:pPr>
              <w:pStyle w:val="TableContents"/>
              <w:bidi w:val="0"/>
              <w:spacing w:lineRule="auto" w:line="259" w:before="0" w:after="283"/>
              <w:jc w:val="left"/>
              <w:rPr/>
            </w:pPr>
            <w:hyperlink w:anchor="rdi-20240930xex31_1.htm">
              <w:r>
                <w:rPr>
                  <w:rStyle w:val="InternetLink"/>
                  <w:rFonts w:ascii="Times New Roman;serif" w:hAnsi="Times New Roman;serif"/>
                  <w:b w:val="false"/>
                  <w:i w:val="false"/>
                  <w:caps w:val="false"/>
                  <w:smallCaps w:val="false"/>
                  <w:color w:val="0000FF"/>
                  <w:sz w:val="20"/>
                  <w:u w:val="single"/>
                </w:rPr>
                <w:t>Certification of the Principal Executive Officer Pursuant to Section 302 of the Sarbanes-Oxley Act of 2002.</w:t>
              </w:r>
            </w:hyperlink>
          </w:p>
        </w:tc>
      </w:tr>
      <w:tr>
        <w:trPr/>
        <w:tc>
          <w:tcPr>
            <w:tcW w:w="5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w:t>
            </w:r>
          </w:p>
        </w:tc>
        <w:tc>
          <w:tcPr>
            <w:tcW w:w="9698" w:type="dxa"/>
            <w:tcBorders/>
            <w:shd w:fill="CCEEFF" w:val="clear"/>
            <w:vAlign w:val="center"/>
          </w:tcPr>
          <w:p>
            <w:pPr>
              <w:pStyle w:val="TableContents"/>
              <w:bidi w:val="0"/>
              <w:spacing w:lineRule="auto" w:line="259" w:before="0" w:after="283"/>
              <w:jc w:val="left"/>
              <w:rPr/>
            </w:pPr>
            <w:hyperlink w:anchor="rdi-20240930xex31_2.htm">
              <w:r>
                <w:rPr>
                  <w:rStyle w:val="InternetLink"/>
                  <w:rFonts w:ascii="Times New Roman;serif" w:hAnsi="Times New Roman;serif"/>
                  <w:b w:val="false"/>
                  <w:i w:val="false"/>
                  <w:caps w:val="false"/>
                  <w:smallCaps w:val="false"/>
                  <w:color w:val="0000FF"/>
                  <w:sz w:val="20"/>
                  <w:u w:val="single"/>
                </w:rPr>
                <w:t>Certification of the Principal Financial Officer Pursuant to Section 302 of the Sarbanes-Oxley Act of 2002.</w:t>
              </w:r>
            </w:hyperlink>
          </w:p>
        </w:tc>
      </w:tr>
      <w:tr>
        <w:trPr/>
        <w:tc>
          <w:tcPr>
            <w:tcW w:w="507"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9698" w:type="dxa"/>
            <w:tcBorders/>
            <w:shd w:fill="FFFFFF" w:val="clear"/>
            <w:vAlign w:val="center"/>
          </w:tcPr>
          <w:p>
            <w:pPr>
              <w:pStyle w:val="TableContents"/>
              <w:bidi w:val="0"/>
              <w:spacing w:lineRule="auto" w:line="259" w:before="0" w:after="283"/>
              <w:jc w:val="left"/>
              <w:rPr/>
            </w:pPr>
            <w:hyperlink w:anchor="rdi-20240930xex32.htm">
              <w:r>
                <w:rPr>
                  <w:rStyle w:val="InternetLink"/>
                  <w:rFonts w:ascii="Times New Roman;serif" w:hAnsi="Times New Roman;serif"/>
                  <w:b w:val="false"/>
                  <w:i w:val="false"/>
                  <w:caps w:val="false"/>
                  <w:smallCaps w:val="false"/>
                  <w:color w:val="0000FF"/>
                  <w:sz w:val="20"/>
                  <w:u w:val="single"/>
                </w:rPr>
                <w:t>Certifications Pursuant to Section 906 of the Sarbanes-Oxley Act of 2002.</w:t>
              </w:r>
            </w:hyperlink>
          </w:p>
        </w:tc>
      </w:tr>
      <w:tr>
        <w:trPr/>
        <w:tc>
          <w:tcPr>
            <w:tcW w:w="5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material from our Company’s Quarterly Report on Form 10-Q for the quarter ended September 30, 2024,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tc>
      </w:tr>
      <w:tr>
        <w:trPr/>
        <w:tc>
          <w:tcPr>
            <w:tcW w:w="5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9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 Page Interactive Data File (formatted in iXBRL and contained in Exhibit 101)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herewith</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Furnished herewith</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bookmarkStart w:id="73" w:name="Signatures"/>
      <w:bookmarkEnd w:id="73"/>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November 14,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and Chief Executive Officer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November 14,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TextBody"/>
        <w:bidi w:val="0"/>
        <w:spacing w:before="1" w:after="0"/>
        <w:ind w:left="720" w:right="720" w:hanging="0"/>
        <w:jc w:val="left"/>
        <w:rPr>
          <w:rFonts w:cs="Calibri"/>
          <w:szCs w:val="6"/>
        </w:rPr>
      </w:pPr>
      <w:bookmarkStart w:id="74" w:name="rdi-20240930xex10_1.htm"/>
      <w:bookmarkStart w:id="75" w:name="ksrdi20240930xex10_1"/>
      <w:bookmarkEnd w:id="74"/>
      <w:bookmarkEnd w:id="75"/>
      <w:r>
        <w:rPr>
          <w:rFonts w:cs="Times New Roman"/>
          <w:szCs w:val="7"/>
        </w:rPr>
        <w:t>﻿</w:t>
      </w:r>
      <w:r>
        <w:rPr>
          <w:rFonts w:cs="Calibri"/>
          <w:szCs w:val="6"/>
        </w:rPr>
        <w:t xml:space="preserve"> </w:t>
      </w:r>
      <w:r>
        <w:br w:type="page"/>
      </w:r>
    </w:p>
    <w:p>
      <w:pPr>
        <w:pStyle w:val="TextBody"/>
        <w:bidi w:val="0"/>
        <w:spacing w:before="0" w:after="0"/>
        <w:ind w:left="2880" w:right="720" w:hanging="0"/>
        <w:jc w:val="left"/>
        <w:rPr>
          <w:rFonts w:cs="Calibri"/>
          <w:szCs w:val="20"/>
        </w:rPr>
      </w:pPr>
      <w:r>
        <w:rPr>
          <w:rFonts w:cs="Times New Roman"/>
          <w:szCs w:val="20"/>
        </w:rPr>
        <w:t>﻿</w:t>
      </w:r>
      <w:r>
        <w:rPr>
          <w:rFonts w:cs="Calibri"/>
          <w:szCs w:val="20"/>
        </w:rPr>
        <w:t xml:space="preserve"> </w:t>
      </w:r>
    </w:p>
    <w:p>
      <w:pPr>
        <w:pStyle w:val="TextBody"/>
        <w:bidi w:val="0"/>
        <w:spacing w:lineRule="atLeast" w:line="188" w:before="0" w:after="0"/>
        <w:ind w:left="10080" w:right="720" w:hanging="0"/>
        <w:jc w:val="right"/>
        <w:rPr>
          <w:rFonts w:ascii="Calibri" w:hAnsi="Calibri"/>
          <w:sz w:val="20"/>
        </w:rPr>
      </w:pPr>
      <w:r>
        <w:rPr>
          <w:rFonts w:ascii="Calibri" w:hAnsi="Calibri"/>
          <w:b/>
          <w:sz w:val="20"/>
        </w:rPr>
        <w:t>Exhibit 10.1</w:t>
      </w:r>
      <w:r>
        <w:rPr>
          <w:rFonts w:ascii="Calibri" w:hAnsi="Calibri"/>
          <w:sz w:val="20"/>
        </w:rPr>
        <w:t xml:space="preserve"> </w:t>
      </w:r>
    </w:p>
    <w:p>
      <w:pPr>
        <w:pStyle w:val="TextBody"/>
        <w:bidi w:val="0"/>
        <w:spacing w:lineRule="atLeast" w:line="188" w:before="0" w:after="0"/>
        <w:ind w:left="6480" w:right="720" w:hanging="0"/>
        <w:jc w:val="right"/>
        <w:rPr>
          <w:rFonts w:cs="Calibri"/>
          <w:szCs w:val="16"/>
        </w:rPr>
      </w:pPr>
      <w:r>
        <w:rPr>
          <w:rFonts w:cs="Lucida Sans"/>
          <w:szCs w:val="16"/>
        </w:rPr>
        <w:t>﻿</w:t>
      </w:r>
      <w:r>
        <w:rPr>
          <w:rFonts w:cs="Calibri"/>
          <w:szCs w:val="16"/>
        </w:rPr>
        <w:t xml:space="preserve"> </w:t>
      </w:r>
    </w:p>
    <w:tbl>
      <w:tblPr>
        <w:tblW w:w="6700" w:type="dxa"/>
        <w:jc w:val="left"/>
        <w:tblInd w:w="720" w:type="dxa"/>
        <w:tblLayout w:type="fixed"/>
        <w:tblCellMar>
          <w:top w:w="0" w:type="dxa"/>
          <w:left w:w="0" w:type="dxa"/>
          <w:bottom w:w="0" w:type="dxa"/>
          <w:right w:w="0" w:type="dxa"/>
        </w:tblCellMar>
      </w:tblPr>
      <w:tblGrid>
        <w:gridCol w:w="2315"/>
        <w:gridCol w:w="60"/>
        <w:gridCol w:w="4325"/>
      </w:tblGrid>
      <w:tr>
        <w:trPr/>
        <w:tc>
          <w:tcPr>
            <w:tcW w:w="2315" w:type="dxa"/>
            <w:tcBorders/>
          </w:tcPr>
          <w:p>
            <w:pPr>
              <w:pStyle w:val="TableContents"/>
              <w:bidi w:val="0"/>
              <w:spacing w:before="0" w:after="0"/>
              <w:ind w:left="0" w:right="0" w:hanging="0"/>
              <w:jc w:val="left"/>
              <w:rPr>
                <w:rFonts w:cs="Calibri"/>
                <w:szCs w:val="2"/>
              </w:rPr>
            </w:pPr>
            <w:r>
              <w:rPr>
                <w:rFonts w:cs="Calibri"/>
                <w:szCs w:val="2"/>
              </w:rPr>
              <w:t>﻿</w:t>
            </w:r>
          </w:p>
        </w:tc>
        <w:tc>
          <w:tcPr>
            <w:tcW w:w="60" w:type="dxa"/>
            <w:tcBorders/>
          </w:tcPr>
          <w:p>
            <w:pPr>
              <w:pStyle w:val="TableContents"/>
              <w:bidi w:val="0"/>
              <w:spacing w:before="0" w:after="0"/>
              <w:ind w:left="0" w:right="0" w:hanging="0"/>
              <w:jc w:val="left"/>
              <w:rPr/>
            </w:pPr>
            <w:r>
              <w:rPr/>
              <w:t> </w:t>
            </w:r>
          </w:p>
        </w:tc>
        <w:tc>
          <w:tcPr>
            <w:tcW w:w="4325" w:type="dxa"/>
            <w:tcBorders/>
          </w:tcPr>
          <w:p>
            <w:pPr>
              <w:pStyle w:val="TableContents"/>
              <w:bidi w:val="0"/>
              <w:spacing w:before="0" w:after="0"/>
              <w:ind w:left="0" w:right="0" w:hanging="0"/>
              <w:jc w:val="left"/>
              <w:rPr>
                <w:rFonts w:ascii="Calibri" w:hAnsi="Calibri"/>
                <w:sz w:val="20"/>
              </w:rPr>
            </w:pPr>
            <w:r>
              <w:rPr>
                <w:rFonts w:ascii="Calibri" w:hAnsi="Calibri"/>
                <w:sz w:val="20"/>
              </w:rPr>
              <w:t>Auckland 1010, NZ</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2315" w:type="dxa"/>
            <w:tcBorders/>
          </w:tcPr>
          <w:p>
            <w:pPr>
              <w:pStyle w:val="TableContents"/>
              <w:bidi w:val="0"/>
              <w:spacing w:before="0" w:after="0"/>
              <w:ind w:left="0" w:right="0" w:hanging="0"/>
              <w:jc w:val="left"/>
              <w:rPr>
                <w:rFonts w:cs="Calibri"/>
                <w:szCs w:val="22"/>
              </w:rPr>
            </w:pPr>
            <w:r>
              <w:rPr>
                <w:rFonts w:cs="Calibri"/>
                <w:szCs w:val="22"/>
              </w:rPr>
              <w:t>﻿</w:t>
            </w:r>
            <w:bookmarkStart w:id="76" w:name="_Hlk157676641"/>
            <w:bookmarkEnd w:id="76"/>
            <w:r>
              <w:rPr>
                <w:rFonts w:cs="Calibri"/>
                <w:szCs w:val="22"/>
              </w:rPr>
              <w:drawing>
                <wp:inline distT="0" distB="0" distL="0" distR="0">
                  <wp:extent cx="1447800" cy="285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47800" cy="285750"/>
                          </a:xfrm>
                          <a:prstGeom prst="rect">
                            <a:avLst/>
                          </a:prstGeom>
                        </pic:spPr>
                      </pic:pic>
                    </a:graphicData>
                  </a:graphic>
                </wp:inline>
              </w:drawing>
            </w:r>
          </w:p>
        </w:tc>
        <w:tc>
          <w:tcPr>
            <w:tcW w:w="60" w:type="dxa"/>
            <w:tcBorders/>
          </w:tcPr>
          <w:p>
            <w:pPr>
              <w:pStyle w:val="TableContents"/>
              <w:bidi w:val="0"/>
              <w:spacing w:before="0" w:after="0"/>
              <w:ind w:left="0" w:right="0" w:hanging="0"/>
              <w:jc w:val="left"/>
              <w:rPr/>
            </w:pPr>
            <w:r>
              <w:rPr/>
              <w:t> </w:t>
            </w:r>
          </w:p>
        </w:tc>
        <w:tc>
          <w:tcPr>
            <w:tcW w:w="4325" w:type="dxa"/>
            <w:tcBorders/>
          </w:tcPr>
          <w:p>
            <w:pPr>
              <w:pStyle w:val="TableContents"/>
              <w:bidi w:val="0"/>
              <w:spacing w:before="0" w:after="0"/>
              <w:ind w:left="0" w:right="0" w:hanging="0"/>
              <w:jc w:val="left"/>
              <w:rPr>
                <w:rFonts w:ascii="Calibri" w:hAnsi="Calibri"/>
                <w:sz w:val="20"/>
              </w:rPr>
            </w:pPr>
            <w:r>
              <w:rPr>
                <w:rFonts w:ascii="Calibri" w:hAnsi="Calibri"/>
                <w:sz w:val="20"/>
              </w:rPr>
              <w:t>Westpac New Zealand Limited</w:t>
            </w:r>
          </w:p>
          <w:p>
            <w:pPr>
              <w:pStyle w:val="TableContents"/>
              <w:bidi w:val="0"/>
              <w:spacing w:before="0" w:after="0"/>
              <w:ind w:left="0" w:right="0" w:hanging="0"/>
              <w:jc w:val="left"/>
              <w:rPr>
                <w:rFonts w:ascii="Calibri" w:hAnsi="Calibri"/>
                <w:sz w:val="20"/>
              </w:rPr>
            </w:pPr>
            <w:r>
              <w:rPr>
                <w:rFonts w:ascii="Calibri" w:hAnsi="Calibri"/>
                <w:sz w:val="20"/>
              </w:rPr>
              <w:t xml:space="preserve">Level 4, Cityside, Westpac on Takutai Square, </w:t>
            </w:r>
          </w:p>
          <w:p>
            <w:pPr>
              <w:pStyle w:val="TableContents"/>
              <w:bidi w:val="0"/>
              <w:spacing w:before="0" w:after="0"/>
              <w:ind w:left="0" w:right="0" w:hanging="0"/>
              <w:jc w:val="left"/>
              <w:rPr>
                <w:rFonts w:ascii="Calibri" w:hAnsi="Calibri"/>
                <w:sz w:val="20"/>
              </w:rPr>
            </w:pPr>
            <w:r>
              <w:rPr>
                <w:rFonts w:ascii="Calibri" w:hAnsi="Calibri"/>
                <w:sz w:val="20"/>
              </w:rPr>
              <w:t>Auckland 1010, NZ</w:t>
            </w:r>
          </w:p>
          <w:p>
            <w:pPr>
              <w:pStyle w:val="TableContents"/>
              <w:bidi w:val="0"/>
              <w:spacing w:before="0" w:after="0"/>
              <w:ind w:left="0" w:right="0" w:hanging="0"/>
              <w:jc w:val="left"/>
              <w:rPr>
                <w:rFonts w:ascii="Calibri" w:hAnsi="Calibri"/>
                <w:sz w:val="20"/>
              </w:rPr>
            </w:pPr>
            <w:r>
              <w:rPr>
                <w:rFonts w:ascii="Calibri" w:hAnsi="Calibri"/>
                <w:sz w:val="20"/>
              </w:rPr>
              <w:t>PO Box 7740, Victoria Street West, Auckland 1142, NZ</w:t>
            </w:r>
          </w:p>
          <w:p>
            <w:pPr>
              <w:pStyle w:val="TableContents"/>
              <w:bidi w:val="0"/>
              <w:spacing w:before="0" w:after="0"/>
              <w:ind w:left="0" w:right="0" w:hanging="0"/>
              <w:jc w:val="left"/>
              <w:rPr>
                <w:rFonts w:ascii="Calibri" w:hAnsi="Calibri"/>
                <w:b/>
                <w:sz w:val="20"/>
              </w:rPr>
            </w:pPr>
            <w:r>
              <w:rPr>
                <w:rFonts w:ascii="Calibri" w:hAnsi="Calibri"/>
                <w:b/>
                <w:sz w:val="20"/>
              </w:rPr>
              <w:t>SPECIALISED BUSINESS SERVICES</w:t>
            </w:r>
          </w:p>
          <w:p>
            <w:pPr>
              <w:pStyle w:val="TableContents"/>
              <w:bidi w:val="0"/>
              <w:spacing w:before="0" w:after="0"/>
              <w:ind w:left="0" w:right="0" w:hanging="0"/>
              <w:jc w:val="left"/>
              <w:rPr/>
            </w:pPr>
            <w:r>
              <w:rPr/>
              <w:t> </w:t>
            </w:r>
          </w:p>
        </w:tc>
      </w:tr>
    </w:tbl>
    <w:p>
      <w:pPr>
        <w:pStyle w:val="TextBody"/>
        <w:bidi w:val="0"/>
        <w:spacing w:before="0" w:after="0"/>
        <w:ind w:left="720" w:right="720" w:hanging="0"/>
        <w:jc w:val="left"/>
        <w:rPr>
          <w:rFonts w:cs="Calibri"/>
          <w:szCs w:val="22"/>
        </w:rPr>
      </w:pPr>
      <w:r>
        <w:rPr>
          <w:rFonts w:cs="Calibri"/>
          <w:szCs w:val="22"/>
        </w:rPr>
        <w:t xml:space="preserve">﻿ </w:t>
      </w:r>
    </w:p>
    <w:p>
      <w:pPr>
        <w:pStyle w:val="TextBody"/>
        <w:bidi w:val="0"/>
        <w:spacing w:before="0" w:after="0"/>
        <w:ind w:left="720" w:right="720" w:hanging="0"/>
        <w:jc w:val="left"/>
        <w:rPr>
          <w:rFonts w:cs="Calibri"/>
          <w:szCs w:val="20"/>
        </w:rPr>
      </w:pPr>
      <w:r>
        <w:rPr>
          <w:rFonts w:cs="Times New Roman"/>
          <w:szCs w:val="20"/>
        </w:rPr>
        <w:t>﻿</w:t>
      </w:r>
      <w:r>
        <w:rPr>
          <w:rFonts w:cs="Calibri"/>
          <w:szCs w:val="20"/>
        </w:rPr>
        <w:t xml:space="preserve"> </w:t>
      </w:r>
    </w:p>
    <w:p>
      <w:pPr>
        <w:pStyle w:val="TextBody"/>
        <w:bidi w:val="0"/>
        <w:spacing w:before="0" w:after="0"/>
        <w:ind w:left="720" w:right="720" w:hanging="0"/>
        <w:jc w:val="left"/>
        <w:rPr>
          <w:rFonts w:cs="Calibri"/>
          <w:szCs w:val="20"/>
        </w:rPr>
      </w:pPr>
      <w:r>
        <w:rPr>
          <w:rFonts w:cs="Times New Roman"/>
          <w:szCs w:val="20"/>
        </w:rPr>
        <w:t>﻿</w:t>
      </w:r>
      <w:r>
        <w:rPr>
          <w:rFonts w:cs="Calibri"/>
          <w:szCs w:val="20"/>
        </w:rPr>
        <w:t xml:space="preserve"> </w:t>
      </w:r>
    </w:p>
    <w:p>
      <w:pPr>
        <w:pStyle w:val="TextBody"/>
        <w:bidi w:val="0"/>
        <w:spacing w:before="0" w:after="0"/>
        <w:ind w:left="720" w:right="720" w:hanging="0"/>
        <w:jc w:val="left"/>
        <w:rPr>
          <w:rFonts w:cs="Calibri"/>
          <w:szCs w:val="20"/>
        </w:rPr>
      </w:pPr>
      <w:r>
        <w:rPr>
          <w:rFonts w:cs="Times New Roman"/>
          <w:szCs w:val="20"/>
        </w:rPr>
        <w:t>﻿</w:t>
      </w:r>
      <w:r>
        <w:rPr>
          <w:rFonts w:cs="Calibri"/>
          <w:szCs w:val="20"/>
        </w:rPr>
        <w:t xml:space="preserve"> </w:t>
      </w:r>
    </w:p>
    <w:p>
      <w:pPr>
        <w:pStyle w:val="TextBody"/>
        <w:bidi w:val="0"/>
        <w:spacing w:before="126" w:after="0"/>
        <w:ind w:left="2160" w:right="720" w:hanging="0"/>
        <w:jc w:val="left"/>
        <w:rPr>
          <w:rFonts w:ascii="Calibri" w:hAnsi="Calibri"/>
          <w:sz w:val="20"/>
        </w:rPr>
      </w:pPr>
      <w:r>
        <w:rPr>
          <w:rFonts w:ascii="Calibri" w:hAnsi="Calibri"/>
          <w:sz w:val="20"/>
        </w:rPr>
        <w:t xml:space="preserve">09 August 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0" w:after="0"/>
        <w:ind w:left="720" w:right="720" w:hanging="0"/>
        <w:jc w:val="left"/>
        <w:rPr>
          <w:rFonts w:cs="Calibri"/>
          <w:szCs w:val="28"/>
        </w:rPr>
      </w:pPr>
      <w:r>
        <w:rPr>
          <w:rFonts w:cs="Calibri"/>
          <w:szCs w:val="29"/>
        </w:rPr>
        <w:t>﻿</w:t>
      </w:r>
      <w:r>
        <w:rPr>
          <w:rFonts w:cs="Calibri"/>
          <w:szCs w:val="28"/>
        </w:rPr>
        <w:t xml:space="preserve"> </w:t>
      </w:r>
    </w:p>
    <w:p>
      <w:pPr>
        <w:pStyle w:val="TextBody"/>
        <w:pBdr/>
        <w:bidi w:val="0"/>
        <w:spacing w:before="0" w:after="0"/>
        <w:ind w:left="2160" w:right="720" w:hanging="0"/>
        <w:jc w:val="left"/>
        <w:rPr>
          <w:rFonts w:ascii="Calibri" w:hAnsi="Calibri"/>
          <w:sz w:val="20"/>
        </w:rPr>
      </w:pPr>
      <w:r>
        <w:rPr>
          <w:rFonts w:ascii="Calibri" w:hAnsi="Calibri"/>
          <w:sz w:val="20"/>
        </w:rPr>
        <w:t xml:space="preserve">The Directors </w:t>
      </w:r>
    </w:p>
    <w:p>
      <w:pPr>
        <w:pStyle w:val="TextBody"/>
        <w:pBdr/>
        <w:bidi w:val="0"/>
        <w:spacing w:lineRule="auto" w:line="278" w:before="39" w:after="0"/>
        <w:ind w:left="2160" w:right="2967" w:hanging="0"/>
        <w:jc w:val="left"/>
        <w:rPr>
          <w:rFonts w:ascii="Calibri" w:hAnsi="Calibri"/>
          <w:sz w:val="20"/>
        </w:rPr>
      </w:pPr>
      <w:r>
        <w:rPr>
          <w:rFonts w:ascii="Calibri" w:hAnsi="Calibri"/>
          <w:sz w:val="20"/>
        </w:rPr>
        <w:t xml:space="preserve">Reading Courtenay Central Limited  </w:t>
      </w:r>
    </w:p>
    <w:p>
      <w:pPr>
        <w:pStyle w:val="TextBody"/>
        <w:pBdr/>
        <w:bidi w:val="0"/>
        <w:spacing w:lineRule="auto" w:line="278" w:before="39" w:after="0"/>
        <w:ind w:left="2160" w:right="2967" w:hanging="0"/>
        <w:jc w:val="left"/>
        <w:rPr>
          <w:rFonts w:ascii="Calibri" w:hAnsi="Calibri"/>
          <w:sz w:val="20"/>
        </w:rPr>
      </w:pPr>
      <w:r>
        <w:rPr>
          <w:rFonts w:ascii="Calibri" w:hAnsi="Calibri"/>
          <w:sz w:val="20"/>
        </w:rPr>
        <w:t xml:space="preserve">C/- Reading International Limited  </w:t>
      </w:r>
    </w:p>
    <w:p>
      <w:pPr>
        <w:pStyle w:val="TextBody"/>
        <w:pBdr/>
        <w:bidi w:val="0"/>
        <w:spacing w:lineRule="auto" w:line="278" w:before="39" w:after="0"/>
        <w:ind w:left="2160" w:right="2967" w:hanging="0"/>
        <w:jc w:val="left"/>
        <w:rPr>
          <w:rFonts w:ascii="Calibri" w:hAnsi="Calibri"/>
          <w:sz w:val="20"/>
        </w:rPr>
      </w:pPr>
      <w:r>
        <w:rPr>
          <w:rFonts w:ascii="Calibri" w:hAnsi="Calibri"/>
          <w:sz w:val="20"/>
        </w:rPr>
        <w:t xml:space="preserve">5995 Sepulveda Blvd </w:t>
      </w:r>
    </w:p>
    <w:p>
      <w:pPr>
        <w:pStyle w:val="TextBody"/>
        <w:pBdr/>
        <w:bidi w:val="0"/>
        <w:spacing w:lineRule="auto" w:line="278" w:before="0" w:after="0"/>
        <w:ind w:left="2160" w:right="4741" w:hanging="0"/>
        <w:jc w:val="left"/>
        <w:rPr>
          <w:rFonts w:ascii="Calibri" w:hAnsi="Calibri"/>
          <w:sz w:val="20"/>
        </w:rPr>
      </w:pPr>
      <w:r>
        <w:rPr>
          <w:rFonts w:ascii="Calibri" w:hAnsi="Calibri"/>
          <w:sz w:val="20"/>
        </w:rPr>
        <w:t xml:space="preserve">Suite 300 Culver City </w:t>
      </w:r>
    </w:p>
    <w:p>
      <w:pPr>
        <w:pStyle w:val="TextBody"/>
        <w:pBdr/>
        <w:bidi w:val="0"/>
        <w:spacing w:lineRule="atLeast" w:line="242" w:before="0" w:after="0"/>
        <w:ind w:left="2160" w:right="720" w:hanging="0"/>
        <w:jc w:val="left"/>
        <w:rPr>
          <w:rFonts w:ascii="Calibri" w:hAnsi="Calibri"/>
          <w:sz w:val="20"/>
        </w:rPr>
      </w:pPr>
      <w:r>
        <w:rPr>
          <w:rFonts w:ascii="Calibri" w:hAnsi="Calibri"/>
          <w:sz w:val="20"/>
        </w:rPr>
        <w:t xml:space="preserve">California 90230 </w:t>
      </w:r>
    </w:p>
    <w:p>
      <w:pPr>
        <w:pStyle w:val="TextBody"/>
        <w:pBdr/>
        <w:bidi w:val="0"/>
        <w:spacing w:before="39" w:after="0"/>
        <w:ind w:left="2160" w:right="720" w:hanging="0"/>
        <w:jc w:val="left"/>
        <w:rPr>
          <w:rFonts w:ascii="Calibri" w:hAnsi="Calibri"/>
          <w:sz w:val="20"/>
        </w:rPr>
      </w:pPr>
      <w:r>
        <w:rPr>
          <w:rFonts w:ascii="Calibri" w:hAnsi="Calibri"/>
          <w:sz w:val="20"/>
        </w:rPr>
        <w:t xml:space="preserve">United States of America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0" w:after="0"/>
        <w:ind w:left="720" w:right="720" w:hanging="0"/>
        <w:jc w:val="left"/>
        <w:rPr>
          <w:rFonts w:cs="Calibri"/>
          <w:szCs w:val="16"/>
        </w:rPr>
      </w:pPr>
      <w:r>
        <w:rPr>
          <w:rFonts w:cs="Calibri"/>
          <w:szCs w:val="17"/>
        </w:rPr>
        <w:t>﻿</w:t>
      </w:r>
      <w:r>
        <w:rPr>
          <w:rFonts w:cs="Calibri"/>
          <w:szCs w:val="16"/>
        </w:rPr>
        <w:t xml:space="preserve"> </w:t>
      </w:r>
    </w:p>
    <w:p>
      <w:pPr>
        <w:pStyle w:val="TextBody"/>
        <w:bidi w:val="0"/>
        <w:spacing w:before="0" w:after="0"/>
        <w:ind w:left="2160" w:right="720" w:hanging="0"/>
        <w:jc w:val="left"/>
        <w:rPr>
          <w:rFonts w:ascii="Calibri" w:hAnsi="Calibri"/>
          <w:sz w:val="20"/>
        </w:rPr>
      </w:pPr>
      <w:r>
        <w:rPr>
          <w:rFonts w:ascii="Calibri" w:hAnsi="Calibri"/>
          <w:sz w:val="20"/>
        </w:rPr>
        <w:t xml:space="preserve">Dear Directors, </w:t>
      </w:r>
    </w:p>
    <w:p>
      <w:pPr>
        <w:pStyle w:val="TextBody"/>
        <w:bidi w:val="0"/>
        <w:spacing w:before="0" w:after="0"/>
        <w:ind w:left="720" w:right="720" w:hanging="0"/>
        <w:jc w:val="left"/>
        <w:rPr>
          <w:rFonts w:cs="Calibri"/>
          <w:szCs w:val="26"/>
        </w:rPr>
      </w:pPr>
      <w:r>
        <w:rPr>
          <w:rFonts w:cs="Calibri"/>
          <w:szCs w:val="26"/>
        </w:rPr>
        <w:t xml:space="preserve">﻿ </w:t>
      </w:r>
    </w:p>
    <w:p>
      <w:pPr>
        <w:pStyle w:val="TextBody"/>
        <w:bidi w:val="0"/>
        <w:spacing w:before="0" w:after="0"/>
        <w:ind w:left="2160" w:right="720" w:hanging="0"/>
        <w:jc w:val="left"/>
        <w:rPr>
          <w:rFonts w:ascii="Calibri" w:hAnsi="Calibri"/>
          <w:b/>
          <w:sz w:val="20"/>
        </w:rPr>
      </w:pPr>
      <w:r>
        <w:rPr>
          <w:rFonts w:ascii="Calibri" w:hAnsi="Calibri"/>
          <w:b/>
          <w:sz w:val="20"/>
          <w:u w:val="single"/>
        </w:rPr>
        <w:t>BANKING FACILITIES – READING COURTENAY CENTRAL LIMITED</w:t>
      </w:r>
      <w:r>
        <w:rPr>
          <w:rFonts w:ascii="Calibri" w:hAnsi="Calibri"/>
          <w:b/>
          <w:sz w:val="20"/>
        </w:rPr>
        <w:t xml:space="preserve"> </w:t>
      </w:r>
    </w:p>
    <w:p>
      <w:pPr>
        <w:pStyle w:val="TextBody"/>
        <w:bidi w:val="0"/>
        <w:spacing w:before="59" w:after="0"/>
        <w:ind w:left="2160" w:right="720" w:hanging="0"/>
        <w:jc w:val="left"/>
        <w:rPr>
          <w:rFonts w:cs="Calibri"/>
          <w:szCs w:val="20"/>
        </w:rPr>
      </w:pPr>
      <w:r>
        <w:rPr>
          <w:rFonts w:cs="Calibri"/>
          <w:szCs w:val="20"/>
        </w:rPr>
        <w:t xml:space="preserve">﻿ </w:t>
      </w:r>
    </w:p>
    <w:p>
      <w:pPr>
        <w:pStyle w:val="TextBody"/>
        <w:bidi w:val="0"/>
        <w:spacing w:before="6" w:after="0"/>
        <w:ind w:left="720" w:right="720" w:hanging="0"/>
        <w:jc w:val="left"/>
        <w:rPr>
          <w:rFonts w:cs="Calibri"/>
          <w:szCs w:val="18"/>
        </w:rPr>
      </w:pPr>
      <w:r>
        <w:rPr>
          <w:rFonts w:cs="Lucida Sans"/>
          <w:bCs/>
          <w:szCs w:val="18"/>
        </w:rPr>
        <w:t>﻿</w:t>
      </w:r>
      <w:r>
        <w:rPr>
          <w:rFonts w:cs="Calibri"/>
          <w:szCs w:val="18"/>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We are pleased to confirm that we have approved the following changes to your banking arrangements: </w:t>
      </w:r>
    </w:p>
    <w:p>
      <w:pPr>
        <w:pStyle w:val="TextBody"/>
        <w:bidi w:val="0"/>
        <w:spacing w:before="8" w:after="0"/>
        <w:ind w:left="720" w:right="720" w:hanging="0"/>
        <w:jc w:val="left"/>
        <w:rPr>
          <w:rFonts w:cs="Calibri"/>
          <w:szCs w:val="22"/>
        </w:rPr>
      </w:pPr>
      <w:r>
        <w:rPr>
          <w:rFonts w:cs="Calibri"/>
          <w:szCs w:val="22"/>
        </w:rPr>
        <w:t xml:space="preserve">﻿ </w:t>
      </w:r>
    </w:p>
    <w:p>
      <w:pPr>
        <w:pStyle w:val="TextBody"/>
        <w:bidi w:val="0"/>
        <w:spacing w:before="0" w:after="0"/>
        <w:ind w:left="2160" w:right="720" w:hanging="0"/>
        <w:jc w:val="left"/>
        <w:rPr>
          <w:rFonts w:ascii="Calibri" w:hAnsi="Calibri"/>
          <w:b/>
          <w:sz w:val="20"/>
        </w:rPr>
      </w:pPr>
      <w:r>
        <w:rPr>
          <w:rFonts w:ascii="Calibri" w:hAnsi="Calibri"/>
          <w:b/>
          <w:sz w:val="20"/>
        </w:rPr>
        <w:t xml:space="preserve">THE CHANGES </w:t>
      </w:r>
    </w:p>
    <w:p>
      <w:pPr>
        <w:pStyle w:val="TextBody"/>
        <w:bidi w:val="0"/>
        <w:spacing w:before="120" w:after="0"/>
        <w:ind w:left="2160" w:right="1443" w:hanging="0"/>
        <w:jc w:val="left"/>
        <w:rPr>
          <w:rFonts w:ascii="Calibri" w:hAnsi="Calibri"/>
          <w:sz w:val="20"/>
        </w:rPr>
      </w:pPr>
      <w:r>
        <w:rPr>
          <w:rFonts w:ascii="Calibri" w:hAnsi="Calibri"/>
          <w:sz w:val="20"/>
        </w:rPr>
        <w:t xml:space="preserve">As it relates to your banking arrangements for the Multi Option Credit Line agreement dated 7 October 2016, as amended from time to time: </w:t>
      </w:r>
    </w:p>
    <w:p>
      <w:pPr>
        <w:pStyle w:val="TextBody"/>
        <w:bidi w:val="0"/>
        <w:spacing w:before="1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0" w:after="0"/>
        <w:ind w:left="2520" w:right="720" w:hanging="0"/>
        <w:jc w:val="left"/>
        <w:rPr>
          <w:rFonts w:ascii="Calibri" w:hAnsi="Calibri"/>
          <w:sz w:val="20"/>
        </w:rPr>
      </w:pPr>
      <w:r>
        <w:rPr>
          <w:rFonts w:ascii="Calibri" w:hAnsi="Calibri"/>
          <w:sz w:val="20"/>
        </w:rPr>
        <w:t>1.The limit of the MOCL shall be increased to $18,840,000 (+5,000,000)</w:t>
      </w:r>
      <w:r>
        <w:rPr>
          <w:rFonts w:ascii="Calibri" w:hAnsi="Calibri"/>
          <w:sz w:val="20"/>
        </w:rPr>
        <w:t xml:space="preserve"> </w:t>
      </w:r>
    </w:p>
    <w:p>
      <w:pPr>
        <w:pStyle w:val="TextBody"/>
        <w:bidi w:val="0"/>
        <w:spacing w:before="2" w:after="0"/>
        <w:ind w:left="720" w:right="720" w:hanging="0"/>
        <w:jc w:val="left"/>
        <w:rPr>
          <w:rFonts w:cs="Calibri"/>
          <w:szCs w:val="20"/>
        </w:rPr>
      </w:pPr>
      <w:r>
        <w:rPr>
          <w:rFonts w:cs="Calibri"/>
          <w:szCs w:val="20"/>
        </w:rPr>
        <w:t xml:space="preserve">﻿ </w:t>
      </w:r>
    </w:p>
    <w:p>
      <w:pPr>
        <w:pStyle w:val="TextBody"/>
        <w:pBdr/>
        <w:bidi w:val="0"/>
        <w:spacing w:before="0" w:after="0"/>
        <w:ind w:left="2520" w:right="720" w:hanging="0"/>
        <w:jc w:val="left"/>
        <w:rPr>
          <w:rFonts w:ascii="Calibri" w:hAnsi="Calibri"/>
          <w:sz w:val="20"/>
        </w:rPr>
      </w:pPr>
      <w:r>
        <w:rPr>
          <w:rFonts w:ascii="Calibri" w:hAnsi="Calibri"/>
          <w:sz w:val="20"/>
        </w:rPr>
        <w:t>2.The existing </w:t>
      </w:r>
      <w:r>
        <w:rPr>
          <w:rFonts w:ascii="Calibri" w:hAnsi="Calibri"/>
          <w:i/>
          <w:sz w:val="20"/>
        </w:rPr>
        <w:t>Equity</w:t>
      </w:r>
      <w:r>
        <w:rPr>
          <w:rFonts w:ascii="Calibri" w:hAnsi="Calibri"/>
          <w:sz w:val="20"/>
        </w:rPr>
        <w:t> </w:t>
      </w:r>
      <w:r>
        <w:rPr>
          <w:rFonts w:ascii="Calibri" w:hAnsi="Calibri"/>
          <w:i/>
          <w:sz w:val="20"/>
        </w:rPr>
        <w:t>ratio</w:t>
      </w:r>
      <w:r>
        <w:rPr>
          <w:rFonts w:ascii="Calibri" w:hAnsi="Calibri"/>
          <w:sz w:val="20"/>
        </w:rPr>
        <w:t> applicable to your banking arrangements is amended as follows:</w:t>
      </w:r>
      <w:r>
        <w:rPr>
          <w:rFonts w:ascii="Calibri" w:hAnsi="Calibri"/>
          <w:sz w:val="20"/>
        </w:rPr>
        <w:t xml:space="preserve"> </w:t>
      </w:r>
    </w:p>
    <w:p>
      <w:pPr>
        <w:pStyle w:val="TextBody"/>
        <w:pBdr/>
        <w:bidi w:val="0"/>
        <w:spacing w:before="120" w:after="0"/>
        <w:ind w:left="2520" w:right="1430" w:hanging="0"/>
        <w:jc w:val="both"/>
        <w:rPr>
          <w:rFonts w:ascii="Calibri" w:hAnsi="Calibri"/>
          <w:sz w:val="20"/>
        </w:rPr>
      </w:pPr>
      <w:r>
        <w:rPr>
          <w:rFonts w:ascii="Calibri" w:hAnsi="Calibri"/>
          <w:sz w:val="20"/>
        </w:rPr>
        <w:t xml:space="preserve">During the term of the facilities provided to you by Westpac NZ, you will maintain Shareholders’ Funds of not less than 40% of Adjusted Tangible Assets, for the period 1 April to 30 June 2024 (inclusive) with such ratio to be: </w:t>
      </w:r>
    </w:p>
    <w:p>
      <w:pPr>
        <w:pStyle w:val="TextBody"/>
        <w:pBdr/>
        <w:bidi w:val="0"/>
        <w:spacing w:lineRule="atLeast" w:line="243" w:before="0" w:after="0"/>
        <w:ind w:left="3228" w:right="720" w:hanging="0"/>
        <w:jc w:val="left"/>
        <w:rPr>
          <w:rFonts w:ascii="Calibri" w:hAnsi="Calibri"/>
          <w:sz w:val="20"/>
        </w:rPr>
      </w:pPr>
      <w:r>
        <w:rPr>
          <w:rFonts w:ascii="Calibri" w:hAnsi="Calibri"/>
          <w:sz w:val="20"/>
        </w:rPr>
        <w:t>(i)Not less than 35% from 1 July to 30 September 2024 (inclusive)</w:t>
      </w:r>
      <w:r>
        <w:rPr>
          <w:rFonts w:ascii="Calibri" w:hAnsi="Calibri"/>
          <w:sz w:val="20"/>
        </w:rPr>
        <w:t xml:space="preserve"> </w:t>
      </w:r>
    </w:p>
    <w:p>
      <w:pPr>
        <w:pStyle w:val="TextBody"/>
        <w:pBdr/>
        <w:bidi w:val="0"/>
        <w:spacing w:lineRule="atLeast" w:line="243" w:before="0" w:after="0"/>
        <w:ind w:left="3228" w:right="720" w:hanging="0"/>
        <w:jc w:val="left"/>
        <w:rPr>
          <w:rFonts w:ascii="Calibri" w:hAnsi="Calibri"/>
          <w:sz w:val="20"/>
        </w:rPr>
      </w:pPr>
      <w:r>
        <w:rPr>
          <w:rFonts w:ascii="Calibri" w:hAnsi="Calibri"/>
          <w:sz w:val="20"/>
        </w:rPr>
        <w:t>(ii)Not less than 40% from 1 October 2024 and thereafter.</w:t>
      </w:r>
      <w:r>
        <w:rPr>
          <w:rFonts w:ascii="Calibri" w:hAnsi="Calibri"/>
          <w:sz w:val="20"/>
        </w:rPr>
        <w:t xml:space="preserve"> </w:t>
      </w:r>
    </w:p>
    <w:p>
      <w:pPr>
        <w:pStyle w:val="TextBody"/>
        <w:pBdr/>
        <w:bidi w:val="0"/>
        <w:spacing w:before="123" w:after="0"/>
        <w:ind w:left="2520" w:right="1460" w:hanging="0"/>
        <w:jc w:val="left"/>
        <w:rPr>
          <w:rFonts w:ascii="Calibri" w:hAnsi="Calibri"/>
          <w:sz w:val="20"/>
        </w:rPr>
      </w:pPr>
      <w:r>
        <w:rPr>
          <w:rFonts w:ascii="Calibri" w:hAnsi="Calibri"/>
          <w:sz w:val="20"/>
        </w:rPr>
        <w:t xml:space="preserve">This covenant shall be tested quarterly from 30 June 2024 and thereafter on the Reporting Date by Westpac NZ in its absolute discretion. </w:t>
      </w:r>
    </w:p>
    <w:p>
      <w:pPr>
        <w:pStyle w:val="TextBody"/>
        <w:bidi w:val="0"/>
        <w:spacing w:before="1" w:after="0"/>
        <w:ind w:left="720" w:right="720" w:hanging="0"/>
        <w:jc w:val="left"/>
        <w:rPr>
          <w:rFonts w:cs="Calibri"/>
          <w:szCs w:val="22"/>
        </w:rPr>
      </w:pPr>
      <w:r>
        <w:rPr>
          <w:rFonts w:cs="Calibri"/>
          <w:szCs w:val="23"/>
        </w:rPr>
        <w:t>﻿</w:t>
      </w:r>
      <w:r>
        <w:rPr>
          <w:rFonts w:cs="Calibri"/>
          <w:szCs w:val="22"/>
        </w:rPr>
        <w:t xml:space="preserve"> </w:t>
      </w:r>
    </w:p>
    <w:p>
      <w:pPr>
        <w:pStyle w:val="TextBody"/>
        <w:bidi w:val="0"/>
        <w:spacing w:before="0" w:after="0"/>
        <w:ind w:left="2520" w:right="1443" w:hanging="0"/>
        <w:jc w:val="left"/>
        <w:rPr>
          <w:rFonts w:ascii="Calibri" w:hAnsi="Calibri"/>
          <w:sz w:val="20"/>
        </w:rPr>
      </w:pPr>
      <w:r>
        <w:rPr>
          <w:rFonts w:ascii="Calibri" w:hAnsi="Calibri"/>
          <w:sz w:val="20"/>
        </w:rPr>
        <w:t>3.Testing of the </w:t>
      </w:r>
      <w:r>
        <w:rPr>
          <w:rFonts w:ascii="Calibri" w:hAnsi="Calibri"/>
          <w:i/>
          <w:sz w:val="20"/>
        </w:rPr>
        <w:t>Interest</w:t>
      </w:r>
      <w:r>
        <w:rPr>
          <w:rFonts w:ascii="Calibri" w:hAnsi="Calibri"/>
          <w:sz w:val="20"/>
        </w:rPr>
        <w:t> </w:t>
      </w:r>
      <w:r>
        <w:rPr>
          <w:rFonts w:ascii="Calibri" w:hAnsi="Calibri"/>
          <w:i/>
          <w:sz w:val="20"/>
        </w:rPr>
        <w:t>Cover</w:t>
      </w:r>
      <w:r>
        <w:rPr>
          <w:rFonts w:ascii="Calibri" w:hAnsi="Calibri"/>
          <w:sz w:val="20"/>
        </w:rPr>
        <w:t> </w:t>
      </w:r>
      <w:r>
        <w:rPr>
          <w:rFonts w:ascii="Calibri" w:hAnsi="Calibri"/>
          <w:i/>
          <w:sz w:val="20"/>
        </w:rPr>
        <w:t>Ratio</w:t>
      </w:r>
      <w:r>
        <w:rPr>
          <w:rFonts w:ascii="Calibri" w:hAnsi="Calibri"/>
          <w:sz w:val="20"/>
        </w:rPr>
        <w:t> covenant, applicable to your banking arrangements, will be waived for the financial quarters ending 30 September 2024 and 31 December 2024.</w:t>
      </w:r>
      <w:r>
        <w:rPr>
          <w:rFonts w:ascii="Calibri" w:hAnsi="Calibri"/>
          <w:sz w:val="20"/>
        </w:rPr>
        <w:t xml:space="preserve"> </w:t>
      </w:r>
    </w:p>
    <w:p>
      <w:pPr>
        <w:pStyle w:val="TextBody"/>
        <w:bidi w:val="0"/>
        <w:spacing w:before="12"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520" w:right="1460" w:hanging="0"/>
        <w:jc w:val="left"/>
        <w:rPr>
          <w:rFonts w:ascii="Calibri" w:hAnsi="Calibri"/>
          <w:sz w:val="20"/>
        </w:rPr>
      </w:pPr>
      <w:r>
        <w:rPr>
          <w:rFonts w:ascii="Calibri" w:hAnsi="Calibri"/>
          <w:sz w:val="20"/>
        </w:rPr>
        <w:t>4.During the term of the facilities provided to you by Westpac NZ, you will not, without Westpac NZ’s prior written consent, repay any shareholders’ advances or the subordinated notes or make any other distributions to shareholders whether by way of distribution of profits, retained earnings or reserves.</w:t>
      </w:r>
      <w:r>
        <w:rPr>
          <w:rFonts w:ascii="Calibri" w:hAnsi="Calibri"/>
          <w:sz w:val="20"/>
        </w:rPr>
        <w:t xml:space="preserve"> </w:t>
      </w:r>
    </w:p>
    <w:p>
      <w:pPr>
        <w:pStyle w:val="TextBody"/>
        <w:bidi w:val="0"/>
        <w:spacing w:before="11"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b/>
          <w:sz w:val="20"/>
        </w:rPr>
      </w:pPr>
      <w:r>
        <w:rPr>
          <w:rFonts w:ascii="Calibri" w:hAnsi="Calibri"/>
          <w:b/>
          <w:sz w:val="20"/>
        </w:rPr>
        <w:t xml:space="preserve">CREDIT FEES AND CHARGES </w:t>
      </w:r>
    </w:p>
    <w:p>
      <w:pPr>
        <w:pStyle w:val="TextBody"/>
        <w:bidi w:val="0"/>
        <w:spacing w:before="120" w:after="0"/>
        <w:ind w:left="2160" w:right="720" w:hanging="0"/>
        <w:jc w:val="left"/>
        <w:rPr>
          <w:rFonts w:ascii="Calibri" w:hAnsi="Calibri"/>
          <w:sz w:val="20"/>
        </w:rPr>
      </w:pPr>
      <w:r>
        <w:rPr>
          <w:rFonts w:ascii="Calibri" w:hAnsi="Calibri"/>
          <w:sz w:val="20"/>
        </w:rPr>
        <w:t xml:space="preserve">Establishment Fee of $5,000 is payable on the date of execution of this agreement. </w:t>
      </w:r>
    </w:p>
    <w:p>
      <w:pPr>
        <w:pStyle w:val="TextBody"/>
        <w:bidi w:val="0"/>
        <w:spacing w:lineRule="atLeast" w:line="162" w:before="0" w:after="0"/>
        <w:ind w:left="740" w:right="720" w:hanging="0"/>
        <w:jc w:val="left"/>
        <w:rPr>
          <w:rFonts w:ascii="Calibri" w:hAnsi="Calibri"/>
          <w:sz w:val="14"/>
        </w:rPr>
      </w:pPr>
      <w:r>
        <w:rPr>
          <w:rFonts w:ascii="Calibri" w:hAnsi="Calibri"/>
          <w:sz w:val="14"/>
        </w:rPr>
        <w:t xml:space="preserve">Classification: PROTECTED </w:t>
      </w:r>
    </w:p>
    <w:p>
      <w:pPr>
        <w:pStyle w:val="TextBody"/>
        <w:bidi w:val="0"/>
        <w:spacing w:before="0" w:after="0"/>
        <w:ind w:left="720" w:right="720" w:hanging="0"/>
        <w:jc w:val="left"/>
        <w:rPr/>
      </w:pPr>
      <w:r>
        <w:rPr/>
        <w:t xml:space="preserve">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7"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b/>
          <w:sz w:val="20"/>
        </w:rPr>
      </w:pPr>
      <w:r>
        <w:rPr>
          <w:rFonts w:ascii="Calibri" w:hAnsi="Calibri"/>
          <w:b/>
          <w:sz w:val="20"/>
        </w:rPr>
        <w:t xml:space="preserve">THE CONDITIONS OF APPROVAL </w:t>
      </w:r>
    </w:p>
    <w:p>
      <w:pPr>
        <w:pStyle w:val="TextBody"/>
        <w:bidi w:val="0"/>
        <w:spacing w:before="118" w:after="0"/>
        <w:ind w:left="2160" w:right="720" w:hanging="0"/>
        <w:jc w:val="left"/>
        <w:rPr>
          <w:rFonts w:ascii="Calibri" w:hAnsi="Calibri"/>
          <w:sz w:val="20"/>
        </w:rPr>
      </w:pPr>
      <w:r>
        <w:rPr>
          <w:rFonts w:ascii="Calibri" w:hAnsi="Calibri"/>
          <w:sz w:val="20"/>
        </w:rPr>
        <w:t xml:space="preserve">Nil. </w:t>
      </w:r>
    </w:p>
    <w:p>
      <w:pPr>
        <w:pStyle w:val="TextBody"/>
        <w:bidi w:val="0"/>
        <w:spacing w:before="0" w:after="0"/>
        <w:ind w:left="2160" w:right="720" w:hanging="0"/>
        <w:jc w:val="left"/>
        <w:rPr>
          <w:rFonts w:cs="Calibri"/>
          <w:szCs w:val="22"/>
        </w:rPr>
      </w:pPr>
      <w:r>
        <w:rPr>
          <w:rFonts w:cs="Calibri"/>
          <w:szCs w:val="22"/>
        </w:rPr>
        <w:t xml:space="preserve">﻿ </w:t>
      </w:r>
    </w:p>
    <w:p>
      <w:pPr>
        <w:pStyle w:val="TextBody"/>
        <w:bidi w:val="0"/>
        <w:spacing w:before="0" w:after="0"/>
        <w:ind w:left="2160" w:right="720" w:hanging="0"/>
        <w:jc w:val="left"/>
        <w:rPr>
          <w:rFonts w:ascii="Calibri" w:hAnsi="Calibri"/>
          <w:sz w:val="22"/>
        </w:rPr>
      </w:pPr>
      <w:r>
        <w:rPr>
          <w:rFonts w:ascii="Calibri" w:hAnsi="Calibri"/>
          <w:sz w:val="22"/>
        </w:rPr>
        <w:t xml:space="preserve">In all other respects your banking arrangements remain unchanged. </w:t>
      </w:r>
    </w:p>
    <w:p>
      <w:pPr>
        <w:pStyle w:val="TextBody"/>
        <w:bidi w:val="0"/>
        <w:spacing w:before="9" w:after="0"/>
        <w:ind w:left="720" w:right="720" w:hanging="0"/>
        <w:jc w:val="left"/>
        <w:rPr>
          <w:rFonts w:cs="Calibri"/>
          <w:szCs w:val="22"/>
        </w:rPr>
      </w:pPr>
      <w:r>
        <w:rPr>
          <w:rFonts w:cs="Calibri"/>
          <w:szCs w:val="22"/>
        </w:rPr>
        <w:t xml:space="preserve">﻿ </w:t>
      </w:r>
    </w:p>
    <w:p>
      <w:pPr>
        <w:pStyle w:val="TextBody"/>
        <w:bidi w:val="0"/>
        <w:spacing w:before="0" w:after="0"/>
        <w:ind w:left="2160" w:right="800" w:hanging="0"/>
        <w:jc w:val="both"/>
        <w:rPr>
          <w:rFonts w:ascii="Calibri" w:hAnsi="Calibri"/>
          <w:sz w:val="20"/>
        </w:rPr>
      </w:pPr>
      <w:r>
        <w:rPr>
          <w:rFonts w:ascii="Calibri" w:hAnsi="Calibri"/>
          <w:sz w:val="20"/>
        </w:rPr>
        <w:t xml:space="preserve">If the terms of this letter are acceptable to you, please sign this letter, arrange for all guarantors to sign it, and return it. The changes will take effect from the date we receive the signed copy from you provided any conditions have been satisfied. </w:t>
      </w:r>
    </w:p>
    <w:p>
      <w:pPr>
        <w:pStyle w:val="TextBody"/>
        <w:bidi w:val="0"/>
        <w:spacing w:before="8" w:after="0"/>
        <w:ind w:left="720" w:right="720" w:hanging="0"/>
        <w:jc w:val="both"/>
        <w:rPr>
          <w:rFonts w:cs="Calibri"/>
          <w:szCs w:val="22"/>
        </w:rPr>
      </w:pPr>
      <w:r>
        <w:rPr>
          <w:rFonts w:cs="Calibri"/>
          <w:szCs w:val="22"/>
        </w:rPr>
        <w:t xml:space="preserve">﻿ </w:t>
      </w:r>
    </w:p>
    <w:p>
      <w:pPr>
        <w:pStyle w:val="TextBody"/>
        <w:bidi w:val="0"/>
        <w:spacing w:before="0" w:after="0"/>
        <w:ind w:left="2160" w:right="800" w:hanging="0"/>
        <w:jc w:val="both"/>
        <w:rPr>
          <w:rFonts w:ascii="Calibri" w:hAnsi="Calibri"/>
          <w:sz w:val="20"/>
        </w:rPr>
      </w:pPr>
      <w:r>
        <w:rPr>
          <w:rFonts w:ascii="Calibri" w:hAnsi="Calibri"/>
          <w:sz w:val="20"/>
        </w:rPr>
        <w:t xml:space="preserve">This letter may be executed in two or more counterparts, all of which will be deemed to constitute the same instrument. Westpac NZ may accept as an original a facsimile copy or copies of this letter executed by the parties, which when taken with a counterpart executed by Westpac NZ, will be deemed to be one original copy of this letter. </w:t>
      </w:r>
    </w:p>
    <w:p>
      <w:pPr>
        <w:pStyle w:val="TextBody"/>
        <w:bidi w:val="0"/>
        <w:spacing w:before="8" w:after="0"/>
        <w:ind w:left="720" w:right="720" w:hanging="0"/>
        <w:jc w:val="both"/>
        <w:rPr>
          <w:rFonts w:cs="Calibri"/>
          <w:szCs w:val="22"/>
        </w:rPr>
      </w:pPr>
      <w:r>
        <w:rPr>
          <w:rFonts w:cs="Calibri"/>
          <w:szCs w:val="22"/>
        </w:rPr>
        <w:t xml:space="preserve">﻿ </w:t>
      </w:r>
    </w:p>
    <w:p>
      <w:pPr>
        <w:pStyle w:val="TextBody"/>
        <w:bidi w:val="0"/>
        <w:spacing w:lineRule="auto" w:line="592" w:before="0" w:after="0"/>
        <w:ind w:left="2160" w:right="4146" w:hanging="0"/>
        <w:jc w:val="left"/>
        <w:rPr>
          <w:rFonts w:ascii="Calibri" w:hAnsi="Calibri"/>
          <w:sz w:val="20"/>
        </w:rPr>
      </w:pPr>
      <w:r>
        <w:rPr>
          <w:rFonts w:ascii="Calibri" w:hAnsi="Calibri"/>
          <w:sz w:val="20"/>
        </w:rPr>
        <w:t xml:space="preserve">This offer is open for acceptance until 5.00 pm on 26 August 2024 Yours faithfully, </w:t>
      </w:r>
    </w:p>
    <w:p>
      <w:pPr>
        <w:pStyle w:val="TextBody"/>
        <w:pBdr/>
        <w:bidi w:val="0"/>
        <w:spacing w:lineRule="atLeast" w:line="202" w:before="0" w:after="0"/>
        <w:ind w:left="2160" w:right="720" w:hanging="0"/>
        <w:jc w:val="left"/>
        <w:rPr>
          <w:rFonts w:ascii="Calibri" w:hAnsi="Calibri"/>
          <w:b/>
          <w:sz w:val="20"/>
        </w:rPr>
      </w:pPr>
      <w:r>
        <w:rPr>
          <w:rFonts w:ascii="Calibri" w:hAnsi="Calibri"/>
          <w:b/>
          <w:sz w:val="20"/>
        </w:rPr>
        <w:t xml:space="preserve">WESTPAC NEW ZEALAND LIMITED </w:t>
      </w:r>
    </w:p>
    <w:p>
      <w:pPr>
        <w:pStyle w:val="TextBody"/>
        <w:pBdr/>
        <w:bidi w:val="0"/>
        <w:spacing w:lineRule="atLeast" w:line="202" w:before="0" w:after="0"/>
        <w:ind w:left="2160" w:right="720" w:hanging="0"/>
        <w:jc w:val="left"/>
        <w:rPr>
          <w:rFonts w:cs="Calibri"/>
          <w:bCs/>
          <w:szCs w:val="20"/>
        </w:rPr>
      </w:pPr>
      <w:r>
        <w:rPr>
          <w:rFonts w:cs="Calibri"/>
          <w:bCs w:val="false"/>
          <w:szCs w:val="20"/>
        </w:rPr>
        <w:t>﻿</w:t>
      </w:r>
      <w:r>
        <w:rPr>
          <w:rFonts w:cs="Calibri"/>
          <w:bCs/>
          <w:szCs w:val="20"/>
        </w:rPr>
        <w:t xml:space="preserve"> </w:t>
      </w:r>
    </w:p>
    <w:p>
      <w:pPr>
        <w:pStyle w:val="TextBody"/>
        <w:bidi w:val="0"/>
        <w:spacing w:before="10" w:after="0"/>
        <w:ind w:left="720" w:right="720" w:hanging="0"/>
        <w:jc w:val="left"/>
        <w:rPr>
          <w:rFonts w:cs="Calibri"/>
          <w:szCs w:val="2"/>
        </w:rPr>
      </w:pPr>
      <w:r>
        <w:rPr>
          <w:rFonts w:cs="Calibri"/>
          <w:bCs/>
          <w:szCs w:val="2"/>
        </w:rPr>
        <w:t>﻿</w:t>
      </w:r>
      <w:r>
        <w:rPr>
          <w:rFonts w:cs="Calibri"/>
          <w:szCs w:val="2"/>
        </w:rPr>
        <w:t xml:space="preserve"> </w:t>
      </w:r>
    </w:p>
    <w:p>
      <w:pPr>
        <w:pStyle w:val="TextBody"/>
        <w:bidi w:val="0"/>
        <w:spacing w:before="0" w:after="0"/>
        <w:ind w:left="2160" w:right="720" w:hanging="0"/>
        <w:jc w:val="left"/>
        <w:rPr>
          <w:rFonts w:ascii="Calibri" w:hAnsi="Calibri"/>
          <w:sz w:val="20"/>
        </w:rPr>
      </w:pPr>
      <w:r>
        <w:rPr>
          <w:rFonts w:ascii="Calibri" w:hAnsi="Calibri"/>
          <w:sz w:val="20"/>
        </w:rPr>
        <w:t xml:space="preserve">/s/ Jennifer Wood </w:t>
      </w:r>
    </w:p>
    <w:p>
      <w:pPr>
        <w:pStyle w:val="TextBody"/>
        <w:bidi w:val="0"/>
        <w:spacing w:before="50" w:after="0"/>
        <w:ind w:left="2160" w:right="720" w:hanging="0"/>
        <w:jc w:val="left"/>
        <w:rPr>
          <w:rFonts w:ascii="Calibri" w:hAnsi="Calibri"/>
          <w:sz w:val="20"/>
        </w:rPr>
      </w:pPr>
      <w:r>
        <w:rPr>
          <w:rFonts w:ascii="Calibri" w:hAnsi="Calibri"/>
          <w:sz w:val="20"/>
        </w:rPr>
        <w:t xml:space="preserve">Jennifer Wood </w:t>
      </w:r>
    </w:p>
    <w:p>
      <w:pPr>
        <w:pStyle w:val="TextBody"/>
        <w:bidi w:val="0"/>
        <w:spacing w:lineRule="atLeast" w:line="243" w:before="0" w:after="0"/>
        <w:ind w:left="2160" w:right="720" w:hanging="0"/>
        <w:jc w:val="left"/>
        <w:rPr>
          <w:rFonts w:ascii="Calibri" w:hAnsi="Calibri"/>
          <w:b/>
          <w:sz w:val="20"/>
        </w:rPr>
      </w:pPr>
      <w:r>
        <w:rPr>
          <w:rFonts w:ascii="Calibri" w:hAnsi="Calibri"/>
          <w:b/>
          <w:sz w:val="20"/>
        </w:rPr>
        <w:t xml:space="preserve">SENIOR MANAGER </w:t>
      </w:r>
    </w:p>
    <w:p>
      <w:pPr>
        <w:pStyle w:val="TextBody"/>
        <w:bidi w:val="0"/>
        <w:spacing w:lineRule="atLeast" w:line="243" w:before="0" w:after="0"/>
        <w:ind w:left="2160" w:right="720" w:hanging="0"/>
        <w:jc w:val="left"/>
        <w:rPr>
          <w:rFonts w:ascii="Calibri" w:hAnsi="Calibri"/>
          <w:sz w:val="20"/>
        </w:rPr>
      </w:pPr>
      <w:r>
        <w:rPr>
          <w:rFonts w:ascii="Calibri" w:hAnsi="Calibri"/>
          <w:b/>
          <w:sz w:val="20"/>
        </w:rPr>
        <w:t>SPECIALISED</w:t>
      </w:r>
      <w:r>
        <w:rPr>
          <w:rFonts w:ascii="Calibri" w:hAnsi="Calibri"/>
          <w:sz w:val="20"/>
        </w:rPr>
        <w:t> </w:t>
      </w:r>
      <w:r>
        <w:rPr>
          <w:rFonts w:ascii="Calibri" w:hAnsi="Calibri"/>
          <w:b/>
          <w:sz w:val="20"/>
        </w:rPr>
        <w:t>BUSINESS</w:t>
      </w:r>
      <w:r>
        <w:rPr>
          <w:rFonts w:ascii="Calibri" w:hAnsi="Calibri"/>
          <w:sz w:val="20"/>
        </w:rPr>
        <w:t> </w:t>
      </w:r>
      <w:r>
        <w:rPr>
          <w:rFonts w:ascii="Calibri" w:hAnsi="Calibri"/>
          <w:b/>
          <w:sz w:val="20"/>
        </w:rPr>
        <w:t>SERVICES</w:t>
      </w:r>
      <w:r>
        <w:rPr>
          <w:rFonts w:ascii="Calibri" w:hAnsi="Calibri"/>
          <w:sz w:val="20"/>
        </w:rPr>
        <w:t xml:space="preserve"> </w:t>
      </w:r>
    </w:p>
    <w:p>
      <w:pPr>
        <w:pStyle w:val="TextBody"/>
        <w:bidi w:val="0"/>
        <w:spacing w:lineRule="atLeast" w:line="162" w:before="0" w:after="0"/>
        <w:ind w:left="740" w:right="720" w:hanging="0"/>
        <w:jc w:val="left"/>
        <w:rPr>
          <w:rFonts w:ascii="Calibri" w:hAnsi="Calibri"/>
          <w:sz w:val="14"/>
        </w:rPr>
      </w:pPr>
      <w:r>
        <w:rPr>
          <w:rFonts w:ascii="Calibri" w:hAnsi="Calibri"/>
          <w:sz w:val="14"/>
        </w:rPr>
        <w:t xml:space="preserve">Classification: PROTECTED </w:t>
      </w:r>
    </w:p>
    <w:p>
      <w:pPr>
        <w:pStyle w:val="TextBody"/>
        <w:bidi w:val="0"/>
        <w:spacing w:before="0" w:after="0"/>
        <w:ind w:left="720" w:right="720" w:hanging="0"/>
        <w:jc w:val="left"/>
        <w:rPr/>
      </w:pPr>
      <w:r>
        <w:rPr/>
        <w:t xml:space="preserve">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tLeast" w:line="243" w:before="0" w:after="0"/>
        <w:ind w:left="2160" w:right="720" w:hanging="0"/>
        <w:jc w:val="left"/>
        <w:rPr>
          <w:rFonts w:ascii="Calibri" w:hAnsi="Calibri"/>
          <w:sz w:val="22"/>
        </w:rPr>
      </w:pPr>
      <w:r>
        <w:rPr>
          <w:rFonts w:ascii="Calibri" w:hAnsi="Calibri"/>
          <w:b/>
          <w:sz w:val="20"/>
          <w:u w:val="single"/>
        </w:rPr>
        <w:t>ACCEPTANCE</w:t>
      </w:r>
      <w:r>
        <w:rPr>
          <w:rFonts w:ascii="Calibri" w:hAnsi="Calibri"/>
          <w:sz w:val="22"/>
        </w:rPr>
        <w:t xml:space="preserve"> </w:t>
      </w:r>
    </w:p>
    <w:p>
      <w:pPr>
        <w:pStyle w:val="TextBody"/>
        <w:bidi w:val="0"/>
        <w:spacing w:before="8" w:after="0"/>
        <w:ind w:left="720" w:right="720" w:hanging="0"/>
        <w:jc w:val="left"/>
        <w:rPr>
          <w:rFonts w:cs="Calibri"/>
          <w:szCs w:val="18"/>
        </w:rPr>
      </w:pPr>
      <w:r>
        <w:rPr>
          <w:rFonts w:cs="Calibri"/>
          <w:bCs/>
          <w:szCs w:val="18"/>
        </w:rPr>
        <w:t>﻿</w:t>
      </w:r>
      <w:r>
        <w:rPr>
          <w:rFonts w:cs="Calibri"/>
          <w:szCs w:val="18"/>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We accept the changes described in this letter. </w:t>
      </w:r>
    </w:p>
    <w:p>
      <w:pPr>
        <w:pStyle w:val="TextBody"/>
        <w:bidi w:val="0"/>
        <w:spacing w:before="11"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Borrower, </w:t>
      </w:r>
      <w:r>
        <w:rPr>
          <w:rFonts w:ascii="Calibri" w:hAnsi="Calibri"/>
          <w:b/>
          <w:sz w:val="20"/>
        </w:rPr>
        <w:t>Reading</w:t>
      </w:r>
      <w:r>
        <w:rPr>
          <w:rFonts w:ascii="Calibri" w:hAnsi="Calibri"/>
          <w:sz w:val="20"/>
        </w:rPr>
        <w:t> </w:t>
      </w:r>
      <w:r>
        <w:rPr>
          <w:rFonts w:ascii="Calibri" w:hAnsi="Calibri"/>
          <w:b/>
          <w:sz w:val="20"/>
        </w:rPr>
        <w:t>Courtenay</w:t>
      </w:r>
      <w:r>
        <w:rPr>
          <w:rFonts w:ascii="Calibri" w:hAnsi="Calibri"/>
          <w:sz w:val="20"/>
        </w:rPr>
        <w:t> </w:t>
      </w:r>
      <w:r>
        <w:rPr>
          <w:rFonts w:ascii="Calibri" w:hAnsi="Calibri"/>
          <w:b/>
          <w:sz w:val="20"/>
        </w:rPr>
        <w:t>Central</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pPr>
      <w:r>
        <w:rPr>
          <w:u w:val="single"/>
        </w:rPr>
        <w:t> </w:t>
      </w: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pPr>
      <w:r>
        <w:rPr>
          <w:u w:val="single"/>
        </w:rPr>
        <w:t> </w:t>
      </w: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2"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b/>
          <w:sz w:val="20"/>
        </w:rPr>
      </w:pPr>
      <w:r>
        <w:rPr>
          <w:rFonts w:ascii="Calibri" w:hAnsi="Calibri"/>
          <w:b/>
          <w:sz w:val="20"/>
          <w:u w:val="single"/>
        </w:rPr>
        <w:t>GUARANTOR'S CONSENT</w:t>
      </w:r>
      <w:r>
        <w:rPr>
          <w:rFonts w:ascii="Calibri" w:hAnsi="Calibri"/>
          <w:b/>
          <w:sz w:val="20"/>
        </w:rPr>
        <w:t xml:space="preserve"> </w:t>
      </w:r>
    </w:p>
    <w:p>
      <w:pPr>
        <w:pStyle w:val="TextBody"/>
        <w:bidi w:val="0"/>
        <w:spacing w:before="3" w:after="0"/>
        <w:ind w:left="720" w:right="720" w:hanging="0"/>
        <w:jc w:val="left"/>
        <w:rPr>
          <w:rFonts w:cs="Calibri"/>
          <w:szCs w:val="14"/>
        </w:rPr>
      </w:pPr>
      <w:r>
        <w:rPr>
          <w:rFonts w:cs="Calibri"/>
          <w:bCs/>
          <w:szCs w:val="15"/>
        </w:rPr>
        <w:t>﻿</w:t>
      </w:r>
      <w:r>
        <w:rPr>
          <w:rFonts w:cs="Calibri"/>
          <w:szCs w:val="14"/>
        </w:rPr>
        <w:t xml:space="preserve"> </w:t>
      </w:r>
    </w:p>
    <w:p>
      <w:pPr>
        <w:pStyle w:val="TextBody"/>
        <w:bidi w:val="0"/>
        <w:spacing w:lineRule="auto" w:line="717" w:before="59" w:after="0"/>
        <w:ind w:left="2160" w:right="2478" w:hanging="0"/>
        <w:jc w:val="left"/>
        <w:rPr>
          <w:rFonts w:ascii="Calibri" w:hAnsi="Calibri"/>
          <w:sz w:val="20"/>
        </w:rPr>
      </w:pPr>
      <w:r>
        <w:rPr>
          <w:rFonts w:ascii="Calibri" w:hAnsi="Calibri"/>
          <w:sz w:val="20"/>
        </w:rPr>
        <w:t>We confirm that our guarantee is not affected by the changes referred to in this letter. Signed on behalf of the guarantor, </w:t>
      </w:r>
      <w:r>
        <w:rPr>
          <w:rFonts w:ascii="Calibri" w:hAnsi="Calibri"/>
          <w:b/>
          <w:sz w:val="20"/>
        </w:rPr>
        <w:t>Reading</w:t>
      </w:r>
      <w:r>
        <w:rPr>
          <w:rFonts w:ascii="Calibri" w:hAnsi="Calibri"/>
          <w:sz w:val="20"/>
        </w:rPr>
        <w:t> </w:t>
      </w:r>
      <w:r>
        <w:rPr>
          <w:rFonts w:ascii="Calibri" w:hAnsi="Calibri"/>
          <w:b/>
          <w:sz w:val="20"/>
        </w:rPr>
        <w:t>New</w:t>
      </w:r>
      <w:r>
        <w:rPr>
          <w:rFonts w:ascii="Calibri" w:hAnsi="Calibri"/>
          <w:sz w:val="20"/>
        </w:rPr>
        <w:t> </w:t>
      </w:r>
      <w:r>
        <w:rPr>
          <w:rFonts w:ascii="Calibri" w:hAnsi="Calibri"/>
          <w:b/>
          <w:sz w:val="20"/>
        </w:rPr>
        <w:t>Zealand</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1"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0"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Reading</w:t>
      </w:r>
      <w:r>
        <w:rPr>
          <w:rFonts w:ascii="Calibri" w:hAnsi="Calibri"/>
          <w:sz w:val="20"/>
        </w:rPr>
        <w:t> </w:t>
      </w:r>
      <w:r>
        <w:rPr>
          <w:rFonts w:ascii="Calibri" w:hAnsi="Calibri"/>
          <w:b/>
          <w:sz w:val="20"/>
        </w:rPr>
        <w:t>Cinemas</w:t>
      </w:r>
      <w:r>
        <w:rPr>
          <w:rFonts w:ascii="Calibri" w:hAnsi="Calibri"/>
          <w:sz w:val="20"/>
        </w:rPr>
        <w:t> </w:t>
      </w:r>
      <w:r>
        <w:rPr>
          <w:rFonts w:ascii="Calibri" w:hAnsi="Calibri"/>
          <w:b/>
          <w:sz w:val="20"/>
        </w:rPr>
        <w:t>Courtenay</w:t>
      </w:r>
      <w:r>
        <w:rPr>
          <w:rFonts w:ascii="Calibri" w:hAnsi="Calibri"/>
          <w:sz w:val="20"/>
        </w:rPr>
        <w:t> </w:t>
      </w:r>
      <w:r>
        <w:rPr>
          <w:rFonts w:ascii="Calibri" w:hAnsi="Calibri"/>
          <w:b/>
          <w:sz w:val="20"/>
        </w:rPr>
        <w:t>Central</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lineRule="atLeast" w:line="162" w:before="0" w:after="0"/>
        <w:ind w:left="740" w:right="720" w:hanging="0"/>
        <w:jc w:val="left"/>
        <w:rPr>
          <w:rFonts w:ascii="Calibri" w:hAnsi="Calibri"/>
          <w:sz w:val="14"/>
        </w:rPr>
      </w:pPr>
      <w:r>
        <w:rPr>
          <w:rFonts w:ascii="Calibri" w:hAnsi="Calibri"/>
          <w:sz w:val="14"/>
        </w:rPr>
        <w:t xml:space="preserve">Classification: PROTECTED </w:t>
      </w:r>
    </w:p>
    <w:p>
      <w:pPr>
        <w:pStyle w:val="TextBody"/>
        <w:bidi w:val="0"/>
        <w:spacing w:before="0" w:after="0"/>
        <w:ind w:left="720" w:right="720" w:hanging="0"/>
        <w:jc w:val="left"/>
        <w:rPr/>
      </w:pPr>
      <w:r>
        <w:rPr/>
        <w:t xml:space="preserve">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59"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Reading</w:t>
      </w:r>
      <w:r>
        <w:rPr>
          <w:rFonts w:ascii="Calibri" w:hAnsi="Calibri"/>
          <w:sz w:val="20"/>
        </w:rPr>
        <w:t> </w:t>
      </w:r>
      <w:r>
        <w:rPr>
          <w:rFonts w:ascii="Calibri" w:hAnsi="Calibri"/>
          <w:b/>
          <w:sz w:val="20"/>
        </w:rPr>
        <w:t>New</w:t>
      </w:r>
      <w:r>
        <w:rPr>
          <w:rFonts w:ascii="Calibri" w:hAnsi="Calibri"/>
          <w:sz w:val="20"/>
        </w:rPr>
        <w:t> </w:t>
      </w:r>
      <w:r>
        <w:rPr>
          <w:rFonts w:ascii="Calibri" w:hAnsi="Calibri"/>
          <w:b/>
          <w:sz w:val="20"/>
        </w:rPr>
        <w:t>Lynn</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Reading</w:t>
      </w:r>
      <w:r>
        <w:rPr>
          <w:rFonts w:ascii="Calibri" w:hAnsi="Calibri"/>
          <w:sz w:val="20"/>
        </w:rPr>
        <w:t> </w:t>
      </w:r>
      <w:r>
        <w:rPr>
          <w:rFonts w:ascii="Calibri" w:hAnsi="Calibri"/>
          <w:b/>
          <w:sz w:val="20"/>
        </w:rPr>
        <w:t>Dunedin</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2"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Reading</w:t>
      </w:r>
      <w:r>
        <w:rPr>
          <w:rFonts w:ascii="Calibri" w:hAnsi="Calibri"/>
          <w:sz w:val="20"/>
        </w:rPr>
        <w:t> </w:t>
      </w:r>
      <w:r>
        <w:rPr>
          <w:rFonts w:ascii="Calibri" w:hAnsi="Calibri"/>
          <w:b/>
          <w:sz w:val="20"/>
        </w:rPr>
        <w:t>Queenstown</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2"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Reading</w:t>
      </w:r>
      <w:r>
        <w:rPr>
          <w:rFonts w:ascii="Calibri" w:hAnsi="Calibri"/>
          <w:sz w:val="20"/>
        </w:rPr>
        <w:t> </w:t>
      </w:r>
      <w:r>
        <w:rPr>
          <w:rFonts w:ascii="Calibri" w:hAnsi="Calibri"/>
          <w:b/>
          <w:sz w:val="20"/>
        </w:rPr>
        <w:t>Restaurants</w:t>
      </w:r>
      <w:r>
        <w:rPr>
          <w:rFonts w:ascii="Calibri" w:hAnsi="Calibri"/>
          <w:sz w:val="20"/>
        </w:rPr>
        <w:t> </w:t>
      </w:r>
      <w:r>
        <w:rPr>
          <w:rFonts w:ascii="Calibri" w:hAnsi="Calibri"/>
          <w:b/>
          <w:sz w:val="20"/>
        </w:rPr>
        <w:t>NZ</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1"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lineRule="atLeast" w:line="162" w:before="0" w:after="0"/>
        <w:ind w:left="740" w:right="720" w:hanging="0"/>
        <w:jc w:val="left"/>
        <w:rPr>
          <w:rFonts w:ascii="Calibri" w:hAnsi="Calibri"/>
          <w:sz w:val="14"/>
        </w:rPr>
      </w:pPr>
      <w:r>
        <w:rPr>
          <w:rFonts w:ascii="Calibri" w:hAnsi="Calibri"/>
          <w:sz w:val="14"/>
        </w:rPr>
        <w:t xml:space="preserve">Classification: PROTECTED </w:t>
      </w:r>
    </w:p>
    <w:p>
      <w:pPr>
        <w:pStyle w:val="TextBody"/>
        <w:bidi w:val="0"/>
        <w:spacing w:before="0" w:after="0"/>
        <w:ind w:left="720" w:right="720" w:hanging="0"/>
        <w:jc w:val="left"/>
        <w:rPr/>
      </w:pPr>
      <w:r>
        <w:rPr/>
        <w:t xml:space="preserve">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2160" w:right="720" w:hanging="0"/>
        <w:jc w:val="left"/>
        <w:rPr>
          <w:rFonts w:ascii="Calibri" w:hAnsi="Calibri"/>
          <w:sz w:val="22"/>
        </w:rPr>
      </w:pPr>
      <w:r>
        <w:rPr>
          <w:rFonts w:ascii="Calibri" w:hAnsi="Calibri"/>
          <w:sz w:val="20"/>
        </w:rPr>
        <w:t>Signed</w:t>
      </w:r>
      <w:r>
        <w:rPr>
          <w:rFonts w:ascii="Calibri" w:hAnsi="Calibri"/>
          <w:sz w:val="22"/>
        </w:rPr>
        <w:t> </w:t>
      </w:r>
      <w:r>
        <w:rPr>
          <w:rFonts w:ascii="Calibri" w:hAnsi="Calibri"/>
          <w:sz w:val="20"/>
        </w:rPr>
        <w:t>on</w:t>
      </w:r>
      <w:r>
        <w:rPr>
          <w:rFonts w:ascii="Calibri" w:hAnsi="Calibri"/>
          <w:sz w:val="22"/>
        </w:rPr>
        <w:t> </w:t>
      </w:r>
      <w:r>
        <w:rPr>
          <w:rFonts w:ascii="Calibri" w:hAnsi="Calibri"/>
          <w:sz w:val="20"/>
        </w:rPr>
        <w:t>behalf</w:t>
      </w:r>
      <w:r>
        <w:rPr>
          <w:rFonts w:ascii="Calibri" w:hAnsi="Calibri"/>
          <w:sz w:val="22"/>
        </w:rPr>
        <w:t> </w:t>
      </w:r>
      <w:r>
        <w:rPr>
          <w:rFonts w:ascii="Calibri" w:hAnsi="Calibri"/>
          <w:sz w:val="20"/>
        </w:rPr>
        <w:t>of</w:t>
      </w:r>
      <w:r>
        <w:rPr>
          <w:rFonts w:ascii="Calibri" w:hAnsi="Calibri"/>
          <w:sz w:val="22"/>
        </w:rPr>
        <w:t> </w:t>
      </w:r>
      <w:r>
        <w:rPr>
          <w:rFonts w:ascii="Calibri" w:hAnsi="Calibri"/>
          <w:sz w:val="20"/>
        </w:rPr>
        <w:t>the</w:t>
      </w:r>
      <w:r>
        <w:rPr>
          <w:rFonts w:ascii="Calibri" w:hAnsi="Calibri"/>
          <w:sz w:val="22"/>
        </w:rPr>
        <w:t> </w:t>
      </w:r>
      <w:r>
        <w:rPr>
          <w:rFonts w:ascii="Calibri" w:hAnsi="Calibri"/>
          <w:sz w:val="20"/>
        </w:rPr>
        <w:t>guarantor,</w:t>
      </w:r>
      <w:r>
        <w:rPr>
          <w:rFonts w:ascii="Calibri" w:hAnsi="Calibri"/>
          <w:sz w:val="22"/>
        </w:rPr>
        <w:t> </w:t>
      </w:r>
      <w:r>
        <w:rPr>
          <w:rFonts w:ascii="Calibri" w:hAnsi="Calibri"/>
          <w:b/>
          <w:sz w:val="20"/>
        </w:rPr>
        <w:t>Courtenay</w:t>
      </w:r>
      <w:r>
        <w:rPr>
          <w:rFonts w:ascii="Calibri" w:hAnsi="Calibri"/>
          <w:sz w:val="22"/>
        </w:rPr>
        <w:t> </w:t>
      </w:r>
      <w:r>
        <w:rPr>
          <w:rFonts w:ascii="Calibri" w:hAnsi="Calibri"/>
          <w:b/>
          <w:sz w:val="20"/>
        </w:rPr>
        <w:t>Car</w:t>
      </w:r>
      <w:r>
        <w:rPr>
          <w:rFonts w:ascii="Calibri" w:hAnsi="Calibri"/>
          <w:sz w:val="22"/>
        </w:rPr>
        <w:t> </w:t>
      </w:r>
      <w:r>
        <w:rPr>
          <w:rFonts w:ascii="Calibri" w:hAnsi="Calibri"/>
          <w:b/>
          <w:sz w:val="20"/>
        </w:rPr>
        <w:t>Park</w:t>
      </w:r>
      <w:r>
        <w:rPr>
          <w:rFonts w:ascii="Calibri" w:hAnsi="Calibri"/>
          <w:sz w:val="22"/>
        </w:rPr>
        <w:t> </w:t>
      </w:r>
      <w:r>
        <w:rPr>
          <w:rFonts w:ascii="Calibri" w:hAnsi="Calibri"/>
          <w:b/>
          <w:sz w:val="20"/>
        </w:rPr>
        <w:t>Limited,</w:t>
      </w:r>
      <w:r>
        <w:rPr>
          <w:rFonts w:ascii="Calibri" w:hAnsi="Calibri"/>
          <w:sz w:val="22"/>
        </w:rPr>
        <w:t> </w:t>
      </w:r>
      <w:r>
        <w:rPr>
          <w:rFonts w:ascii="Calibri" w:hAnsi="Calibri"/>
          <w:sz w:val="20"/>
        </w:rPr>
        <w:t>by:</w:t>
      </w:r>
      <w:r>
        <w:rPr>
          <w:rFonts w:ascii="Calibri" w:hAnsi="Calibri"/>
          <w:sz w:val="22"/>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Reading</w:t>
      </w:r>
      <w:r>
        <w:rPr>
          <w:rFonts w:ascii="Calibri" w:hAnsi="Calibri"/>
          <w:sz w:val="20"/>
        </w:rPr>
        <w:t> </w:t>
      </w:r>
      <w:r>
        <w:rPr>
          <w:rFonts w:ascii="Calibri" w:hAnsi="Calibri"/>
          <w:b/>
          <w:sz w:val="20"/>
        </w:rPr>
        <w:t>Wellington</w:t>
      </w:r>
      <w:r>
        <w:rPr>
          <w:rFonts w:ascii="Calibri" w:hAnsi="Calibri"/>
          <w:sz w:val="20"/>
        </w:rPr>
        <w:t> </w:t>
      </w:r>
      <w:r>
        <w:rPr>
          <w:rFonts w:ascii="Calibri" w:hAnsi="Calibri"/>
          <w:b/>
          <w:sz w:val="20"/>
        </w:rPr>
        <w:t>Properties</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2"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Queenstown</w:t>
      </w:r>
      <w:r>
        <w:rPr>
          <w:rFonts w:ascii="Calibri" w:hAnsi="Calibri"/>
          <w:sz w:val="20"/>
        </w:rPr>
        <w:t> </w:t>
      </w:r>
      <w:r>
        <w:rPr>
          <w:rFonts w:ascii="Calibri" w:hAnsi="Calibri"/>
          <w:b/>
          <w:sz w:val="20"/>
        </w:rPr>
        <w:t>Land</w:t>
      </w:r>
      <w:r>
        <w:rPr>
          <w:rFonts w:ascii="Calibri" w:hAnsi="Calibri"/>
          <w:sz w:val="20"/>
        </w:rPr>
        <w:t> </w:t>
      </w:r>
      <w:r>
        <w:rPr>
          <w:rFonts w:ascii="Calibri" w:hAnsi="Calibri"/>
          <w:b/>
          <w:sz w:val="20"/>
        </w:rPr>
        <w:t>Holdings</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11" w:after="0"/>
        <w:ind w:left="720" w:right="720" w:hanging="0"/>
        <w:jc w:val="left"/>
        <w:rPr>
          <w:rFonts w:cs="Calibri"/>
          <w:szCs w:val="18"/>
        </w:rPr>
      </w:pPr>
      <w:r>
        <w:rPr>
          <w:rFonts w:cs="Calibri"/>
          <w:szCs w:val="19"/>
        </w:rPr>
        <w:t>﻿</w:t>
      </w:r>
      <w:r>
        <w:rPr>
          <w:rFonts w:cs="Calibri"/>
          <w:szCs w:val="18"/>
        </w:rPr>
        <w:t xml:space="preserve"> </w:t>
      </w:r>
    </w:p>
    <w:p>
      <w:pPr>
        <w:pStyle w:val="TextBody"/>
        <w:bidi w:val="0"/>
        <w:spacing w:before="0" w:after="0"/>
        <w:ind w:left="2160" w:right="720" w:hanging="0"/>
        <w:jc w:val="left"/>
        <w:rPr>
          <w:rFonts w:ascii="Calibri" w:hAnsi="Calibri"/>
          <w:sz w:val="20"/>
        </w:rPr>
      </w:pPr>
      <w:bookmarkStart w:id="77" w:name="_Hlk182226632"/>
      <w:bookmarkEnd w:id="77"/>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Darnelle</w:t>
      </w:r>
      <w:r>
        <w:rPr>
          <w:rFonts w:ascii="Calibri" w:hAnsi="Calibri"/>
          <w:sz w:val="20"/>
        </w:rPr>
        <w:t> </w:t>
      </w:r>
      <w:r>
        <w:rPr>
          <w:rFonts w:ascii="Calibri" w:hAnsi="Calibri"/>
          <w:b/>
          <w:sz w:val="20"/>
        </w:rPr>
        <w:t>Enterprises</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Movieland</w:t>
      </w:r>
      <w:r>
        <w:rPr>
          <w:rFonts w:ascii="Calibri" w:hAnsi="Calibri"/>
          <w:sz w:val="20"/>
        </w:rPr>
        <w:t> </w:t>
      </w:r>
      <w:r>
        <w:rPr>
          <w:rFonts w:ascii="Calibri" w:hAnsi="Calibri"/>
          <w:b/>
          <w:sz w:val="20"/>
        </w:rPr>
        <w:t>Cinemas</w:t>
      </w:r>
      <w:r>
        <w:rPr>
          <w:rFonts w:ascii="Calibri" w:hAnsi="Calibri"/>
          <w:sz w:val="20"/>
        </w:rPr>
        <w:t> </w:t>
      </w:r>
      <w:r>
        <w:rPr>
          <w:rFonts w:ascii="Calibri" w:hAnsi="Calibri"/>
          <w:b/>
          <w:sz w:val="20"/>
        </w:rPr>
        <w:t>(NZ)</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bidi w:val="0"/>
        <w:spacing w:before="0" w:after="0"/>
        <w:ind w:left="216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rPr>
        <w:t>Signed on behalf of the guarantor, </w:t>
      </w:r>
      <w:r>
        <w:rPr>
          <w:rFonts w:ascii="Calibri" w:hAnsi="Calibri"/>
          <w:b/>
          <w:sz w:val="20"/>
        </w:rPr>
        <w:t>New</w:t>
      </w:r>
      <w:r>
        <w:rPr>
          <w:rFonts w:ascii="Calibri" w:hAnsi="Calibri"/>
          <w:sz w:val="20"/>
        </w:rPr>
        <w:t> </w:t>
      </w:r>
      <w:r>
        <w:rPr>
          <w:rFonts w:ascii="Calibri" w:hAnsi="Calibri"/>
          <w:b/>
          <w:sz w:val="20"/>
        </w:rPr>
        <w:t>Zealand</w:t>
      </w:r>
      <w:r>
        <w:rPr>
          <w:rFonts w:ascii="Calibri" w:hAnsi="Calibri"/>
          <w:sz w:val="20"/>
        </w:rPr>
        <w:t> </w:t>
      </w:r>
      <w:r>
        <w:rPr>
          <w:rFonts w:ascii="Calibri" w:hAnsi="Calibri"/>
          <w:b/>
          <w:sz w:val="20"/>
        </w:rPr>
        <w:t>Equipment</w:t>
      </w:r>
      <w:r>
        <w:rPr>
          <w:rFonts w:ascii="Calibri" w:hAnsi="Calibri"/>
          <w:sz w:val="20"/>
        </w:rPr>
        <w:t> </w:t>
      </w:r>
      <w:r>
        <w:rPr>
          <w:rFonts w:ascii="Calibri" w:hAnsi="Calibri"/>
          <w:b/>
          <w:sz w:val="20"/>
        </w:rPr>
        <w:t>Supply</w:t>
      </w:r>
      <w:r>
        <w:rPr>
          <w:rFonts w:ascii="Calibri" w:hAnsi="Calibri"/>
          <w:sz w:val="20"/>
        </w:rPr>
        <w:t> </w:t>
      </w:r>
      <w:r>
        <w:rPr>
          <w:rFonts w:ascii="Calibri" w:hAnsi="Calibri"/>
          <w:b/>
          <w:sz w:val="20"/>
        </w:rPr>
        <w:t>Limited,</w:t>
      </w:r>
      <w:r>
        <w:rPr>
          <w:rFonts w:ascii="Calibri" w:hAnsi="Calibri"/>
          <w:sz w:val="20"/>
        </w:rPr>
        <w:t xml:space="preserve"> by: </w:t>
      </w:r>
    </w:p>
    <w:p>
      <w:pPr>
        <w:pStyle w:val="TextBody"/>
        <w:bidi w:val="0"/>
        <w:spacing w:lineRule="atLeast" w:line="162" w:before="0" w:after="0"/>
        <w:ind w:left="740" w:right="720" w:hanging="0"/>
        <w:jc w:val="left"/>
        <w:rPr>
          <w:rFonts w:ascii="Calibri" w:hAnsi="Calibri"/>
          <w:sz w:val="14"/>
        </w:rPr>
      </w:pPr>
      <w:r>
        <w:rPr>
          <w:rFonts w:ascii="Calibri" w:hAnsi="Calibri"/>
          <w:sz w:val="14"/>
        </w:rPr>
        <w:t xml:space="preserve">Classification: PROTECTED </w:t>
      </w:r>
    </w:p>
    <w:p>
      <w:pPr>
        <w:pStyle w:val="TextBody"/>
        <w:bidi w:val="0"/>
        <w:spacing w:before="0" w:after="0"/>
        <w:ind w:left="720" w:right="720" w:hanging="0"/>
        <w:jc w:val="left"/>
        <w:rPr/>
      </w:pPr>
      <w:r>
        <w:rPr/>
        <w:t xml:space="preserve">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2160" w:right="720" w:hanging="0"/>
        <w:jc w:val="left"/>
        <w:rPr>
          <w:rFonts w:ascii="Calibri" w:hAnsi="Calibri"/>
          <w:sz w:val="20"/>
        </w:rPr>
      </w:pPr>
      <w:r>
        <w:rPr>
          <w:rFonts w:ascii="Calibri" w:hAnsi="Calibri"/>
          <w:sz w:val="20"/>
          <w:u w:val="single"/>
        </w:rPr>
        <w:t>/s/ Ellen M. Cotter</w:t>
      </w:r>
      <w:r>
        <w:rPr>
          <w:rFonts w:ascii="Calibri" w:hAnsi="Calibri"/>
          <w:sz w:val="20"/>
        </w:rPr>
        <w:t> Director</w:t>
      </w:r>
      <w:r>
        <w:rPr>
          <w:rFonts w:ascii="Calibri" w:hAnsi="Calibri"/>
          <w:sz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0" w:after="0"/>
        <w:ind w:left="720" w:right="720" w:hanging="0"/>
        <w:jc w:val="left"/>
        <w:rPr>
          <w:rFonts w:cs="Calibri"/>
          <w:szCs w:val="20"/>
        </w:rPr>
      </w:pPr>
      <w:r>
        <w:rPr>
          <w:rFonts w:cs="Calibri"/>
          <w:szCs w:val="20"/>
        </w:rPr>
        <w:t xml:space="preserve">﻿ </w:t>
      </w:r>
    </w:p>
    <w:p>
      <w:pPr>
        <w:pStyle w:val="TextBody"/>
        <w:bidi w:val="0"/>
        <w:spacing w:before="3" w:after="0"/>
        <w:ind w:left="720" w:right="720" w:hanging="0"/>
        <w:jc w:val="left"/>
        <w:rPr>
          <w:rFonts w:cs="Calibri"/>
          <w:szCs w:val="14"/>
        </w:rPr>
      </w:pPr>
      <w:r>
        <w:rPr>
          <w:rFonts w:cs="Calibri"/>
          <w:szCs w:val="15"/>
        </w:rPr>
        <w:t>﻿</w:t>
      </w:r>
      <w:r>
        <w:rPr>
          <w:rFonts w:cs="Calibri"/>
          <w:szCs w:val="14"/>
        </w:rPr>
        <w:t xml:space="preserve"> </w:t>
      </w:r>
    </w:p>
    <w:p>
      <w:pPr>
        <w:pStyle w:val="TextBody"/>
        <w:bidi w:val="0"/>
        <w:spacing w:before="59" w:after="0"/>
        <w:ind w:left="2160" w:right="720" w:hanging="0"/>
        <w:jc w:val="left"/>
        <w:rPr>
          <w:rFonts w:ascii="Calibri" w:hAnsi="Calibri"/>
          <w:sz w:val="20"/>
        </w:rPr>
      </w:pPr>
      <w:r>
        <w:rPr>
          <w:rFonts w:ascii="Calibri" w:hAnsi="Calibri"/>
          <w:sz w:val="20"/>
          <w:u w:val="single"/>
        </w:rPr>
        <w:t>/s/ Steve Lucas</w:t>
      </w:r>
      <w:r>
        <w:rPr>
          <w:rFonts w:ascii="Calibri" w:hAnsi="Calibri"/>
          <w:sz w:val="20"/>
        </w:rPr>
        <w:t> Director</w:t>
      </w:r>
      <w:r>
        <w:rPr>
          <w:rFonts w:ascii="Calibri" w:hAnsi="Calibri"/>
          <w:sz w:val="20"/>
        </w:rPr>
        <w:t xml:space="preserve"> </w:t>
      </w:r>
    </w:p>
    <w:p>
      <w:pPr>
        <w:pStyle w:val="TextBody"/>
        <w:bidi w:val="0"/>
        <w:spacing w:before="2" w:after="0"/>
        <w:ind w:left="720" w:right="720" w:hanging="0"/>
        <w:jc w:val="left"/>
        <w:rPr>
          <w:rFonts w:cs="Calibri"/>
          <w:szCs w:val="14"/>
        </w:rPr>
      </w:pPr>
      <w:r>
        <w:rPr>
          <w:rFonts w:cs="Calibri"/>
          <w:szCs w:val="15"/>
        </w:rPr>
        <w:t>﻿</w:t>
      </w:r>
      <w:r>
        <w:rPr>
          <w:rFonts w:cs="Calibri"/>
          <w:szCs w:val="14"/>
        </w:rPr>
        <w:t xml:space="preserve"> </w:t>
      </w:r>
    </w:p>
    <w:p>
      <w:pPr>
        <w:pStyle w:val="TextBody"/>
        <w:pBdr/>
        <w:bidi w:val="0"/>
        <w:spacing w:before="59" w:after="0"/>
        <w:ind w:left="2160" w:right="720" w:hanging="0"/>
        <w:jc w:val="left"/>
        <w:rPr>
          <w:rFonts w:ascii="Calibri" w:hAnsi="Calibri"/>
          <w:sz w:val="20"/>
        </w:rPr>
      </w:pPr>
      <w:r>
        <w:rPr>
          <w:rFonts w:ascii="Calibri" w:hAnsi="Calibri"/>
          <w:sz w:val="20"/>
        </w:rPr>
        <w:t xml:space="preserve">Date of acceptance:  14/08/2024 </w:t>
      </w:r>
    </w:p>
    <w:p>
      <w:pPr>
        <w:pStyle w:val="TextBody"/>
        <w:pBdr/>
        <w:bidi w:val="0"/>
        <w:spacing w:before="0" w:after="0"/>
        <w:ind w:left="2160" w:right="720" w:hanging="0"/>
        <w:jc w:val="left"/>
        <w:rPr>
          <w:rFonts w:cs="Calibri"/>
          <w:szCs w:val="20"/>
        </w:rPr>
      </w:pPr>
      <w:r>
        <w:rPr>
          <w:rFonts w:cs="Calibri"/>
          <w:szCs w:val="20"/>
        </w:rPr>
        <w:t xml:space="preserve">﻿ </w:t>
      </w:r>
    </w:p>
    <w:p>
      <w:pPr>
        <w:pStyle w:val="TextBody"/>
        <w:bidi w:val="0"/>
        <w:spacing w:lineRule="atLeast" w:line="162" w:before="0" w:after="0"/>
        <w:ind w:left="740" w:right="720" w:hanging="0"/>
        <w:jc w:val="left"/>
        <w:rPr>
          <w:rFonts w:ascii="Calibri" w:hAnsi="Calibri"/>
          <w:sz w:val="14"/>
        </w:rPr>
      </w:pPr>
      <w:r>
        <w:rPr>
          <w:rFonts w:ascii="Calibri" w:hAnsi="Calibri"/>
          <w:sz w:val="14"/>
        </w:rPr>
        <w:t xml:space="preserve">Classification: PROTECTED </w:t>
      </w:r>
    </w:p>
    <w:p>
      <w:pPr>
        <w:pStyle w:val="TextBody"/>
        <w:bidi w:val="0"/>
        <w:spacing w:before="0" w:after="0"/>
        <w:ind w:left="720" w:right="720" w:hanging="0"/>
        <w:jc w:val="left"/>
        <w:rPr/>
      </w:pPr>
      <w:r>
        <w:rPr/>
        <w:t xml:space="preserve">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56" w:before="0" w:after="160"/>
        <w:ind w:left="1440" w:right="1440" w:hanging="0"/>
        <w:jc w:val="right"/>
        <w:rPr>
          <w:rFonts w:ascii="Calibri" w:hAnsi="Calibri"/>
          <w:sz w:val="18"/>
        </w:rPr>
      </w:pPr>
      <w:bookmarkStart w:id="78" w:name="rdi-20240930xex31_1.htm"/>
      <w:bookmarkStart w:id="79" w:name="ksrdi20240930xex31_1"/>
      <w:bookmarkEnd w:id="78"/>
      <w:bookmarkEnd w:id="79"/>
      <w:r>
        <w:rPr>
          <w:rFonts w:ascii="Times New Roman" w:hAnsi="Times New Roman"/>
          <w:b/>
          <w:sz w:val="18"/>
        </w:rPr>
        <w:t>EXHIBIT 31.1</w:t>
      </w:r>
      <w:r>
        <w:rPr>
          <w:rFonts w:ascii="Calibri" w:hAnsi="Calibri"/>
          <w:sz w:val="18"/>
        </w:rPr>
        <w:t xml:space="preserve"> </w:t>
      </w:r>
      <w:r>
        <w:br w:type="page"/>
      </w:r>
    </w:p>
    <w:p>
      <w:pPr>
        <w:pStyle w:val="TextBody"/>
        <w:pBdr/>
        <w:bidi w:val="0"/>
        <w:spacing w:lineRule="auto" w:line="240" w:before="0" w:after="0"/>
        <w:ind w:left="1440" w:right="1440" w:hanging="0"/>
        <w:jc w:val="center"/>
        <w:rPr>
          <w:rFonts w:cs="Calibri"/>
          <w:bCs/>
          <w:szCs w:val="22"/>
        </w:rPr>
      </w:pPr>
      <w:r>
        <w:rPr>
          <w:rFonts w:cs="Calibri"/>
          <w:bCs/>
          <w:szCs w:val="22"/>
        </w:rPr>
        <w:t xml:space="preserve">﻿ </w:t>
      </w:r>
    </w:p>
    <w:p>
      <w:pPr>
        <w:pStyle w:val="TextBody"/>
        <w:pBdr/>
        <w:bidi w:val="0"/>
        <w:spacing w:lineRule="auto" w:line="240" w:before="0" w:after="0"/>
        <w:ind w:left="1440" w:right="1440" w:hanging="0"/>
        <w:jc w:val="center"/>
        <w:rPr>
          <w:rFonts w:ascii="Calibri" w:hAnsi="Calibri"/>
          <w:b/>
          <w:sz w:val="20"/>
        </w:rPr>
      </w:pPr>
      <w:bookmarkStart w:id="80" w:name="Certifications"/>
      <w:bookmarkEnd w:id="80"/>
      <w:r>
        <w:rPr>
          <w:rFonts w:ascii="Times New Roman" w:hAnsi="Times New Roman"/>
          <w:b/>
          <w:sz w:val="20"/>
        </w:rPr>
        <w:t>CERTIFICATION</w:t>
      </w:r>
      <w:r>
        <w:rPr>
          <w:rFonts w:ascii="Calibri" w:hAnsi="Calibri"/>
          <w:b/>
          <w:sz w:val="20"/>
        </w:rPr>
        <w:t> </w:t>
      </w:r>
      <w:r>
        <w:rPr>
          <w:rFonts w:ascii="Times New Roman" w:hAnsi="Times New Roman"/>
          <w:b/>
          <w:sz w:val="20"/>
        </w:rPr>
        <w:t>OF PRINCIPAL EXECUTIVE OFFICER</w:t>
      </w:r>
      <w:r>
        <w:rPr>
          <w:rFonts w:ascii="Calibri" w:hAnsi="Calibri"/>
          <w:b/>
          <w:sz w:val="20"/>
        </w:rPr>
        <w:t xml:space="preserve"> </w:t>
      </w:r>
    </w:p>
    <w:p>
      <w:pPr>
        <w:pStyle w:val="TextBody"/>
        <w:pBdr/>
        <w:bidi w:val="0"/>
        <w:spacing w:lineRule="auto" w:line="240" w:before="0" w:after="0"/>
        <w:ind w:left="1440" w:right="1440" w:hanging="0"/>
        <w:jc w:val="center"/>
        <w:rPr>
          <w:rFonts w:ascii="Calibri" w:hAnsi="Calibri"/>
          <w:b/>
          <w:sz w:val="20"/>
        </w:rPr>
      </w:pPr>
      <w:r>
        <w:rPr>
          <w:rFonts w:ascii="Times New Roman" w:hAnsi="Times New Roman"/>
          <w:b/>
          <w:sz w:val="20"/>
        </w:rPr>
        <w:t>PURSUANT TO EXCHANGE ACT RULE 13a-14(a)/15d-14(a) AS ADOPTED</w:t>
      </w:r>
      <w:r>
        <w:rPr>
          <w:rFonts w:ascii="Calibri" w:hAnsi="Calibri"/>
          <w:b/>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Ellen M. Cotter,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82"/>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Times New Roman" w:hAnsi="Times New Roman"/>
          <w:color w:val="000000"/>
          <w:sz w:val="20"/>
        </w:rPr>
        <w:t> </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Ellen M. Cotter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President and Chief Executive Officer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November  14, 2024</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81" w:name="rdi-20240930xex31_2.htm"/>
      <w:bookmarkStart w:id="82" w:name="ksrdi20240930xex31_2"/>
      <w:bookmarkEnd w:id="81"/>
      <w:bookmarkEnd w:id="82"/>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w:t>
      </w:r>
      <w:r>
        <w:rPr>
          <w:rFonts w:ascii="Calibri" w:hAnsi="Calibri"/>
          <w:sz w:val="20"/>
        </w:rPr>
        <w:t> </w:t>
      </w:r>
      <w:r>
        <w:rPr>
          <w:rFonts w:ascii="Times New Roman" w:hAnsi="Times New Roman"/>
          <w:b/>
          <w:sz w:val="20"/>
        </w:rPr>
        <w:t>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Gilbert Avanes,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40"/>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2880" w:right="1440" w:hanging="36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Executive Vice President, Chief Financial Officer and Treasurer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November  14, 2024</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pBdr/>
        <w:bidi w:val="0"/>
        <w:spacing w:lineRule="auto" w:line="240" w:before="0" w:after="0"/>
        <w:ind w:left="1440" w:right="1440" w:hanging="0"/>
        <w:jc w:val="right"/>
        <w:rPr>
          <w:rFonts w:ascii="Arial" w:hAnsi="Arial"/>
          <w:b/>
          <w:sz w:val="18"/>
        </w:rPr>
      </w:pPr>
      <w:bookmarkStart w:id="83" w:name="rdi-20240930xex32.htm"/>
      <w:bookmarkStart w:id="84" w:name="ksrdi20240930xex32"/>
      <w:bookmarkEnd w:id="83"/>
      <w:bookmarkEnd w:id="84"/>
      <w:r>
        <w:rPr>
          <w:rFonts w:ascii="Times New Roman" w:hAnsi="Times New Roman"/>
          <w:b/>
          <w:sz w:val="18"/>
        </w:rPr>
        <w:t>EXHIBIT 32</w:t>
      </w:r>
      <w:r>
        <w:rPr>
          <w:rFonts w:ascii="Arial" w:hAnsi="Arial"/>
          <w:b/>
          <w:sz w:val="18"/>
        </w:rPr>
        <w:t xml:space="preserve"> </w:t>
      </w:r>
      <w:r>
        <w:br w:type="page"/>
      </w:r>
    </w:p>
    <w:p>
      <w:pPr>
        <w:pStyle w:val="TextBody"/>
        <w:pBdr/>
        <w:bidi w:val="0"/>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bidi w:val="0"/>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and Gilbert Avanes, Chief Financial Officer, of Reading International, Inc. (the “Company”), pursuant to 18 U.S.C. Section 1350, as adopted pursuant to Section 906 of the Sarbanes-Oxley Act of 2002, do each hereby certify, that, to his or her knowledge: </w:t>
      </w:r>
    </w:p>
    <w:p>
      <w:pPr>
        <w:pStyle w:val="TextBody"/>
        <w:pBdr/>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10"/>
        <w:gridCol w:w="23"/>
        <w:gridCol w:w="7154"/>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4" w:type="dxa"/>
            <w:tcBorders/>
          </w:tcPr>
          <w:p>
            <w:pPr>
              <w:pStyle w:val="TableContents"/>
              <w:bidi w:val="0"/>
              <w:spacing w:lineRule="auto" w:line="240" w:before="0" w:after="200"/>
              <w:ind w:left="0" w:right="0" w:hanging="0"/>
              <w:jc w:val="left"/>
              <w:rPr>
                <w:rFonts w:ascii="Calibri" w:hAnsi="Calibri"/>
                <w:sz w:val="20"/>
              </w:rPr>
            </w:pPr>
            <w:r>
              <w:rPr>
                <w:rFonts w:ascii="Times New Roman" w:hAnsi="Times New Roman"/>
                <w:color w:val="000000"/>
                <w:sz w:val="20"/>
              </w:rPr>
              <w:t>The Quarterly Report on Form 10-Q for the period ended September</w:t>
            </w:r>
            <w:r>
              <w:rPr>
                <w:rFonts w:ascii="Calibri" w:hAnsi="Calibri"/>
                <w:color w:val="000000"/>
                <w:sz w:val="20"/>
              </w:rPr>
              <w:t xml:space="preserve">  </w:t>
            </w:r>
            <w:r>
              <w:rPr>
                <w:rFonts w:ascii="Times New Roman" w:hAnsi="Times New Roman"/>
                <w:color w:val="000000"/>
                <w:sz w:val="20"/>
              </w:rPr>
              <w:t>30, 2024</w:t>
            </w:r>
            <w:r>
              <w:rPr>
                <w:rFonts w:ascii="Calibri" w:hAnsi="Calibri"/>
                <w:color w:val="000000"/>
                <w:sz w:val="20"/>
              </w:rPr>
              <w:t xml:space="preserve"> </w:t>
            </w:r>
            <w:r>
              <w:rPr>
                <w:rFonts w:ascii="Times New Roman" w:hAnsi="Times New Roman"/>
                <w:color w:val="000000"/>
                <w:sz w:val="20"/>
              </w:rPr>
              <w:t>(the "Report") of the Company fully complies with the requirements of Section 13(a) or 15(d), as applicable, of the Securities Exchange Act of 1934; and</w:t>
            </w:r>
          </w:p>
        </w:tc>
      </w:tr>
    </w:tbl>
    <w:tbl>
      <w:tblPr>
        <w:tblW w:w="7325" w:type="dxa"/>
        <w:jc w:val="left"/>
        <w:tblInd w:w="1440" w:type="dxa"/>
        <w:tblLayout w:type="fixed"/>
        <w:tblCellMar>
          <w:top w:w="0" w:type="dxa"/>
          <w:left w:w="0" w:type="dxa"/>
          <w:bottom w:w="0" w:type="dxa"/>
          <w:right w:w="0" w:type="dxa"/>
        </w:tblCellMar>
      </w:tblPr>
      <w:tblGrid>
        <w:gridCol w:w="38"/>
        <w:gridCol w:w="120"/>
        <w:gridCol w:w="23"/>
        <w:gridCol w:w="714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4" w:type="dxa"/>
            <w:tcBorders/>
          </w:tcPr>
          <w:p>
            <w:pPr>
              <w:pStyle w:val="TableContents"/>
              <w:bidi w:val="0"/>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November  14, 2024</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w:t>
      </w:r>
      <w:r>
        <w:rPr>
          <w:rFonts w:ascii="Calibri" w:hAnsi="Calibri"/>
          <w:color w:val="000000"/>
          <w:sz w:val="20"/>
        </w:rPr>
        <w:t>     </w:t>
      </w:r>
      <w:r>
        <w:rPr>
          <w:rFonts w:ascii="Times New Roman" w:hAnsi="Times New Roman"/>
          <w:color w:val="000000"/>
          <w:sz w:val="20"/>
        </w:rPr>
        <w:t>Ellen M. Cotter</w:t>
      </w:r>
      <w:r>
        <w:rPr>
          <w:rFonts w:ascii="Calibri" w:hAnsi="Calibri"/>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Title:       President and Chief Executive Officer</w:t>
      </w:r>
      <w:r>
        <w:rPr>
          <w:rFonts w:ascii="Calibri" w:hAnsi="Calibri"/>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    Gilbert Avanes</w:t>
      </w:r>
      <w:r>
        <w:rPr>
          <w:rFonts w:ascii="Calibri" w:hAnsi="Calibri"/>
          <w:sz w:val="20"/>
        </w:rPr>
        <w:t xml:space="preserve"> </w:t>
      </w:r>
    </w:p>
    <w:p>
      <w:pPr>
        <w:pStyle w:val="TextBody"/>
        <w:bidi w:val="0"/>
        <w:spacing w:lineRule="auto" w:line="256" w:before="0" w:after="160"/>
        <w:ind w:left="1440" w:right="1440" w:hanging="0"/>
        <w:jc w:val="left"/>
        <w:rPr>
          <w:rFonts w:ascii="Calibri" w:hAnsi="Calibri"/>
          <w:sz w:val="20"/>
        </w:rPr>
      </w:pPr>
      <w:r>
        <w:rPr>
          <w:rFonts w:ascii="Times New Roman" w:hAnsi="Times New Roman"/>
          <w:color w:val="000000"/>
          <w:sz w:val="20"/>
        </w:rPr>
        <w:t>Title:      Executive Vice President, Chief Financial Officer and Treasurer</w:t>
      </w:r>
      <w:r>
        <w:rPr>
          <w:rFonts w:ascii="Calibri" w:hAnsi="Calibri"/>
          <w:sz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ymbol">
    <w:charset w:val="01"/>
    <w:family w:val="auto"/>
    <w:pitch w:val="default"/>
  </w:font>
  <w:font w:name="Times New Roman Bold">
    <w:charset w:val="01"/>
    <w:family w:val="auto"/>
    <w:pitch w:val="default"/>
  </w:font>
  <w:font w:name="Calibri">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29627</Words>
  <Characters>157261</Characters>
  <CharactersWithSpaces>182661</CharactersWithSpaces>
  <Paragraphs>5487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