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37"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color w:val="auto"/>
        </w:rPr>
        <w:t>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7" w:lineRule="auto"/>
        <w:rPr>
          <w:sz w:val="20"/>
          <w:szCs w:val="20"/>
          <w:color w:val="auto"/>
        </w:rPr>
      </w:pPr>
      <w:r>
        <w:rPr>
          <w:rFonts w:ascii="Times New Roman" w:cs="Times New Roman" w:eastAsia="Times New Roman" w:hAnsi="Times New Roman"/>
          <w:sz w:val="18"/>
          <w:szCs w:val="18"/>
          <w:color w:val="auto"/>
        </w:rPr>
        <w:t>(Mark One)</w:t>
      </w:r>
    </w:p>
    <w:p>
      <w:pPr>
        <w:ind w:left="680" w:hanging="659"/>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9"/>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1-8625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2311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READING INTERNATIONAL, INC.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2"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48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4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95-3885184</w:t>
            </w:r>
          </w:p>
        </w:tc>
        <w:tc>
          <w:tcPr>
            <w:tcW w:w="0" w:type="dxa"/>
            <w:vAlign w:val="bottom"/>
          </w:tcPr>
          <w:p>
            <w:pPr>
              <w:spacing w:after="0"/>
              <w:rPr>
                <w:sz w:val="1"/>
                <w:szCs w:val="1"/>
                <w:color w:val="auto"/>
              </w:rPr>
            </w:pPr>
          </w:p>
        </w:tc>
      </w:tr>
      <w:tr>
        <w:trPr>
          <w:trHeight w:val="149"/>
        </w:trPr>
        <w:tc>
          <w:tcPr>
            <w:tcW w:w="48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640" w:type="dxa"/>
            <w:vAlign w:val="bottom"/>
          </w:tcPr>
          <w:p>
            <w:pPr>
              <w:jc w:val="center"/>
              <w:ind w:left="1319"/>
              <w:spacing w:after="0" w:line="149" w:lineRule="exact"/>
              <w:rPr>
                <w:sz w:val="20"/>
                <w:szCs w:val="20"/>
                <w:color w:val="auto"/>
              </w:rPr>
            </w:pPr>
            <w:r>
              <w:rPr>
                <w:rFonts w:ascii="Times New Roman" w:cs="Times New Roman" w:eastAsia="Times New Roman" w:hAnsi="Times New Roman"/>
                <w:sz w:val="14"/>
                <w:szCs w:val="14"/>
                <w:color w:val="auto"/>
              </w:rPr>
              <w:t>(IRS Employer Identification Number)</w:t>
            </w:r>
          </w:p>
        </w:tc>
        <w:tc>
          <w:tcPr>
            <w:tcW w:w="0" w:type="dxa"/>
            <w:vAlign w:val="bottom"/>
          </w:tcPr>
          <w:p>
            <w:pPr>
              <w:spacing w:after="0"/>
              <w:rPr>
                <w:sz w:val="1"/>
                <w:szCs w:val="1"/>
                <w:color w:val="auto"/>
              </w:rPr>
            </w:pPr>
          </w:p>
        </w:tc>
      </w:tr>
      <w:tr>
        <w:trPr>
          <w:trHeight w:val="189"/>
        </w:trPr>
        <w:tc>
          <w:tcPr>
            <w:tcW w:w="4800" w:type="dxa"/>
            <w:vAlign w:val="bottom"/>
          </w:tcPr>
          <w:p>
            <w:pPr>
              <w:jc w:val="center"/>
              <w:ind w:right="1317"/>
              <w:spacing w:after="0" w:line="189" w:lineRule="exact"/>
              <w:rPr>
                <w:sz w:val="20"/>
                <w:szCs w:val="20"/>
                <w:color w:val="auto"/>
              </w:rPr>
            </w:pPr>
            <w:r>
              <w:rPr>
                <w:rFonts w:ascii="Times New Roman" w:cs="Times New Roman" w:eastAsia="Times New Roman" w:hAnsi="Times New Roman"/>
                <w:sz w:val="18"/>
                <w:szCs w:val="18"/>
                <w:b w:val="1"/>
                <w:bCs w:val="1"/>
                <w:color w:val="auto"/>
                <w:w w:val="99"/>
              </w:rPr>
              <w:t>189 Second Avenue, Suite 2S</w:t>
            </w:r>
          </w:p>
        </w:tc>
        <w:tc>
          <w:tcPr>
            <w:tcW w:w="364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10003</w:t>
            </w:r>
          </w:p>
        </w:tc>
        <w:tc>
          <w:tcPr>
            <w:tcW w:w="0" w:type="dxa"/>
            <w:vAlign w:val="bottom"/>
          </w:tcPr>
          <w:p>
            <w:pPr>
              <w:spacing w:after="0"/>
              <w:rPr>
                <w:sz w:val="1"/>
                <w:szCs w:val="1"/>
                <w:color w:val="auto"/>
              </w:rPr>
            </w:pPr>
          </w:p>
        </w:tc>
      </w:tr>
      <w:tr>
        <w:trPr>
          <w:trHeight w:val="216"/>
        </w:trPr>
        <w:tc>
          <w:tcPr>
            <w:tcW w:w="48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tcPr>
          <w:p>
            <w:pPr>
              <w:jc w:val="center"/>
              <w:ind w:right="13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40" w:type="dxa"/>
            <w:vAlign w:val="bottom"/>
          </w:tcPr>
          <w:p>
            <w:pPr>
              <w:jc w:val="center"/>
              <w:ind w:left="12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(213) 235-2240</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Title of each class</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Trading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47"/>
        </w:trPr>
        <w:tc>
          <w:tcPr>
            <w:tcW w:w="47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Class A Nonvoting Common Stock, $0.01 par value</w:t>
            </w:r>
          </w:p>
        </w:tc>
        <w:tc>
          <w:tcPr>
            <w:tcW w:w="100" w:type="dxa"/>
            <w:vAlign w:val="bottom"/>
          </w:tcPr>
          <w:p>
            <w:pPr>
              <w:spacing w:after="0"/>
              <w:rPr>
                <w:sz w:val="12"/>
                <w:szCs w:val="12"/>
                <w:color w:val="auto"/>
              </w:rPr>
            </w:pPr>
          </w:p>
        </w:tc>
        <w:tc>
          <w:tcPr>
            <w:tcW w:w="25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RDI</w:t>
            </w:r>
          </w:p>
        </w:tc>
        <w:tc>
          <w:tcPr>
            <w:tcW w:w="100" w:type="dxa"/>
            <w:vAlign w:val="bottom"/>
          </w:tcPr>
          <w:p>
            <w:pPr>
              <w:spacing w:after="0"/>
              <w:rPr>
                <w:sz w:val="12"/>
                <w:szCs w:val="12"/>
                <w:color w:val="auto"/>
              </w:rPr>
            </w:pPr>
          </w:p>
        </w:tc>
        <w:tc>
          <w:tcPr>
            <w:tcW w:w="37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38"/>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B Voting Common Stock, $0.01 par value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RDIB</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44" w:lineRule="exact"/>
        <w:rPr>
          <w:sz w:val="24"/>
          <w:szCs w:val="24"/>
          <w:color w:val="auto"/>
        </w:rPr>
      </w:pPr>
    </w:p>
    <w:p>
      <w:pPr>
        <w:ind w:right="30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6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24"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right="260"/>
        <w:spacing w:after="0" w:line="24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March 28, 2025, there were 20,603,203 shares of Class A Nonvoting Common Stock, $0.01 par value per share, and 1,680,590 shares of Class B Voting Common Stock, $0.01 par value per share, outstanding.</w:t>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197"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Reading International, Inc. (the “Company,” “Reading,” and “we,” “us,” or “our”) is filing this Amendment No. 1 on Form 10-Q/A (the “Amendment”) to amend and restate certain items in its Quarterly Report on Form 10-Q for the nine months ended September 30, 2024, originally filed with the U.S. Securities and Exchange Commission (the “SEC”) on November 14, 2024 (the “Original Report”).</w:t>
      </w:r>
    </w:p>
    <w:p>
      <w:pPr>
        <w:spacing w:after="0" w:line="15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 this Amendment, the Company is restating its previously issued unaudited consolidated financial statements as of September 30, 2024, to correct an error in previously reported accounts payable and accrued expenses, and accumulated deficit within the unaudited Consolidated Balance Sheets. The errors stemmed from the erroneous reversal and treatment of a liability.</w:t>
      </w:r>
    </w:p>
    <w:p>
      <w:pPr>
        <w:spacing w:after="0" w:line="155" w:lineRule="exact"/>
        <w:rPr>
          <w:sz w:val="20"/>
          <w:szCs w:val="20"/>
          <w:color w:val="auto"/>
        </w:rPr>
      </w:pPr>
    </w:p>
    <w:p>
      <w:pPr>
        <w:ind w:right="600"/>
        <w:spacing w:after="0" w:line="253" w:lineRule="auto"/>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Restatement of Previously Issued Consolidated Financial Statements</w:t>
      </w:r>
      <w:r>
        <w:rPr>
          <w:rFonts w:ascii="Times New Roman" w:cs="Times New Roman" w:eastAsia="Times New Roman" w:hAnsi="Times New Roman"/>
          <w:sz w:val="18"/>
          <w:szCs w:val="18"/>
          <w:color w:val="auto"/>
        </w:rPr>
        <w:t>, for additional information on the unaudited consolidated financial statements as of September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the Company's Current Report on Form 8-K filed with the SEC on March 28, 2025, the Company identified an error that stemmed from the erroneous reversal and treatment of a liability in the quarter ended June 30, 2024.</w:t>
      </w:r>
    </w:p>
    <w:p>
      <w:pPr>
        <w:spacing w:after="0" w:line="149"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As a result, the Company’s unaudited consolidated financial statements as of and for the period ended September 30, 2024 included in the Form 10-Q originally filed with the SEC on November 14, 2024 (the “Original Report”) are being restated.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189"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restatements, as a result of the accounting error, the Company’s management has identified a material weakness in its internal control over financial reporting. See Item 4,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Amended in this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amends and restates the following items of the Original 10-Q Report:</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1. Financial Statements</w:t>
      </w:r>
    </w:p>
    <w:p>
      <w:pPr>
        <w:spacing w:after="0" w:line="2"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2. Management’s Discussion and Analysis of Financial Condition and Results of Operations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4. Controls and Procedures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6. Exhibits</w:t>
      </w:r>
    </w:p>
    <w:p>
      <w:pPr>
        <w:spacing w:after="0" w:line="16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this Amendment includes new certifications specified in Rule 13a-14 under the Exchange Act, dated as of the date of this Amendment, from the Company’s Chief Executive Officer and Chief Financial Officer.</w:t>
      </w:r>
    </w:p>
    <w:p>
      <w:pPr>
        <w:spacing w:after="0" w:line="15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This Amendment continues to describe the conditions as of the date of the Original 10-Q Report and, except as contained herein, we have not updated or modified the disclosures contained in the Original 10-Q Report to reflect any events that have occurred after the Original 10-Q Report. Accordingly, forward-looking statements included in this Amendment may represent management’s views as of the Original 10-Q Report and should not be assumed to be accurate as of any date thereafter.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0" w:type="dxa"/>
            <w:vAlign w:val="bottom"/>
            <w:gridSpan w:val="11"/>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READING INTERNATIONAL, INC. AND SUBSIDIARIES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7"/>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63"/>
        </w:trPr>
        <w:tc>
          <w:tcPr>
            <w:tcW w:w="10500" w:type="dxa"/>
            <w:vAlign w:val="bottom"/>
            <w:tcBorders>
              <w:top w:val="single" w:sz="8" w:color="CCEEFF"/>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Item 1 – Financial Statements</w:t>
            </w:r>
          </w:p>
        </w:tc>
        <w:tc>
          <w:tcPr>
            <w:tcW w:w="8060" w:type="dxa"/>
            <w:vAlign w:val="bottom"/>
            <w:tcBorders>
              <w:top w:val="single" w:sz="8" w:color="CCEEFF"/>
            </w:tcBorders>
            <w:gridSpan w:val="14"/>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Balance Sheets (Unaudited)</w:t>
            </w:r>
          </w:p>
        </w:tc>
        <w:tc>
          <w:tcPr>
            <w:tcW w:w="7160" w:type="dxa"/>
            <w:vAlign w:val="bottom"/>
            <w:tcBorders>
              <w:bottom w:val="single" w:sz="8" w:color="CCEEFF"/>
            </w:tcBorders>
            <w:gridSpan w:val="10"/>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160" w:type="dxa"/>
            <w:vAlign w:val="bottom"/>
            <w:gridSpan w:val="21"/>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16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780" w:type="dxa"/>
            <w:vAlign w:val="bottom"/>
            <w:tcBorders>
              <w:top w:val="single" w:sz="8" w:color="0000FF"/>
              <w:bottom w:val="single" w:sz="8" w:color="0000FF"/>
            </w:tcBorders>
            <w:gridSpan w:val="13"/>
          </w:tcPr>
          <w:p>
            <w:pPr>
              <w:spacing w:after="0" w:line="162" w:lineRule="exact"/>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860" w:type="dxa"/>
            <w:vAlign w:val="bottom"/>
            <w:tcBorders>
              <w:top w:val="single" w:sz="8" w:color="0000FF"/>
            </w:tcBorders>
            <w:gridSpan w:val="3"/>
          </w:tcPr>
          <w:p>
            <w:pPr>
              <w:spacing w:after="0"/>
              <w:rPr>
                <w:sz w:val="14"/>
                <w:szCs w:val="14"/>
                <w:color w:val="auto"/>
              </w:rPr>
            </w:pPr>
          </w:p>
        </w:tc>
        <w:tc>
          <w:tcPr>
            <w:tcW w:w="5520" w:type="dxa"/>
            <w:vAlign w:val="bottom"/>
            <w:tcBorders>
              <w:top w:val="single" w:sz="8" w:color="CCEEFF"/>
            </w:tcBorders>
            <w:gridSpan w:val="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60" w:type="dxa"/>
            <w:vAlign w:val="bottom"/>
            <w:tcBorders>
              <w:bottom w:val="single" w:sz="8" w:color="0000FF"/>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6100" w:type="dxa"/>
            <w:vAlign w:val="bottom"/>
            <w:tcBorders>
              <w:bottom w:val="single" w:sz="8" w:color="CCEEFF"/>
            </w:tcBorders>
            <w:gridSpan w:val="7"/>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100" w:type="dxa"/>
            <w:vAlign w:val="bottom"/>
            <w:tcBorders>
              <w:bottom w:val="single" w:sz="8" w:color="0000FF"/>
            </w:tcBorders>
            <w:gridSpan w:val="21"/>
          </w:tcPr>
          <w:p>
            <w:pPr>
              <w:spacing w:after="0" w:line="162"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4880" w:type="dxa"/>
            <w:vAlign w:val="bottom"/>
            <w:tcBorders>
              <w:bottom w:val="single" w:sz="8" w:color="0000FF"/>
            </w:tcBorders>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Item 3 – Quantitative and Qualitative Disclosure about Market Risk</w:t>
            </w:r>
          </w:p>
        </w:tc>
        <w:tc>
          <w:tcPr>
            <w:tcW w:w="5480" w:type="dxa"/>
            <w:vAlign w:val="bottom"/>
            <w:tcBorders>
              <w:bottom w:val="single" w:sz="8" w:color="CCEEFF"/>
            </w:tcBorders>
            <w:gridSpan w:val="4"/>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420" w:type="dxa"/>
            <w:vAlign w:val="bottom"/>
            <w:tcBorders>
              <w:bottom w:val="single" w:sz="8" w:color="0000FF"/>
            </w:tcBorders>
            <w:gridSpan w:val="10"/>
          </w:tcPr>
          <w:p>
            <w:pPr>
              <w:spacing w:after="0" w:line="162" w:lineRule="exact"/>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7940" w:type="dxa"/>
            <w:vAlign w:val="bottom"/>
            <w:gridSpan w:val="12"/>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0000FF"/>
            </w:tcBorders>
          </w:tcPr>
          <w:p>
            <w:pPr>
              <w:spacing w:after="0"/>
              <w:rPr>
                <w:sz w:val="14"/>
                <w:szCs w:val="14"/>
                <w:color w:val="auto"/>
              </w:rPr>
            </w:pPr>
          </w:p>
        </w:tc>
        <w:tc>
          <w:tcPr>
            <w:tcW w:w="1980" w:type="dxa"/>
            <w:vAlign w:val="bottom"/>
            <w:tcBorders>
              <w:top w:val="single" w:sz="8" w:color="0000FF"/>
              <w:bottom w:val="single" w:sz="8" w:color="0000FF"/>
            </w:tcBorders>
            <w:gridSpan w:val="6"/>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 – Legal Proceedings</w:t>
            </w:r>
          </w:p>
        </w:tc>
        <w:tc>
          <w:tcPr>
            <w:tcW w:w="160" w:type="dxa"/>
            <w:vAlign w:val="bottom"/>
            <w:tcBorders>
              <w:top w:val="single" w:sz="8" w:color="0000FF"/>
            </w:tcBorders>
          </w:tcPr>
          <w:p>
            <w:pPr>
              <w:spacing w:after="0"/>
              <w:rPr>
                <w:sz w:val="14"/>
                <w:szCs w:val="14"/>
                <w:color w:val="auto"/>
              </w:rPr>
            </w:pPr>
          </w:p>
        </w:tc>
        <w:tc>
          <w:tcPr>
            <w:tcW w:w="8220" w:type="dxa"/>
            <w:vAlign w:val="bottom"/>
            <w:tcBorders>
              <w:top w:val="single" w:sz="8" w:color="CCEEFF"/>
            </w:tcBorders>
            <w:gridSpan w:val="15"/>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0000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1A – Risk Factors</w:t>
            </w:r>
          </w:p>
        </w:tc>
        <w:tc>
          <w:tcPr>
            <w:tcW w:w="8680" w:type="dxa"/>
            <w:vAlign w:val="bottom"/>
            <w:tcBorders>
              <w:bottom w:val="single" w:sz="8" w:color="CCEEFF"/>
            </w:tcBorders>
            <w:gridSpan w:val="18"/>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4980" w:type="dxa"/>
            <w:vAlign w:val="bottom"/>
            <w:tcBorders>
              <w:top w:val="single" w:sz="8" w:color="0000FF"/>
            </w:tcBorders>
            <w:gridSpan w:val="1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3 – Defaults Upon Senior Securities</w:t>
            </w:r>
          </w:p>
        </w:tc>
        <w:tc>
          <w:tcPr>
            <w:tcW w:w="5380" w:type="dxa"/>
            <w:vAlign w:val="bottom"/>
            <w:gridSpan w:val="3"/>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top w:val="single" w:sz="8" w:color="CCEEFF"/>
            </w:tcBorders>
          </w:tcPr>
          <w:p>
            <w:pPr>
              <w:spacing w:after="0"/>
              <w:rPr>
                <w:sz w:val="14"/>
                <w:szCs w:val="14"/>
                <w:color w:val="auto"/>
              </w:rPr>
            </w:pPr>
          </w:p>
        </w:tc>
        <w:tc>
          <w:tcPr>
            <w:tcW w:w="2960" w:type="dxa"/>
            <w:vAlign w:val="bottom"/>
            <w:tcBorders>
              <w:top w:val="single" w:sz="8" w:color="0000FF"/>
            </w:tcBorders>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Item 4 – Mine Safety Disclosure</w:t>
            </w:r>
          </w:p>
        </w:tc>
        <w:tc>
          <w:tcPr>
            <w:tcW w:w="7400" w:type="dxa"/>
            <w:vAlign w:val="bottom"/>
            <w:tcBorders>
              <w:top w:val="single" w:sz="8" w:color="CCEEFF"/>
            </w:tcBorders>
            <w:gridSpan w:val="11"/>
          </w:tcPr>
          <w:p>
            <w:pPr>
              <w:spacing w:after="0"/>
              <w:rPr>
                <w:sz w:val="14"/>
                <w:szCs w:val="14"/>
                <w:color w:val="auto"/>
              </w:rPr>
            </w:pPr>
          </w:p>
        </w:tc>
        <w:tc>
          <w:tcPr>
            <w:tcW w:w="74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top w:val="single" w:sz="8" w:color="0000FF"/>
              <w:bottom w:val="single" w:sz="8" w:color="0000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8"/>
              </w:rPr>
              <w:t>Item 5 – Other Information</w:t>
            </w:r>
          </w:p>
        </w:tc>
        <w:tc>
          <w:tcPr>
            <w:tcW w:w="3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8020" w:type="dxa"/>
            <w:vAlign w:val="bottom"/>
            <w:tcBorders>
              <w:bottom w:val="single" w:sz="8" w:color="CCEEFF"/>
            </w:tcBorders>
            <w:gridSpan w:val="13"/>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10360" w:type="dxa"/>
            <w:vAlign w:val="bottom"/>
            <w:gridSpan w:val="22"/>
          </w:tcPr>
          <w:p>
            <w:pPr>
              <w:spacing w:after="0" w:line="162" w:lineRule="exact"/>
              <w:rPr>
                <w:sz w:val="20"/>
                <w:szCs w:val="20"/>
                <w:color w:val="auto"/>
              </w:rPr>
            </w:pPr>
            <w:r>
              <w:rPr>
                <w:rFonts w:ascii="Times New Roman" w:cs="Times New Roman" w:eastAsia="Times New Roman" w:hAnsi="Times New Roman"/>
                <w:sz w:val="18"/>
                <w:szCs w:val="18"/>
                <w:color w:val="0000FF"/>
              </w:rPr>
              <w:t>Item 6 – Exhibits</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10500" w:type="dxa"/>
            <w:vAlign w:val="bottom"/>
            <w:gridSpan w:val="2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Certifications</w:t>
            </w:r>
          </w:p>
        </w:tc>
        <w:tc>
          <w:tcPr>
            <w:tcW w:w="9340" w:type="dxa"/>
            <w:vAlign w:val="bottom"/>
            <w:tcBorders>
              <w:top w:val="single" w:sz="8" w:color="CCEEFF"/>
            </w:tcBorders>
            <w:gridSpan w:val="20"/>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Financial Statements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dollars in thousands, except share information)</w:t>
      </w:r>
    </w:p>
    <w:tbl>
      <w:tblPr>
        <w:tblLayout w:type="fixed"/>
        <w:tblInd w:w="0" w:type="dxa"/>
        <w:tblCellMar>
          <w:top w:w="0" w:type="dxa"/>
          <w:left w:w="0" w:type="dxa"/>
          <w:bottom w:w="0" w:type="dxa"/>
          <w:right w:w="0" w:type="dxa"/>
        </w:tblCellMar>
      </w:tblPr>
      <w:tr>
        <w:trPr>
          <w:trHeight w:val="167"/>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39"/>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46"/>
        </w:trPr>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6"/>
                <w:szCs w:val="16"/>
                <w:b w:val="1"/>
                <w:bCs w:val="1"/>
                <w:color w:val="auto"/>
                <w:w w:val="99"/>
              </w:rPr>
              <w:t>(As Restated)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5"/>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10,083</w:t>
            </w:r>
          </w:p>
        </w:tc>
        <w:tc>
          <w:tcPr>
            <w:tcW w:w="16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12,906</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2,535</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Receivables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5,435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7,561</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1,648</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2,881</w:t>
            </w:r>
          </w:p>
        </w:tc>
      </w:tr>
      <w:tr>
        <w:trPr>
          <w:trHeight w:val="176"/>
        </w:trPr>
        <w:tc>
          <w:tcPr>
            <w:tcW w:w="81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Land and property held for sale</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37,895</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11,179</w:t>
            </w:r>
          </w:p>
        </w:tc>
      </w:tr>
      <w:tr>
        <w:trPr>
          <w:trHeight w:val="169"/>
        </w:trPr>
        <w:tc>
          <w:tcPr>
            <w:tcW w:w="818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59,046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38,710</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property, net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225,065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262,417</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170,549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181,542</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Investment and development property, net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8,789</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Investment in unconsolidated joint ventures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4,294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4,756</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25,715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25,535</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1,841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2,038</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tax asset, net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299</w:t>
            </w:r>
          </w:p>
        </w:tc>
      </w:tr>
      <w:tr>
        <w:trPr>
          <w:trHeight w:val="175"/>
        </w:trPr>
        <w:tc>
          <w:tcPr>
            <w:tcW w:w="818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8,938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8,965</w:t>
            </w:r>
          </w:p>
        </w:tc>
      </w:tr>
      <w:tr>
        <w:trPr>
          <w:trHeight w:val="176"/>
        </w:trPr>
        <w:tc>
          <w:tcPr>
            <w:tcW w:w="81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495,686</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533,051</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Accounts payable and accrued liabilities</w:t>
            </w:r>
          </w:p>
        </w:tc>
        <w:tc>
          <w:tcPr>
            <w:tcW w:w="3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48,213</w:t>
            </w:r>
          </w:p>
        </w:tc>
        <w:tc>
          <w:tcPr>
            <w:tcW w:w="16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43,828</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Film rent payable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3,601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6,038</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Debt - current portion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52,624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34,484</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Subordinated debt - current portion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586</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Taxes payable - current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1,376</w:t>
            </w: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9,728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10,993</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Operating lease liabilities - current portion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22,182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23,047</w:t>
            </w:r>
          </w:p>
        </w:tc>
      </w:tr>
      <w:tr>
        <w:trPr>
          <w:trHeight w:val="175"/>
        </w:trPr>
        <w:tc>
          <w:tcPr>
            <w:tcW w:w="81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6,588</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6,731</w:t>
            </w:r>
          </w:p>
        </w:tc>
      </w:tr>
      <w:tr>
        <w:trPr>
          <w:trHeight w:val="169"/>
        </w:trPr>
        <w:tc>
          <w:tcPr>
            <w:tcW w:w="818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143,113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127,083</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Debt - long-term portion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134,070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146,605</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Derivative financial instruments - non-current portion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Subordinated debt, net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27,339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27,172</w:t>
            </w:r>
          </w:p>
        </w:tc>
      </w:tr>
      <w:tr>
        <w:trPr>
          <w:trHeight w:val="176"/>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Noncurrent tax liabilities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6,772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6,586</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170,127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180,898</w:t>
            </w:r>
          </w:p>
        </w:tc>
      </w:tr>
      <w:tr>
        <w:trPr>
          <w:trHeight w:val="175"/>
        </w:trPr>
        <w:tc>
          <w:tcPr>
            <w:tcW w:w="818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12,967</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11,711</w:t>
            </w:r>
          </w:p>
        </w:tc>
      </w:tr>
      <w:tr>
        <w:trPr>
          <w:trHeight w:val="169"/>
        </w:trPr>
        <w:tc>
          <w:tcPr>
            <w:tcW w:w="818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32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494,657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500,055</w:t>
            </w:r>
          </w:p>
        </w:tc>
      </w:tr>
      <w:tr>
        <w:trPr>
          <w:trHeight w:val="183"/>
        </w:trPr>
        <w:tc>
          <w:tcPr>
            <w:tcW w:w="81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48"/>
        </w:trPr>
        <w:tc>
          <w:tcPr>
            <w:tcW w:w="8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Class A non-voting common shares, par value $0.01, 100,000,000 shares authorized,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5"/>
        </w:trPr>
        <w:tc>
          <w:tcPr>
            <w:tcW w:w="81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33,681,705 issued and 20,745,594 outstanding at September 30, 2024 and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33,602,627 issued and 20,666,516 outstanding at December 31, 2023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148"/>
        </w:trPr>
        <w:tc>
          <w:tcPr>
            <w:tcW w:w="81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Class B voting common shares, par value $0.01, 20,000,000 shares authorized and</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0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1,680,590 issued and outstanding at September 30, 2024 and December 31, 2023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48"/>
        </w:trPr>
        <w:tc>
          <w:tcPr>
            <w:tcW w:w="81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Nonvoting preferred shares, par value $0.01, 12,000 shares authorized and no issued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3"/>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 outstanding shares at September 30, 2024 and December 31, 2023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157,132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155,402</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Retained earnings/(deficits)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(112,551)</w:t>
            </w: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(79,489)</w:t>
            </w:r>
          </w:p>
        </w:tc>
      </w:tr>
      <w:tr>
        <w:trPr>
          <w:trHeight w:val="175"/>
        </w:trPr>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Treasury shares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(40,407)</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(40,407)</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(2,831)</w:t>
            </w: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(2,673)</w:t>
            </w:r>
          </w:p>
        </w:tc>
      </w:tr>
      <w:tr>
        <w:trPr>
          <w:trHeight w:val="169"/>
        </w:trPr>
        <w:tc>
          <w:tcPr>
            <w:tcW w:w="81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Reading International, Inc. stockholders’ equity</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1,598</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33,087</w:t>
            </w:r>
          </w:p>
        </w:tc>
      </w:tr>
      <w:tr>
        <w:trPr>
          <w:trHeight w:val="175"/>
        </w:trPr>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(569)</w:t>
            </w:r>
          </w:p>
        </w:tc>
        <w:tc>
          <w:tcPr>
            <w:tcW w:w="16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(91)</w:t>
            </w:r>
          </w:p>
        </w:tc>
      </w:tr>
      <w:tr>
        <w:trPr>
          <w:trHeight w:val="169"/>
        </w:trPr>
        <w:tc>
          <w:tcPr>
            <w:tcW w:w="81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1,029</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32,996</w:t>
            </w:r>
          </w:p>
        </w:tc>
      </w:tr>
      <w:tr>
        <w:trPr>
          <w:trHeight w:val="176"/>
        </w:trPr>
        <w:tc>
          <w:tcPr>
            <w:tcW w:w="818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495,686</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533,051</w:t>
            </w: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69"/>
        </w:trPr>
        <w:tc>
          <w:tcPr>
            <w:tcW w:w="51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56,357</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62,688</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140,570</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165,731</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3,733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11,381</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11,694</w:t>
            </w:r>
          </w:p>
        </w:tc>
      </w:tr>
      <w:tr>
        <w:trPr>
          <w:trHeight w:val="183"/>
        </w:trPr>
        <w:tc>
          <w:tcPr>
            <w:tcW w:w="51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60,090</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66,563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151,951</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177,425</w:t>
            </w:r>
          </w:p>
        </w:tc>
      </w:tr>
      <w:tr>
        <w:trPr>
          <w:trHeight w:val="183"/>
        </w:trPr>
        <w:tc>
          <w:tcPr>
            <w:tcW w:w="51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Cinema</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(49,468)</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(53,278)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(132,944)</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(146,297)</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(2,106)</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(2,281)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(6,801)</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(6,600)</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(3,926)</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(4,580)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(12,142)</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(13,908)</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(4,933)</w:t>
            </w:r>
          </w:p>
        </w:tc>
        <w:tc>
          <w:tcPr>
            <w:tcW w:w="4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(5,405)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(15,626)</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(15,693)</w:t>
            </w:r>
          </w:p>
        </w:tc>
      </w:tr>
      <w:tr>
        <w:trPr>
          <w:trHeight w:val="183"/>
        </w:trPr>
        <w:tc>
          <w:tcPr>
            <w:tcW w:w="51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(60,433)</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(65,544)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(167,513)</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(182,498)</w:t>
            </w:r>
          </w:p>
        </w:tc>
      </w:tr>
      <w:tr>
        <w:trPr>
          <w:trHeight w:val="183"/>
        </w:trPr>
        <w:tc>
          <w:tcPr>
            <w:tcW w:w="51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(15,562)</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(5,073)</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(5,245)</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(5,072)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(15,907)</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(14,063)</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(208)</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(1,324)</w:t>
            </w: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(714)</w:t>
            </w: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(593)</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356</w:t>
            </w:r>
          </w:p>
        </w:tc>
      </w:tr>
      <w:tr>
        <w:trPr>
          <w:trHeight w:val="147"/>
        </w:trPr>
        <w:tc>
          <w:tcPr>
            <w:tcW w:w="514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Income (loss) before income tax expense and equity earnings of</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joint ventures</w:t>
            </w: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(6,510)</w:t>
            </w:r>
          </w:p>
        </w:tc>
        <w:tc>
          <w:tcPr>
            <w:tcW w:w="4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(33,386)</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443</w:t>
            </w:r>
          </w:p>
        </w:tc>
      </w:tr>
      <w:tr>
        <w:trPr>
          <w:trHeight w:val="183"/>
        </w:trPr>
        <w:tc>
          <w:tcPr>
            <w:tcW w:w="51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(6,439)</w:t>
            </w: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(33,222)</w:t>
            </w: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(18,337)</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(313)</w:t>
            </w:r>
          </w:p>
        </w:tc>
      </w:tr>
      <w:tr>
        <w:trPr>
          <w:trHeight w:val="183"/>
        </w:trPr>
        <w:tc>
          <w:tcPr>
            <w:tcW w:w="51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5"/>
                <w:szCs w:val="15"/>
                <w:color w:val="auto"/>
              </w:rPr>
            </w:pPr>
          </w:p>
        </w:tc>
        <w:tc>
          <w:tcPr>
            <w:tcW w:w="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(7,139)</w:t>
            </w:r>
          </w:p>
        </w:tc>
        <w:tc>
          <w:tcPr>
            <w:tcW w:w="180" w:type="dxa"/>
            <w:vAlign w:val="bottom"/>
          </w:tcPr>
          <w:p>
            <w:pPr>
              <w:spacing w:after="0"/>
              <w:rPr>
                <w:sz w:val="15"/>
                <w:szCs w:val="15"/>
                <w:color w:val="auto"/>
              </w:rPr>
            </w:pPr>
          </w:p>
        </w:tc>
        <w:tc>
          <w:tcPr>
            <w:tcW w:w="440" w:type="dxa"/>
            <w:vAlign w:val="bottom"/>
            <w:tcBorders>
              <w:top w:val="single" w:sz="8" w:color="auto"/>
            </w:tcBorders>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(33,543)</w:t>
            </w:r>
          </w:p>
        </w:tc>
        <w:tc>
          <w:tcPr>
            <w:tcW w:w="160" w:type="dxa"/>
            <w:vAlign w:val="bottom"/>
          </w:tcPr>
          <w:p>
            <w:pPr>
              <w:spacing w:after="0"/>
              <w:rPr>
                <w:sz w:val="15"/>
                <w:szCs w:val="15"/>
                <w:color w:val="auto"/>
              </w:rPr>
            </w:pPr>
          </w:p>
        </w:tc>
        <w:tc>
          <w:tcPr>
            <w:tcW w:w="44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(18,650)</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(481)</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(361)</w:t>
            </w:r>
          </w:p>
        </w:tc>
      </w:tr>
      <w:tr>
        <w:trPr>
          <w:trHeight w:val="190"/>
        </w:trPr>
        <w:tc>
          <w:tcPr>
            <w:tcW w:w="514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Reading International, Inc.</w:t>
            </w:r>
          </w:p>
        </w:tc>
        <w:tc>
          <w:tcPr>
            <w:tcW w:w="1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(7,028)</w:t>
            </w:r>
          </w:p>
        </w:tc>
        <w:tc>
          <w:tcPr>
            <w:tcW w:w="1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(4,400)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(33,062)</w:t>
            </w:r>
          </w:p>
        </w:tc>
        <w:tc>
          <w:tcPr>
            <w:tcW w:w="16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(18,289)</w:t>
            </w:r>
          </w:p>
        </w:tc>
      </w:tr>
      <w:tr>
        <w:trPr>
          <w:trHeight w:val="209"/>
        </w:trPr>
        <w:tc>
          <w:tcPr>
            <w:tcW w:w="5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(0.82)</w:t>
            </w:r>
          </w:p>
        </w:tc>
      </w:tr>
      <w:tr>
        <w:trPr>
          <w:trHeight w:val="183"/>
        </w:trPr>
        <w:tc>
          <w:tcPr>
            <w:tcW w:w="514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7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(0.82)</w:t>
            </w:r>
          </w:p>
        </w:tc>
      </w:tr>
      <w:tr>
        <w:trPr>
          <w:trHeight w:val="189"/>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22,426,184</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22,273,423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22,394,385</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22,208,757</w:t>
            </w:r>
          </w:p>
        </w:tc>
      </w:tr>
      <w:tr>
        <w:trPr>
          <w:trHeight w:val="196"/>
        </w:trPr>
        <w:tc>
          <w:tcPr>
            <w:tcW w:w="514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23,202,192</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23,513,715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23,265,575</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23,449,049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r>
      <w:tr>
        <w:trPr>
          <w:trHeight w:val="194"/>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69"/>
        </w:trPr>
        <w:tc>
          <w:tcPr>
            <w:tcW w:w="5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(7,139)</w:t>
            </w: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(4,465)</w:t>
            </w:r>
          </w:p>
        </w:tc>
        <w:tc>
          <w:tcPr>
            <w:tcW w:w="26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(33,543)</w:t>
            </w:r>
          </w:p>
        </w:tc>
        <w:tc>
          <w:tcPr>
            <w:tcW w:w="54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(18,650)</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gain (loss)</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(3,038)</w:t>
            </w: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cash flow hedges</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(269)</w:t>
            </w: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(813)</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r>
      <w:tr>
        <w:trPr>
          <w:trHeight w:val="183"/>
        </w:trPr>
        <w:tc>
          <w:tcPr>
            <w:tcW w:w="5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(5,640)</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(6,125)</w:t>
            </w: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(33,698)</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(22,345)</w:t>
            </w: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spacing w:after="0"/>
              <w:rPr>
                <w:sz w:val="16"/>
                <w:szCs w:val="16"/>
                <w:color w:val="auto"/>
              </w:rPr>
            </w:pPr>
          </w:p>
        </w:tc>
        <w:tc>
          <w:tcPr>
            <w:tcW w:w="9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(481)</w:t>
            </w:r>
          </w:p>
        </w:tc>
        <w:tc>
          <w:tcPr>
            <w:tcW w:w="5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(361)</w:t>
            </w:r>
          </w:p>
        </w:tc>
      </w:tr>
      <w:tr>
        <w:trPr>
          <w:trHeight w:val="157"/>
        </w:trPr>
        <w:tc>
          <w:tcPr>
            <w:tcW w:w="53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4"/>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89"/>
        </w:trPr>
        <w:tc>
          <w:tcPr>
            <w:tcW w:w="514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(5,534)</w:t>
            </w:r>
          </w:p>
        </w:tc>
        <w:tc>
          <w:tcPr>
            <w:tcW w:w="18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(33,220)</w:t>
            </w:r>
          </w:p>
        </w:tc>
        <w:tc>
          <w:tcPr>
            <w:tcW w:w="16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(21,979)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8"/>
          <w:szCs w:val="18"/>
          <w:i w:val="1"/>
          <w:iCs w:val="1"/>
          <w:color w:val="auto"/>
        </w:rPr>
        <w:t>(Unaudited; U.S. dollars in thousands)</w:t>
      </w:r>
    </w:p>
    <w:p>
      <w:pPr>
        <w:spacing w:after="0" w:line="7"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9"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39"/>
              <w:spacing w:after="0" w:line="18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9"/>
              <w:spacing w:after="0" w:line="183"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176"/>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(As Restated)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8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6"/>
        </w:trPr>
        <w:tc>
          <w:tcPr>
            <w:tcW w:w="80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 (loss)</w:t>
            </w:r>
          </w:p>
        </w:tc>
        <w:tc>
          <w:tcPr>
            <w:tcW w:w="4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(33,543)</w:t>
            </w:r>
          </w:p>
        </w:tc>
        <w:tc>
          <w:tcPr>
            <w:tcW w:w="38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(18,650)</w:t>
            </w:r>
          </w:p>
        </w:tc>
      </w:tr>
      <w:tr>
        <w:trPr>
          <w:trHeight w:val="175"/>
        </w:trPr>
        <w:tc>
          <w:tcPr>
            <w:tcW w:w="80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i w:val="1"/>
                <w:iCs w:val="1"/>
                <w:color w:val="auto"/>
              </w:rPr>
              <w:t>Adjustments to reconcile net income (loss) to net cash provided by operating activities: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6"/>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Equity earnings of unconsolidated joint ventures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(443)</w:t>
            </w: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Distributions of earnings from unconsolidated joint ventures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468</w:t>
            </w:r>
          </w:p>
        </w:tc>
      </w:tr>
      <w:tr>
        <w:trPr>
          <w:trHeight w:val="176"/>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loss recognized on foreign currency transactions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loss on sale of assets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Amortization of operating leases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14,871</w:t>
            </w: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Amortization of finance leases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w:t>
            </w: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Change in operating lease liabilities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(16,212)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(15,998)</w:t>
            </w: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Purchase of derivative instruments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Change in net deferred tax assets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(98)</w:t>
            </w: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12,142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13,908</w:t>
            </w:r>
          </w:p>
        </w:tc>
      </w:tr>
      <w:tr>
        <w:trPr>
          <w:trHeight w:val="176"/>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 amortization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1,157</w:t>
            </w: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 based compensation expense</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1,364</w:t>
            </w:r>
          </w:p>
        </w:tc>
      </w:tr>
      <w:tr>
        <w:trPr>
          <w:trHeight w:val="176"/>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i w:val="1"/>
                <w:iCs w:val="1"/>
                <w:color w:val="auto"/>
              </w:rPr>
              <w:t>Net changes in operating assets and liabilities: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802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Receivables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325</w:t>
            </w:r>
          </w:p>
        </w:tc>
      </w:tr>
      <w:tr>
        <w:trPr>
          <w:trHeight w:val="176"/>
        </w:trPr>
        <w:tc>
          <w:tcPr>
            <w:tcW w:w="802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Prepaid and other assets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(483)</w:t>
            </w:r>
          </w:p>
        </w:tc>
      </w:tr>
      <w:tr>
        <w:trPr>
          <w:trHeight w:val="176"/>
        </w:trPr>
        <w:tc>
          <w:tcPr>
            <w:tcW w:w="802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Payments for accrued pension</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(513)</w:t>
            </w:r>
          </w:p>
        </w:tc>
      </w:tr>
      <w:tr>
        <w:trPr>
          <w:trHeight w:val="175"/>
        </w:trPr>
        <w:tc>
          <w:tcPr>
            <w:tcW w:w="802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7,151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932</w:t>
            </w:r>
          </w:p>
        </w:tc>
      </w:tr>
      <w:tr>
        <w:trPr>
          <w:trHeight w:val="176"/>
        </w:trPr>
        <w:tc>
          <w:tcPr>
            <w:tcW w:w="802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Film rent payable</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(2,420)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(2,127)</w:t>
            </w:r>
          </w:p>
        </w:tc>
      </w:tr>
      <w:tr>
        <w:trPr>
          <w:trHeight w:val="175"/>
        </w:trPr>
        <w:tc>
          <w:tcPr>
            <w:tcW w:w="802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color w:val="auto"/>
              </w:rPr>
              <w:t>Taxes payable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(1,165)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2,155</w:t>
            </w:r>
          </w:p>
        </w:tc>
      </w:tr>
      <w:tr>
        <w:trPr>
          <w:trHeight w:val="176"/>
        </w:trPr>
        <w:tc>
          <w:tcPr>
            <w:tcW w:w="8020" w:type="dxa"/>
            <w:vAlign w:val="bottom"/>
            <w:tcBorders>
              <w:bottom w:val="single" w:sz="8" w:color="auto"/>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rPr>
              <w:t>Deferred revenue and other liabilities</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(3,257)</w:t>
            </w:r>
          </w:p>
        </w:tc>
      </w:tr>
      <w:tr>
        <w:trPr>
          <w:trHeight w:val="169"/>
        </w:trPr>
        <w:tc>
          <w:tcPr>
            <w:tcW w:w="80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(11,818)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(6,366)</w:t>
            </w:r>
          </w:p>
        </w:tc>
      </w:tr>
      <w:tr>
        <w:trPr>
          <w:trHeight w:val="169"/>
        </w:trPr>
        <w:tc>
          <w:tcPr>
            <w:tcW w:w="8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Purchases of and additions to operating and investment properties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(4,571)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(6,191)</w:t>
            </w: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Contributions to unconsolidated joint ventures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8020" w:type="dxa"/>
            <w:vAlign w:val="bottom"/>
            <w:tcBorders>
              <w:bottom w:val="single" w:sz="8" w:color="auto"/>
            </w:tcBorders>
          </w:tcPr>
          <w:p>
            <w:pPr>
              <w:ind w:left="220"/>
              <w:spacing w:after="0" w:line="175" w:lineRule="exact"/>
              <w:rPr>
                <w:sz w:val="20"/>
                <w:szCs w:val="20"/>
                <w:color w:val="auto"/>
              </w:rPr>
            </w:pPr>
            <w:r>
              <w:rPr>
                <w:rFonts w:ascii="Times New Roman" w:cs="Times New Roman" w:eastAsia="Times New Roman" w:hAnsi="Times New Roman"/>
                <w:sz w:val="16"/>
                <w:szCs w:val="16"/>
                <w:color w:val="auto"/>
              </w:rPr>
              <w:t>Proceeds from sale of assets</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9,590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69"/>
        </w:trPr>
        <w:tc>
          <w:tcPr>
            <w:tcW w:w="80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(6,191)</w:t>
            </w: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Repayment of borrowings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(13,381)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(6,862)</w:t>
            </w: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Repayment of finance lease principal</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w:t>
            </w: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Proceeds from borrowings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3,839</w:t>
            </w: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Capitalized borrowing 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(594)</w:t>
            </w: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paid) proceeds from the settlement of employee share transactions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(244)</w:t>
            </w:r>
          </w:p>
        </w:tc>
      </w:tr>
      <w:tr>
        <w:trPr>
          <w:trHeight w:val="169"/>
        </w:trPr>
        <w:tc>
          <w:tcPr>
            <w:tcW w:w="80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2,127</w:t>
            </w:r>
          </w:p>
        </w:tc>
        <w:tc>
          <w:tcPr>
            <w:tcW w:w="8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(3,886)</w:t>
            </w:r>
          </w:p>
        </w:tc>
      </w:tr>
      <w:tr>
        <w:trPr>
          <w:trHeight w:val="169"/>
        </w:trPr>
        <w:tc>
          <w:tcPr>
            <w:tcW w:w="8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Effect of exchange rate on cash and restricted cash</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(897)</w:t>
            </w:r>
          </w:p>
        </w:tc>
      </w:tr>
      <w:tr>
        <w:trPr>
          <w:trHeight w:val="175"/>
        </w:trPr>
        <w:tc>
          <w:tcPr>
            <w:tcW w:w="80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 restricted cash</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(3,958)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(17,340)</w:t>
            </w:r>
          </w:p>
        </w:tc>
      </w:tr>
      <w:tr>
        <w:trPr>
          <w:trHeight w:val="175"/>
        </w:trPr>
        <w:tc>
          <w:tcPr>
            <w:tcW w:w="80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beginning of the period</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15,441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34,979</w:t>
            </w:r>
          </w:p>
        </w:tc>
      </w:tr>
      <w:tr>
        <w:trPr>
          <w:trHeight w:val="176"/>
        </w:trPr>
        <w:tc>
          <w:tcPr>
            <w:tcW w:w="80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 the period</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11,483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17,639</w:t>
            </w:r>
          </w:p>
        </w:tc>
      </w:tr>
      <w:tr>
        <w:trPr>
          <w:trHeight w:val="176"/>
        </w:trPr>
        <w:tc>
          <w:tcPr>
            <w:tcW w:w="8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5"/>
        </w:trPr>
        <w:tc>
          <w:tcPr>
            <w:tcW w:w="80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consists of:</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10,083</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11,925</w:t>
            </w:r>
          </w:p>
        </w:tc>
      </w:tr>
      <w:tr>
        <w:trPr>
          <w:trHeight w:val="175"/>
        </w:trPr>
        <w:tc>
          <w:tcPr>
            <w:tcW w:w="8020" w:type="dxa"/>
            <w:vAlign w:val="bottom"/>
            <w:tcBorders>
              <w:bottom w:val="single" w:sz="8" w:color="CCEEFF"/>
            </w:tcBorders>
          </w:tcPr>
          <w:p>
            <w:pPr>
              <w:ind w:left="220"/>
              <w:spacing w:after="0" w:line="175" w:lineRule="exact"/>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1,400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5,714</w:t>
            </w:r>
          </w:p>
        </w:tc>
      </w:tr>
      <w:tr>
        <w:trPr>
          <w:trHeight w:val="176"/>
        </w:trPr>
        <w:tc>
          <w:tcPr>
            <w:tcW w:w="80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11,483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17,639</w:t>
            </w:r>
          </w:p>
        </w:tc>
      </w:tr>
      <w:tr>
        <w:trPr>
          <w:trHeight w:val="534"/>
        </w:trPr>
        <w:tc>
          <w:tcPr>
            <w:tcW w:w="802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r>
      <w:tr>
        <w:trPr>
          <w:trHeight w:val="175"/>
        </w:trPr>
        <w:tc>
          <w:tcPr>
            <w:tcW w:w="8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5"/>
        </w:trPr>
        <w:tc>
          <w:tcPr>
            <w:tcW w:w="80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Interest paid</w:t>
            </w:r>
          </w:p>
        </w:tc>
        <w:tc>
          <w:tcPr>
            <w:tcW w:w="4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14,427</w:t>
            </w:r>
          </w:p>
        </w:tc>
        <w:tc>
          <w:tcPr>
            <w:tcW w:w="80" w:type="dxa"/>
            <w:vAlign w:val="bottom"/>
          </w:tcPr>
          <w:p>
            <w:pPr>
              <w:spacing w:after="0"/>
              <w:rPr>
                <w:sz w:val="15"/>
                <w:szCs w:val="15"/>
                <w:color w:val="auto"/>
              </w:rPr>
            </w:pPr>
          </w:p>
        </w:tc>
        <w:tc>
          <w:tcPr>
            <w:tcW w:w="380" w:type="dxa"/>
            <w:vAlign w:val="bottom"/>
            <w:gridSpan w:val="2"/>
          </w:tcPr>
          <w:p>
            <w:pPr>
              <w:jc w:val="right"/>
              <w:ind w:right="1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13,826</w:t>
            </w: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Income taxes (refunded) paid</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(697)</w:t>
            </w:r>
          </w:p>
        </w:tc>
      </w:tr>
      <w:tr>
        <w:trPr>
          <w:trHeight w:val="175"/>
        </w:trPr>
        <w:tc>
          <w:tcPr>
            <w:tcW w:w="80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Non-Cash Transactions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802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Additions to operating and investing properties through accrued expenses</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2,557</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Consolidated Financial Statements</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READING INTERNATIONAL,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Restatement of Previously Issued Consolidated Financial Statements</w:t>
      </w:r>
    </w:p>
    <w:p>
      <w:pPr>
        <w:spacing w:after="0" w:line="17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for year ended December 31, 2024, the Company identified errors that stemmed from the erroneous reversal and treatment of a liability. As a result of correcting the accounting for this liability, the Company restated its unaudited consolidated financial statements for the three and nine months ended September 30,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represent our restated consolidated financial statements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and for the nine months ended September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restatement on the Consolidated Balance Sheet as of September 30, 2024 are summarized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$48,213</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139,536</w:t>
            </w:r>
          </w:p>
        </w:tc>
        <w:tc>
          <w:tcPr>
            <w:tcW w:w="8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491,080</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494,657</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earnings/(deficits)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(108,974)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Reading International, Inc. stockholders’ equity</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2024</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Income for the three months ended September 30, 2024, are summarized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7"/>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r>
      <w:tr>
        <w:trPr>
          <w:trHeight w:val="439"/>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240" w:type="dxa"/>
            <w:vAlign w:val="bottom"/>
          </w:tcPr>
          <w:p>
            <w:pPr>
              <w:spacing w:after="0"/>
              <w:rPr>
                <w:sz w:val="24"/>
                <w:szCs w:val="24"/>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3"/>
        </w:trPr>
        <w:tc>
          <w:tcPr>
            <w:tcW w:w="5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Cinema expenses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(49,371)</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(49,468)</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(60,336)</w:t>
            </w:r>
          </w:p>
        </w:tc>
        <w:tc>
          <w:tcPr>
            <w:tcW w:w="6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(60,433)</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(5,229)</w:t>
            </w:r>
          </w:p>
        </w:tc>
        <w:tc>
          <w:tcPr>
            <w:tcW w:w="6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3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and equity earnings of unconsolidated</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(6,398)</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(6,327)</w:t>
            </w:r>
          </w:p>
        </w:tc>
        <w:tc>
          <w:tcPr>
            <w:tcW w:w="6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(7,027)</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(6,916)</w:t>
            </w:r>
          </w:p>
        </w:tc>
        <w:tc>
          <w:tcPr>
            <w:tcW w:w="6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(0.31)</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bl>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effects of the restatement on the Summary of Controlling and Noncontrolling Stockholders’ Equity for the three months ended September 30, 2024, are summarized in the following table.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801"/>
              <w:spacing w:after="0"/>
              <w:rPr>
                <w:sz w:val="20"/>
                <w:szCs w:val="20"/>
                <w:color w:val="auto"/>
              </w:rPr>
            </w:pPr>
            <w:r>
              <w:rPr>
                <w:rFonts w:ascii="Times New Roman" w:cs="Times New Roman" w:eastAsia="Times New Roman" w:hAnsi="Times New Roman"/>
                <w:sz w:val="14"/>
                <w:szCs w:val="14"/>
                <w:b w:val="1"/>
                <w:bCs w:val="1"/>
                <w:color w:val="auto"/>
              </w:rPr>
              <w:t>Retained earnings / (deficits)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80" w:type="dxa"/>
            <w:vAlign w:val="bottom"/>
          </w:tcPr>
          <w:p>
            <w:pPr>
              <w:spacing w:after="0"/>
              <w:rPr>
                <w:sz w:val="22"/>
                <w:szCs w:val="22"/>
                <w:color w:val="auto"/>
              </w:rPr>
            </w:pPr>
          </w:p>
        </w:tc>
        <w:tc>
          <w:tcPr>
            <w:tcW w:w="10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(112,551)</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At September 30, 2024</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(112,551)</w:t>
            </w:r>
          </w:p>
        </w:tc>
        <w:tc>
          <w:tcPr>
            <w:tcW w:w="0" w:type="dxa"/>
            <w:vAlign w:val="bottom"/>
          </w:tcPr>
          <w:p>
            <w:pPr>
              <w:spacing w:after="0"/>
              <w:rPr>
                <w:sz w:val="1"/>
                <w:szCs w:val="1"/>
                <w:color w:val="auto"/>
              </w:rPr>
            </w:pPr>
          </w:p>
        </w:tc>
      </w:tr>
      <w:tr>
        <w:trPr>
          <w:trHeight w:val="607"/>
        </w:trPr>
        <w:tc>
          <w:tcPr>
            <w:tcW w:w="3460" w:type="dxa"/>
            <w:vAlign w:val="bottom"/>
          </w:tcPr>
          <w:p>
            <w:pPr>
              <w:spacing w:after="0"/>
              <w:rPr>
                <w:sz w:val="24"/>
                <w:szCs w:val="24"/>
                <w:color w:val="auto"/>
              </w:rPr>
            </w:pPr>
          </w:p>
        </w:tc>
        <w:tc>
          <w:tcPr>
            <w:tcW w:w="37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4"/>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7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60" w:type="dxa"/>
            <w:vAlign w:val="bottom"/>
          </w:tcPr>
          <w:p>
            <w:pPr>
              <w:spacing w:after="0"/>
              <w:rPr>
                <w:sz w:val="22"/>
                <w:szCs w:val="22"/>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3"/>
        </w:trPr>
        <w:tc>
          <w:tcPr>
            <w:tcW w:w="7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Comprehensive Income for the three months ended September 30, 2024, are summarized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7"/>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r>
      <w:tr>
        <w:trPr>
          <w:trHeight w:val="41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240" w:type="dxa"/>
            <w:vAlign w:val="bottom"/>
          </w:tcPr>
          <w:p>
            <w:pPr>
              <w:spacing w:after="0"/>
              <w:rPr>
                <w:sz w:val="24"/>
                <w:szCs w:val="24"/>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9"/>
        </w:trPr>
        <w:tc>
          <w:tcPr>
            <w:tcW w:w="5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(7,027)</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(5,528)</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(5,422)</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r>
      <w:tr>
        <w:trPr>
          <w:trHeight w:val="68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7"/>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r>
      <w:tr>
        <w:trPr>
          <w:trHeight w:val="426"/>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240" w:type="dxa"/>
            <w:vAlign w:val="bottom"/>
          </w:tcPr>
          <w:p>
            <w:pPr>
              <w:spacing w:after="0"/>
              <w:rPr>
                <w:sz w:val="24"/>
                <w:szCs w:val="24"/>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6"/>
        </w:trPr>
        <w:tc>
          <w:tcPr>
            <w:tcW w:w="5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(29,966)</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(30,121)</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(33,698)</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(29,643)</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2024</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Income for the nine months ended September 30, 2024, are summarized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7"/>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r>
      <w:tr>
        <w:trPr>
          <w:trHeight w:val="412"/>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 in Thousands</w:t>
            </w:r>
          </w:p>
        </w:tc>
        <w:tc>
          <w:tcPr>
            <w:tcW w:w="240" w:type="dxa"/>
            <w:vAlign w:val="bottom"/>
          </w:tcPr>
          <w:p>
            <w:pPr>
              <w:spacing w:after="0"/>
              <w:rPr>
                <w:sz w:val="24"/>
                <w:szCs w:val="24"/>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9"/>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Cinema expenses</w:t>
            </w:r>
          </w:p>
        </w:tc>
        <w:tc>
          <w:tcPr>
            <w:tcW w:w="7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(129,509)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(132,944)</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(164,078)</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(167,513)</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(12,127)</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w:t>
            </w: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(15,766)</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w:t>
            </w:r>
          </w:p>
        </w:tc>
      </w:tr>
      <w:tr>
        <w:trPr>
          <w:trHeight w:val="22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and equity earnings of unconsolidated</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(29,809)</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(33,386)</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(29,645)</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(33,222)</w:t>
            </w:r>
          </w:p>
        </w:tc>
      </w:tr>
      <w:tr>
        <w:trPr>
          <w:trHeight w:val="22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(29,966)</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(29,485)</w:t>
            </w:r>
          </w:p>
        </w:tc>
        <w:tc>
          <w:tcPr>
            <w:tcW w:w="5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9" w:name="page10"/>
    <w:bookmarkEnd w:id="9"/>
    <w:p>
      <w:pPr>
        <w:ind w:right="720"/>
        <w:spacing w:after="0" w:line="266" w:lineRule="auto"/>
        <w:rPr>
          <w:sz w:val="20"/>
          <w:szCs w:val="20"/>
          <w:color w:val="auto"/>
        </w:rPr>
      </w:pPr>
      <w:r>
        <w:rPr>
          <w:rFonts w:ascii="Times New Roman" w:cs="Times New Roman" w:eastAsia="Times New Roman" w:hAnsi="Times New Roman"/>
          <w:sz w:val="18"/>
          <w:szCs w:val="18"/>
          <w:color w:val="auto"/>
        </w:rPr>
        <w:t>The effects of the restatement on the Consolidated Statement of Cash Flows for the nine months ended September 30, 2024 are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 in</w:t>
            </w:r>
          </w:p>
        </w:tc>
        <w:tc>
          <w:tcPr>
            <w:tcW w:w="160" w:type="dxa"/>
            <w:vAlign w:val="bottom"/>
          </w:tcPr>
          <w:p>
            <w:pPr>
              <w:spacing w:after="0"/>
              <w:rPr>
                <w:sz w:val="18"/>
                <w:szCs w:val="18"/>
                <w:color w:val="auto"/>
              </w:rPr>
            </w:pPr>
          </w:p>
        </w:tc>
        <w:tc>
          <w:tcPr>
            <w:tcW w:w="10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0" w:type="dxa"/>
            <w:vAlign w:val="bottom"/>
          </w:tcPr>
          <w:p>
            <w:pPr>
              <w:spacing w:after="0"/>
              <w:rPr>
                <w:sz w:val="1"/>
                <w:szCs w:val="1"/>
                <w:color w:val="auto"/>
              </w:rPr>
            </w:pPr>
          </w:p>
        </w:tc>
      </w:tr>
      <w:tr>
        <w:trPr>
          <w:trHeight w:val="243"/>
        </w:trPr>
        <w:tc>
          <w:tcPr>
            <w:tcW w:w="7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3,574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Restatement of Previously Issued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footnotes have been updated to reflect the restatements made to the consolidated financial statements:</w:t>
      </w:r>
    </w:p>
    <w:p>
      <w:pPr>
        <w:spacing w:after="0" w:line="18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2 </w:t>
      </w:r>
      <w:r>
        <w:rPr>
          <w:rFonts w:ascii="Times New Roman" w:cs="Times New Roman" w:eastAsia="Times New Roman" w:hAnsi="Times New Roman"/>
          <w:sz w:val="18"/>
          <w:szCs w:val="18"/>
          <w:i w:val="1"/>
          <w:iCs w:val="1"/>
          <w:color w:val="auto"/>
        </w:rPr>
        <w:t>Description of Business and Segment Reporting</w:t>
      </w:r>
    </w:p>
    <w:p>
      <w:pPr>
        <w:spacing w:after="0" w:line="4"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4 </w:t>
      </w:r>
      <w:r>
        <w:rPr>
          <w:rFonts w:ascii="Times New Roman" w:cs="Times New Roman" w:eastAsia="Times New Roman" w:hAnsi="Times New Roman"/>
          <w:sz w:val="18"/>
          <w:szCs w:val="18"/>
          <w:i w:val="1"/>
          <w:iCs w:val="1"/>
          <w:color w:val="auto"/>
        </w:rPr>
        <w:t>Liquidity and Impairment Assessment</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6 </w:t>
      </w:r>
      <w:r>
        <w:rPr>
          <w:rFonts w:ascii="Times New Roman" w:cs="Times New Roman" w:eastAsia="Times New Roman" w:hAnsi="Times New Roman"/>
          <w:sz w:val="18"/>
          <w:szCs w:val="18"/>
          <w:i w:val="1"/>
          <w:iCs w:val="1"/>
          <w:color w:val="auto"/>
        </w:rPr>
        <w:t>Earnings Per Share</w:t>
      </w:r>
    </w:p>
    <w:p>
      <w:pPr>
        <w:ind w:left="660" w:hanging="328"/>
        <w:spacing w:after="0" w:line="21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8 </w:t>
      </w:r>
      <w:r>
        <w:rPr>
          <w:rFonts w:ascii="Times New Roman" w:cs="Times New Roman" w:eastAsia="Times New Roman" w:hAnsi="Times New Roman"/>
          <w:sz w:val="18"/>
          <w:szCs w:val="18"/>
          <w:i w:val="1"/>
          <w:iCs w:val="1"/>
          <w:color w:val="auto"/>
        </w:rPr>
        <w:t>Leases</w:t>
      </w:r>
    </w:p>
    <w:p>
      <w:pPr>
        <w:ind w:left="660" w:hanging="328"/>
        <w:spacing w:after="0" w:line="21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 12 </w:t>
      </w:r>
      <w:r>
        <w:rPr>
          <w:rFonts w:ascii="Times New Roman" w:cs="Times New Roman" w:eastAsia="Times New Roman" w:hAnsi="Times New Roman"/>
          <w:sz w:val="18"/>
          <w:szCs w:val="18"/>
          <w:i w:val="1"/>
          <w:iCs w:val="1"/>
          <w:color w:val="auto"/>
        </w:rPr>
        <w:t>Income Tax</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17 S</w:t>
      </w:r>
      <w:r>
        <w:rPr>
          <w:rFonts w:ascii="Times New Roman" w:cs="Times New Roman" w:eastAsia="Times New Roman" w:hAnsi="Times New Roman"/>
          <w:sz w:val="18"/>
          <w:szCs w:val="18"/>
          <w:i w:val="1"/>
          <w:iCs w:val="1"/>
          <w:color w:val="auto"/>
        </w:rPr>
        <w:t>ummary of Controlling and Noncontrolling Stockholders’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Description of Business and Segment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Company</w:t>
      </w:r>
    </w:p>
    <w:p>
      <w:pPr>
        <w:spacing w:after="0" w:line="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Reading International, Inc., a Nevada corporation (“RDI” and collectively with our consolidated subsidiaries and corporate predecessors, the “Company,” “Reading,” and “we,” “us,” or “our”) was incorporated in 1999. Our businesses, owned and operated through our various subsidiaries, consist primarily of:</w:t>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development, ownership, and operation of cinemas in the United States, Australia, and New Zealand; and</w:t>
      </w:r>
    </w:p>
    <w:p>
      <w:pPr>
        <w:spacing w:after="0" w:line="76"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the development, ownership, operation and/or rental of retail, commercial and live venue real estate assets in Australia, New Zealand, and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Segments</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Reported below are the operating segments of our Company for which separate financial information is available and evaluated regularly by the Chief Executive Officer, the chief operating decision-maker of our Company. As part of our real estate activities, we hold undeveloped land in urban and suburban centers in the United States and New Zealand.</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business segments for the quarter and nine months ended September 30, 2024, and 2023, respectively. Operating expense includes costs associated with the day-to-day operations of the cinemas and the management of rental properties, including our live theatre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vMerge w:val="restart"/>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4"/>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Cinema exhibition</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56,357</w:t>
            </w:r>
          </w:p>
        </w:tc>
        <w:tc>
          <w:tcPr>
            <w:tcW w:w="160" w:type="dxa"/>
            <w:vAlign w:val="bottom"/>
          </w:tcPr>
          <w:p>
            <w:pPr>
              <w:spacing w:after="0"/>
              <w:rPr>
                <w:sz w:val="16"/>
                <w:szCs w:val="16"/>
                <w:color w:val="auto"/>
              </w:rPr>
            </w:pPr>
          </w:p>
        </w:tc>
        <w:tc>
          <w:tcPr>
            <w:tcW w:w="4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62,687</w:t>
            </w:r>
          </w:p>
        </w:tc>
        <w:tc>
          <w:tcPr>
            <w:tcW w:w="160" w:type="dxa"/>
            <w:vAlign w:val="bottom"/>
          </w:tcPr>
          <w:p>
            <w:pPr>
              <w:spacing w:after="0"/>
              <w:rPr>
                <w:sz w:val="16"/>
                <w:szCs w:val="16"/>
                <w:color w:val="auto"/>
              </w:rPr>
            </w:pP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140,570</w:t>
            </w:r>
          </w:p>
        </w:tc>
        <w:tc>
          <w:tcPr>
            <w:tcW w:w="1020" w:type="dxa"/>
            <w:vAlign w:val="bottom"/>
            <w:gridSpan w:val="2"/>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165,731</w:t>
            </w:r>
          </w:p>
        </w:tc>
        <w:tc>
          <w:tcPr>
            <w:tcW w:w="0" w:type="dxa"/>
            <w:vAlign w:val="bottom"/>
          </w:tcPr>
          <w:p>
            <w:pPr>
              <w:spacing w:after="0"/>
              <w:rPr>
                <w:sz w:val="1"/>
                <w:szCs w:val="1"/>
                <w:color w:val="auto"/>
              </w:rPr>
            </w:pPr>
          </w:p>
        </w:tc>
      </w:tr>
      <w:tr>
        <w:trPr>
          <w:trHeight w:val="189"/>
        </w:trPr>
        <w:tc>
          <w:tcPr>
            <w:tcW w:w="5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4,898</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5,056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14,844</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Inter-segment elimination</w:t>
            </w:r>
          </w:p>
        </w:tc>
        <w:tc>
          <w:tcPr>
            <w:tcW w:w="18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(1,165)</w:t>
            </w:r>
          </w:p>
        </w:tc>
        <w:tc>
          <w:tcPr>
            <w:tcW w:w="46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(1,181)</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(3,463)</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60,090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66,562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151,951</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177,425</w:t>
            </w:r>
          </w:p>
        </w:tc>
        <w:tc>
          <w:tcPr>
            <w:tcW w:w="0" w:type="dxa"/>
            <w:vAlign w:val="bottom"/>
          </w:tcPr>
          <w:p>
            <w:pPr>
              <w:spacing w:after="0"/>
              <w:rPr>
                <w:sz w:val="1"/>
                <w:szCs w:val="1"/>
                <w:color w:val="auto"/>
              </w:rPr>
            </w:pPr>
          </w:p>
        </w:tc>
      </w:tr>
      <w:tr>
        <w:trPr>
          <w:trHeight w:val="176"/>
        </w:trPr>
        <w:tc>
          <w:tcPr>
            <w:tcW w:w="5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Cinema exhibition</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2,213</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4,395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(6,563)</w:t>
            </w:r>
          </w:p>
        </w:tc>
        <w:tc>
          <w:tcPr>
            <w:tcW w:w="1020" w:type="dxa"/>
            <w:vAlign w:val="bottom"/>
            <w:gridSpan w:val="2"/>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4,256</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CCEEFF"/>
            </w:tcBorders>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1,396</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920</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3,234</w:t>
            </w:r>
          </w:p>
        </w:tc>
        <w:tc>
          <w:tcPr>
            <w:tcW w:w="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3,609</w:t>
            </w: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5,315</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(3,329)</w:t>
            </w:r>
          </w:p>
        </w:tc>
        <w:tc>
          <w:tcPr>
            <w:tcW w:w="6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7,468</w:t>
            </w:r>
          </w:p>
        </w:tc>
        <w:tc>
          <w:tcPr>
            <w:tcW w:w="0" w:type="dxa"/>
            <w:vAlign w:val="bottom"/>
          </w:tcPr>
          <w:p>
            <w:pPr>
              <w:spacing w:after="0"/>
              <w:rPr>
                <w:sz w:val="1"/>
                <w:szCs w:val="1"/>
                <w:color w:val="auto"/>
              </w:rPr>
            </w:pPr>
          </w:p>
        </w:tc>
      </w:tr>
      <w:tr>
        <w:trPr>
          <w:trHeight w:val="594"/>
        </w:trPr>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 reconciliation of segment operating income to income before income taxes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3,609</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5,315</w:t>
            </w:r>
          </w:p>
        </w:tc>
        <w:tc>
          <w:tcPr>
            <w:tcW w:w="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(3,329)</w:t>
            </w:r>
          </w:p>
        </w:tc>
        <w:tc>
          <w:tcPr>
            <w:tcW w:w="1020" w:type="dxa"/>
            <w:vAlign w:val="bottom"/>
            <w:gridSpan w:val="2"/>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Unallocated corporate expense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(305)</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89"/>
        </w:trPr>
        <w:tc>
          <w:tcPr>
            <w:tcW w:w="48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(3,846)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(4,124)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(11,928)</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(5,245)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(5,072)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(15,907)</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(14,063)</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earnings of unconsolidated joint ventures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Gain (loss) on sale of assets</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w:t>
            </w: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(593)</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189"/>
        </w:trPr>
        <w:tc>
          <w:tcPr>
            <w:tcW w:w="4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(6,439)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(3,569)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(33,222)</w:t>
            </w: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(18,337)</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Consolidation</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2023 (“2023 Form 10-K”). All significant intercompany balances and transactions have been eliminated on consolidation. These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results for the quarter and nine months ended September 30, 2024, are not necessarily indicative of the results that may be expected for the year ending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 and (v) estimation of our Incremental Borrowing Rate (“IBR”) as relates to the valuation of our right-of-use assets and lease liabilities. Actual results may differ from those estimates</w:t>
      </w:r>
      <w:r>
        <w:rPr>
          <w:rFonts w:ascii="Times New Roman" w:cs="Times New Roman" w:eastAsia="Times New Roman" w:hAnsi="Times New Roman"/>
          <w:sz w:val="18"/>
          <w:szCs w:val="18"/>
          <w:i w:val="1"/>
          <w:i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Restatement of Previously Issued Consolidated Financial Statements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restated its unaudited consolidated financial statements as of June 30, 2024. See Note 1 </w:t>
      </w:r>
      <w:r>
        <w:rPr>
          <w:rFonts w:ascii="Times New Roman" w:cs="Times New Roman" w:eastAsia="Times New Roman" w:hAnsi="Times New Roman"/>
          <w:sz w:val="18"/>
          <w:szCs w:val="18"/>
          <w:i w:val="1"/>
          <w:iCs w:val="1"/>
          <w:color w:val="auto"/>
        </w:rPr>
        <w:t>Restatement of Previously Issued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for more information about the prior period error.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Liquidity and Impairment Assessment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18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We continue to evaluate the going concern assertion required by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jc w:val="both"/>
        <w:spacing w:after="0"/>
        <w:rPr>
          <w:sz w:val="20"/>
          <w:szCs w:val="20"/>
          <w:color w:val="auto"/>
        </w:rPr>
      </w:pPr>
      <w:r>
        <w:rPr>
          <w:rFonts w:ascii="Times New Roman" w:cs="Times New Roman" w:eastAsia="Times New Roman" w:hAnsi="Times New Roman"/>
          <w:sz w:val="18"/>
          <w:szCs w:val="18"/>
          <w:color w:val="auto"/>
        </w:rPr>
        <w:t>As of the end of the third quarter, 2024, we have $52.6 million of debt due in twelve months. We have cash of $10.1 million and negative working capital of $84.1 million. This net negative working capital position includes land and property held for sale of $37.9 million (based on book as opposed to fair market value). In order to alleviate doubt that our Company will be able to generate sufficient cash flows for the coming twelve months, these loans need to be refinanced and our revenues and net income need to increase through improved operations and asset monetization.</w:t>
      </w:r>
    </w:p>
    <w:p>
      <w:pPr>
        <w:spacing w:after="0" w:line="1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April 2024, we exercised our first option to extend our Union Square financing facility, extending the maturity date of that loan ($47.1 million at September 30, 2024) to May 6, 2025. We also obtained an extension of our NAB facility ($69.3 million at September 30, 2024), extending the maturity date of that loan to July 31, 2026. This extension also included a bridge loan in the amount of $13.9 million, maturing on March 31, 2025, subject to prepayment obligations from the net sales proceeds of certain assets. On August 1, 2024, we extended the maturity of our Santander loan ($7.7 million) to June 1, 2025. In October 2024 we obtained two six month options to extend our Cinemas 123 loan. We believe that we will be able to reach mutually acceptable terms with respect to our Westpac ($12.0 million, due first quarter of 2025) credit facility. We continue to work towards monetizing the assets held on our balance sheet as being held for sale.</w:t>
      </w:r>
    </w:p>
    <w:p>
      <w:pPr>
        <w:spacing w:after="0" w:line="14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We believe that the global cinema industry will continue to improve in the last half of 2024 and 2025. This belief underpins our forecasts and cash flow projections. Our forecasts rely upon, among other things, the market reception to current films such as </w:t>
      </w:r>
      <w:r>
        <w:rPr>
          <w:rFonts w:ascii="Times New Roman" w:cs="Times New Roman" w:eastAsia="Times New Roman" w:hAnsi="Times New Roman"/>
          <w:sz w:val="18"/>
          <w:szCs w:val="18"/>
          <w:i w:val="1"/>
          <w:iCs w:val="1"/>
          <w:color w:val="auto"/>
        </w:rPr>
        <w:t>Gladiator II, Wicked, Moana 2, Mufasa: The 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Sonic the Hedgehog 3</w:t>
      </w:r>
      <w:r>
        <w:rPr>
          <w:rFonts w:ascii="Times New Roman" w:cs="Times New Roman" w:eastAsia="Times New Roman" w:hAnsi="Times New Roman"/>
          <w:sz w:val="18"/>
          <w:szCs w:val="18"/>
          <w:color w:val="auto"/>
        </w:rPr>
        <w:t>, the current industry movie release schedule, which demonstrates an increased number of movies to be released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studios 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asset monetizations.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conclusion, as of the date of issuance of these financial statements, based on our evaluation of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Considerations</w:t>
      </w:r>
    </w:p>
    <w:p>
      <w:pPr>
        <w:spacing w:after="0" w:line="17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Company considers that the events and factors described above constitute impairment indicators under </w:t>
      </w:r>
      <w:r>
        <w:rPr>
          <w:rFonts w:ascii="Times New Roman" w:cs="Times New Roman" w:eastAsia="Times New Roman" w:hAnsi="Times New Roman"/>
          <w:sz w:val="18"/>
          <w:szCs w:val="18"/>
          <w:i w:val="1"/>
          <w:iCs w:val="1"/>
          <w:color w:val="auto"/>
        </w:rPr>
        <w:t>ASC 360 Property, Plant and Equipment</w:t>
      </w:r>
      <w:r>
        <w:rPr>
          <w:rFonts w:ascii="Times New Roman" w:cs="Times New Roman" w:eastAsia="Times New Roman" w:hAnsi="Times New Roman"/>
          <w:sz w:val="18"/>
          <w:szCs w:val="18"/>
          <w:color w:val="auto"/>
        </w:rPr>
        <w:t>. At December 31, 2023, our Company performed a quantitative recoverability test of the carrying values of all its asset groups. Our Company estimated the undiscounted future cash flows expected to result from the use of these asset groups and found that no impairment charge was necessary. The financial performance of our cinemas has been improving, despite the challenges described above, and particularly the ongoing impacts of the WGA and SAG strikes on the first nine months of 2024. This improved performance at an asset group level, and the impact of this performance on our impairment modelling, resulted in no impairment charges being recognized for the first nine months of 2024.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spacing w:after="0" w:line="16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Company also considers that the events and factors described above continue to constitute impairment indicators under </w:t>
      </w:r>
      <w:r>
        <w:rPr>
          <w:rFonts w:ascii="Times New Roman" w:cs="Times New Roman" w:eastAsia="Times New Roman" w:hAnsi="Times New Roman"/>
          <w:sz w:val="18"/>
          <w:szCs w:val="18"/>
          <w:i w:val="1"/>
          <w:iCs w:val="1"/>
          <w:color w:val="auto"/>
        </w:rPr>
        <w:t>ASC 350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Our Company performed a quantitative goodwill impairment test and determined that our goodwill was not impaired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Given the continuing improvements in trading conditions, taking into account the actual and expecting impacts of the WGA and SAG strikes, no impairment charges were recorded in the first nine months of 2024. Actual performance against our forecasts is dependent on several variables and conditions, including among other things, the factors presented above, and as a result, actual results may materially differ from management’s estimates.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Operations in Foreign Currency</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 from our domestic cinema operations. Our Australian and New Zealand assets and liabilities are translated from their functional currencies of Australian dollar (“AU$”) and New Zealand dollar (“NZ$”), respectively, to the U.S. dollar based on the exchange rate as of September 30, 2024. The carrying value of the assets and liabilities of our foreign operations fluctuates as a result of changes in the exchange rates between the functional currencies of the foreign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18"/>
          <w:szCs w:val="18"/>
          <w:color w:val="auto"/>
        </w:rPr>
        <w:t>operations and the U.S. dollar. The translation adjustments are accumulated in the Accumulated Other Comprehensive Income in the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take a global view of our financial resources and are flexible in making use of resources from one jurisdiction in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are the currency exchange rates for Australia and New Zealand: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 / USD</w:t>
            </w: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40" w:type="dxa"/>
            <w:vAlign w:val="bottom"/>
          </w:tcPr>
          <w:p>
            <w:pPr>
              <w:jc w:val="center"/>
              <w:ind w:left="163"/>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1620" w:type="dxa"/>
            <w:vAlign w:val="bottom"/>
            <w:gridSpan w:val="2"/>
            <w:vMerge w:val="restart"/>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194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940" w:type="dxa"/>
            <w:vAlign w:val="bottom"/>
          </w:tcPr>
          <w:p>
            <w:pPr>
              <w:jc w:val="center"/>
              <w:ind w:left="203"/>
              <w:spacing w:after="0" w:line="124" w:lineRule="exact"/>
              <w:rPr>
                <w:sz w:val="20"/>
                <w:szCs w:val="20"/>
                <w:color w:val="auto"/>
              </w:rPr>
            </w:pPr>
            <w:r>
              <w:rPr>
                <w:rFonts w:ascii="Times New Roman" w:cs="Times New Roman" w:eastAsia="Times New Roman" w:hAnsi="Times New Roman"/>
                <w:sz w:val="14"/>
                <w:szCs w:val="14"/>
                <w:b w:val="1"/>
                <w:bCs w:val="1"/>
                <w:color w:val="auto"/>
              </w:rPr>
              <w:t>As of and</w:t>
            </w:r>
          </w:p>
        </w:tc>
        <w:tc>
          <w:tcPr>
            <w:tcW w:w="1560" w:type="dxa"/>
            <w:vAlign w:val="bottom"/>
            <w:vMerge w:val="restart"/>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tcPr>
          <w:p>
            <w:pPr>
              <w:jc w:val="center"/>
              <w:ind w:left="163"/>
              <w:spacing w:after="0" w:line="149" w:lineRule="exact"/>
              <w:rPr>
                <w:sz w:val="20"/>
                <w:szCs w:val="20"/>
                <w:color w:val="auto"/>
              </w:rPr>
            </w:pPr>
            <w:r>
              <w:rPr>
                <w:rFonts w:ascii="Times New Roman" w:cs="Times New Roman" w:eastAsia="Times New Roman" w:hAnsi="Times New Roman"/>
                <w:sz w:val="14"/>
                <w:szCs w:val="14"/>
                <w:b w:val="1"/>
                <w:bCs w:val="1"/>
                <w:color w:val="auto"/>
              </w:rPr>
              <w:t>‎for the</w:t>
            </w:r>
          </w:p>
        </w:tc>
        <w:tc>
          <w:tcPr>
            <w:tcW w:w="1620" w:type="dxa"/>
            <w:vAlign w:val="bottom"/>
            <w:gridSpan w:val="2"/>
            <w:vMerge w:val="continue"/>
          </w:tcPr>
          <w:p>
            <w:pPr>
              <w:spacing w:after="0"/>
              <w:rPr>
                <w:sz w:val="12"/>
                <w:szCs w:val="12"/>
                <w:color w:val="auto"/>
              </w:rPr>
            </w:pPr>
          </w:p>
        </w:tc>
        <w:tc>
          <w:tcPr>
            <w:tcW w:w="9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94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the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20" w:type="dxa"/>
            <w:vAlign w:val="bottom"/>
            <w:gridSpan w:val="2"/>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w w:val="99"/>
              </w:rPr>
              <w:t>for the</w:t>
            </w:r>
          </w:p>
        </w:tc>
        <w:tc>
          <w:tcPr>
            <w:tcW w:w="9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20" w:type="dxa"/>
            <w:vAlign w:val="bottom"/>
            <w:gridSpan w:val="2"/>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56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62"/>
        </w:trPr>
        <w:tc>
          <w:tcPr>
            <w:tcW w:w="4240" w:type="dxa"/>
            <w:vAlign w:val="bottom"/>
            <w:tcBorders>
              <w:top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Spot Rate</w:t>
            </w:r>
          </w:p>
        </w:tc>
        <w:tc>
          <w:tcPr>
            <w:tcW w:w="9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940" w:type="dxa"/>
            <w:vAlign w:val="bottom"/>
          </w:tcPr>
          <w:p>
            <w:pPr>
              <w:spacing w:after="0"/>
              <w:rPr>
                <w:sz w:val="16"/>
                <w:szCs w:val="16"/>
                <w:color w:val="auto"/>
              </w:rPr>
            </w:pPr>
          </w:p>
        </w:tc>
        <w:tc>
          <w:tcPr>
            <w:tcW w:w="1540" w:type="dxa"/>
            <w:vAlign w:val="bottom"/>
          </w:tcPr>
          <w:p>
            <w:pPr>
              <w:jc w:val="center"/>
              <w:ind w:right="878"/>
              <w:spacing w:after="0" w:line="189" w:lineRule="exact"/>
              <w:rPr>
                <w:sz w:val="20"/>
                <w:szCs w:val="20"/>
                <w:color w:val="auto"/>
              </w:rPr>
            </w:pPr>
            <w:r>
              <w:rPr>
                <w:rFonts w:ascii="Times New Roman" w:cs="Times New Roman" w:eastAsia="Times New Roman" w:hAnsi="Times New Roman"/>
                <w:sz w:val="18"/>
                <w:szCs w:val="18"/>
                <w:color w:val="auto"/>
              </w:rPr>
              <w:t>0.6934</w:t>
            </w:r>
          </w:p>
        </w:tc>
        <w:tc>
          <w:tcPr>
            <w:tcW w:w="80" w:type="dxa"/>
            <w:vAlign w:val="bottom"/>
          </w:tcPr>
          <w:p>
            <w:pPr>
              <w:spacing w:after="0"/>
              <w:rPr>
                <w:sz w:val="16"/>
                <w:szCs w:val="16"/>
                <w:color w:val="auto"/>
              </w:rPr>
            </w:pPr>
          </w:p>
        </w:tc>
        <w:tc>
          <w:tcPr>
            <w:tcW w:w="18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0.6828</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center"/>
              <w:ind w:right="858"/>
              <w:spacing w:after="0" w:line="189" w:lineRule="exact"/>
              <w:rPr>
                <w:sz w:val="20"/>
                <w:szCs w:val="20"/>
                <w:color w:val="auto"/>
              </w:rPr>
            </w:pPr>
            <w:r>
              <w:rPr>
                <w:rFonts w:ascii="Times New Roman" w:cs="Times New Roman" w:eastAsia="Times New Roman" w:hAnsi="Times New Roman"/>
                <w:sz w:val="18"/>
                <w:szCs w:val="18"/>
                <w:color w:val="auto"/>
              </w:rPr>
              <w:t>0.6451</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New Zealand Dollar</w:t>
            </w:r>
          </w:p>
        </w:tc>
        <w:tc>
          <w:tcPr>
            <w:tcW w:w="9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878"/>
              <w:spacing w:after="0" w:line="189" w:lineRule="exact"/>
              <w:rPr>
                <w:sz w:val="20"/>
                <w:szCs w:val="20"/>
                <w:color w:val="auto"/>
              </w:rPr>
            </w:pPr>
            <w:r>
              <w:rPr>
                <w:rFonts w:ascii="Times New Roman" w:cs="Times New Roman" w:eastAsia="Times New Roman" w:hAnsi="Times New Roman"/>
                <w:sz w:val="18"/>
                <w:szCs w:val="18"/>
                <w:color w:val="auto"/>
              </w:rPr>
              <w:t>0.6363</w:t>
            </w: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0.6340</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560" w:type="dxa"/>
            <w:vAlign w:val="bottom"/>
            <w:shd w:val="clear" w:color="auto" w:fill="CCEEFF"/>
          </w:tcPr>
          <w:p>
            <w:pPr>
              <w:jc w:val="center"/>
              <w:ind w:right="858"/>
              <w:spacing w:after="0" w:line="189" w:lineRule="exact"/>
              <w:rPr>
                <w:sz w:val="20"/>
                <w:szCs w:val="20"/>
                <w:color w:val="auto"/>
              </w:rPr>
            </w:pPr>
            <w:r>
              <w:rPr>
                <w:rFonts w:ascii="Times New Roman" w:cs="Times New Roman" w:eastAsia="Times New Roman" w:hAnsi="Times New Roman"/>
                <w:sz w:val="18"/>
                <w:szCs w:val="18"/>
                <w:color w:val="auto"/>
              </w:rPr>
              <w:t>0.6013</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7"/>
              </w:rPr>
              <w:t>Average Rate</w:t>
            </w:r>
          </w:p>
        </w:tc>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Dollar</w:t>
            </w:r>
          </w:p>
        </w:tc>
        <w:tc>
          <w:tcPr>
            <w:tcW w:w="940" w:type="dxa"/>
            <w:vAlign w:val="bottom"/>
            <w:shd w:val="clear" w:color="auto" w:fill="CCEEFF"/>
          </w:tcPr>
          <w:p>
            <w:pPr>
              <w:jc w:val="center"/>
              <w:ind w:left="163"/>
              <w:spacing w:after="0" w:line="189" w:lineRule="exact"/>
              <w:rPr>
                <w:sz w:val="20"/>
                <w:szCs w:val="20"/>
                <w:color w:val="auto"/>
              </w:rPr>
            </w:pPr>
            <w:r>
              <w:rPr>
                <w:rFonts w:ascii="Times New Roman" w:cs="Times New Roman" w:eastAsia="Times New Roman" w:hAnsi="Times New Roman"/>
                <w:sz w:val="18"/>
                <w:szCs w:val="18"/>
                <w:color w:val="auto"/>
              </w:rPr>
              <w:t>0.6700</w:t>
            </w:r>
          </w:p>
        </w:tc>
        <w:tc>
          <w:tcPr>
            <w:tcW w:w="1540" w:type="dxa"/>
            <w:vAlign w:val="bottom"/>
            <w:shd w:val="clear" w:color="auto" w:fill="CCEEFF"/>
          </w:tcPr>
          <w:p>
            <w:pPr>
              <w:jc w:val="center"/>
              <w:ind w:left="238"/>
              <w:spacing w:after="0" w:line="189" w:lineRule="exact"/>
              <w:rPr>
                <w:sz w:val="20"/>
                <w:szCs w:val="20"/>
                <w:color w:val="auto"/>
              </w:rPr>
            </w:pPr>
            <w:r>
              <w:rPr>
                <w:rFonts w:ascii="Times New Roman" w:cs="Times New Roman" w:eastAsia="Times New Roman" w:hAnsi="Times New Roman"/>
                <w:sz w:val="18"/>
                <w:szCs w:val="18"/>
                <w:color w:val="auto"/>
              </w:rPr>
              <w:t>0.6621</w:t>
            </w:r>
          </w:p>
        </w:tc>
        <w:tc>
          <w:tcPr>
            <w:tcW w:w="8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0.6647</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203"/>
              <w:spacing w:after="0" w:line="189" w:lineRule="exact"/>
              <w:rPr>
                <w:sz w:val="20"/>
                <w:szCs w:val="20"/>
                <w:color w:val="auto"/>
              </w:rPr>
            </w:pPr>
            <w:r>
              <w:rPr>
                <w:rFonts w:ascii="Times New Roman" w:cs="Times New Roman" w:eastAsia="Times New Roman" w:hAnsi="Times New Roman"/>
                <w:sz w:val="18"/>
                <w:szCs w:val="18"/>
                <w:color w:val="auto"/>
              </w:rPr>
              <w:t>0.6551</w:t>
            </w:r>
          </w:p>
        </w:tc>
        <w:tc>
          <w:tcPr>
            <w:tcW w:w="1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0.6691</w:t>
            </w: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 Dollar</w:t>
            </w:r>
          </w:p>
        </w:tc>
        <w:tc>
          <w:tcPr>
            <w:tcW w:w="940" w:type="dxa"/>
            <w:vAlign w:val="bottom"/>
          </w:tcPr>
          <w:p>
            <w:pPr>
              <w:jc w:val="center"/>
              <w:ind w:left="183"/>
              <w:spacing w:after="0"/>
              <w:rPr>
                <w:sz w:val="20"/>
                <w:szCs w:val="20"/>
                <w:color w:val="auto"/>
              </w:rPr>
            </w:pPr>
            <w:r>
              <w:rPr>
                <w:rFonts w:ascii="Times New Roman" w:cs="Times New Roman" w:eastAsia="Times New Roman" w:hAnsi="Times New Roman"/>
                <w:sz w:val="18"/>
                <w:szCs w:val="18"/>
                <w:color w:val="auto"/>
                <w:w w:val="96"/>
              </w:rPr>
              <w:t>0.6117</w:t>
            </w:r>
          </w:p>
        </w:tc>
        <w:tc>
          <w:tcPr>
            <w:tcW w:w="154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rPr>
              <w:t>0.6098</w:t>
            </w:r>
          </w:p>
        </w:tc>
        <w:tc>
          <w:tcPr>
            <w:tcW w:w="8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0.6145</w:t>
            </w:r>
          </w:p>
        </w:tc>
        <w:tc>
          <w:tcPr>
            <w:tcW w:w="80" w:type="dxa"/>
            <w:vAlign w:val="bottom"/>
          </w:tcPr>
          <w:p>
            <w:pPr>
              <w:spacing w:after="0"/>
              <w:rPr>
                <w:sz w:val="20"/>
                <w:szCs w:val="20"/>
                <w:color w:val="auto"/>
              </w:rPr>
            </w:pPr>
          </w:p>
        </w:tc>
        <w:tc>
          <w:tcPr>
            <w:tcW w:w="940" w:type="dxa"/>
            <w:vAlign w:val="bottom"/>
          </w:tcPr>
          <w:p>
            <w:pPr>
              <w:jc w:val="center"/>
              <w:ind w:left="203"/>
              <w:spacing w:after="0"/>
              <w:rPr>
                <w:sz w:val="20"/>
                <w:szCs w:val="20"/>
                <w:color w:val="auto"/>
              </w:rPr>
            </w:pPr>
            <w:r>
              <w:rPr>
                <w:rFonts w:ascii="Times New Roman" w:cs="Times New Roman" w:eastAsia="Times New Roman" w:hAnsi="Times New Roman"/>
                <w:sz w:val="18"/>
                <w:szCs w:val="18"/>
                <w:color w:val="auto"/>
              </w:rPr>
              <w:t>0.6053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0.6179</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Earnings Per Share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and a reconciliation of the weighted average number of common and common equivalent shares outstanding: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share data)</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Reading International, Inc.</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(7,028)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(33,062)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w:t>
            </w:r>
          </w:p>
        </w:tc>
        <w:tc>
          <w:tcPr>
            <w:tcW w:w="20" w:type="dxa"/>
            <w:vAlign w:val="bottom"/>
          </w:tcPr>
          <w:p>
            <w:pPr>
              <w:spacing w:after="0"/>
              <w:rPr>
                <w:sz w:val="19"/>
                <w:szCs w:val="19"/>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 – basic</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22,426,184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22,273,423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22,394,385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22,208,757</w:t>
            </w: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dilutive impact of awards</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776,008</w:t>
            </w:r>
          </w:p>
        </w:tc>
        <w:tc>
          <w:tcPr>
            <w:tcW w:w="2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1,240,292</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871,190</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1,240,292</w:t>
            </w:r>
          </w:p>
        </w:tc>
        <w:tc>
          <w:tcPr>
            <w:tcW w:w="20" w:type="dxa"/>
            <w:vAlign w:val="bottom"/>
          </w:tcPr>
          <w:p>
            <w:pPr>
              <w:spacing w:after="0"/>
              <w:rPr>
                <w:sz w:val="19"/>
                <w:szCs w:val="19"/>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stock – diluted</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23,202,192</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23,513,715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23,265,575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23,449,049</w:t>
            </w:r>
          </w:p>
        </w:tc>
        <w:tc>
          <w:tcPr>
            <w:tcW w:w="20" w:type="dxa"/>
            <w:vAlign w:val="bottom"/>
          </w:tcPr>
          <w:p>
            <w:pPr>
              <w:spacing w:after="0"/>
              <w:rPr>
                <w:sz w:val="18"/>
                <w:szCs w:val="18"/>
                <w:color w:val="auto"/>
              </w:rPr>
            </w:pPr>
          </w:p>
        </w:tc>
      </w:tr>
      <w:tr>
        <w:trPr>
          <w:trHeight w:val="23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0" w:type="dxa"/>
            <w:vAlign w:val="bottom"/>
          </w:tcPr>
          <w:p>
            <w:pPr>
              <w:spacing w:after="0"/>
              <w:rPr>
                <w:sz w:val="20"/>
                <w:szCs w:val="20"/>
                <w:color w:val="auto"/>
              </w:rPr>
            </w:pPr>
          </w:p>
        </w:tc>
      </w:tr>
      <w:tr>
        <w:trPr>
          <w:trHeight w:val="210"/>
        </w:trPr>
        <w:tc>
          <w:tcPr>
            <w:tcW w:w="49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(0.82)</w:t>
            </w:r>
          </w:p>
        </w:tc>
        <w:tc>
          <w:tcPr>
            <w:tcW w:w="20" w:type="dxa"/>
            <w:vAlign w:val="bottom"/>
          </w:tcPr>
          <w:p>
            <w:pPr>
              <w:spacing w:after="0"/>
              <w:rPr>
                <w:sz w:val="18"/>
                <w:szCs w:val="18"/>
                <w:color w:val="auto"/>
              </w:rPr>
            </w:pP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excluded from diluted earnings (loss) per share</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207,657</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205,122</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207,657</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205,122</w:t>
            </w:r>
          </w:p>
        </w:tc>
        <w:tc>
          <w:tcPr>
            <w:tcW w:w="20" w:type="dxa"/>
            <w:vAlign w:val="bottom"/>
          </w:tcPr>
          <w:p>
            <w:pPr>
              <w:spacing w:after="0"/>
              <w:rPr>
                <w:sz w:val="19"/>
                <w:szCs w:val="19"/>
                <w:color w:val="auto"/>
              </w:rPr>
            </w:pP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weighted average number of common stock - basic increased, primarily as a result of the vesting of restricted stock units. We did not repurchase any shares of Class A Common Stock during the first nine months of 2024 or 2023.</w:t>
      </w:r>
    </w:p>
    <w:p>
      <w:pPr>
        <w:spacing w:after="0" w:line="13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207,657 shares issuable under stock options and restricted stock units were excluded from the computation of diluted net income (loss) per share in periods when their effect was anti-dilutive; either because our Company incurred a net loss for the period, or the exercise price of the options was greater than the average market price of the common stock during the period, or the effect was anti-dilutive as a result of applying the treasury stock method.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Property,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associated with our operating activities as at September 30, 2024 and December 31, 2023, is summarized as follows:</w:t>
      </w:r>
    </w:p>
    <w:p>
      <w:pPr>
        <w:spacing w:after="0" w:line="286" w:lineRule="exact"/>
        <w:rPr>
          <w:sz w:val="20"/>
          <w:szCs w:val="20"/>
          <w:color w:val="auto"/>
        </w:rPr>
      </w:pPr>
    </w:p>
    <w:p>
      <w:pPr>
        <w:ind w:left="8580"/>
        <w:spacing w:after="0"/>
        <w:tabs>
          <w:tab w:leader="none" w:pos="101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4"/>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48,826</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61,095</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205,821</w:t>
            </w:r>
          </w:p>
        </w:tc>
      </w:tr>
      <w:tr>
        <w:trPr>
          <w:trHeight w:val="230"/>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53,984</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Fixtures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155,156</w:t>
            </w:r>
          </w:p>
        </w:tc>
      </w:tr>
      <w:tr>
        <w:trPr>
          <w:trHeight w:val="229"/>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10"/>
        </w:trPr>
        <w:tc>
          <w:tcPr>
            <w:tcW w:w="8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cost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480,346</w:t>
            </w:r>
          </w:p>
        </w:tc>
      </w:tr>
      <w:tr>
        <w:trPr>
          <w:trHeight w:val="209"/>
        </w:trPr>
        <w:tc>
          <w:tcPr>
            <w:tcW w:w="8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(217,929)</w:t>
            </w:r>
          </w:p>
        </w:tc>
      </w:tr>
      <w:tr>
        <w:trPr>
          <w:trHeight w:val="203"/>
        </w:trPr>
        <w:tc>
          <w:tcPr>
            <w:tcW w:w="8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Operating property, net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225,065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262,417</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operating property was $3.9 million and $11.9 million for the quarter and nine months ended September 30, 2024, respectively, as compared to $4.5 million and $13.8 million for the quarter and nine months ended September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Development Property,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 and development property as of September 30, 2024 and December 31, 2023, is summarized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 (including capitalized interest)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03"/>
        </w:trPr>
        <w:tc>
          <w:tcPr>
            <w:tcW w:w="8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and development property</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8,789</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Construction-in-Progress – Operating and Investment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Construction-in-Progress balances are included in both our operating and development properties. The balances of our major projects along with the movements for the nine months ended September 30, 2024, are shown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3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during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‎during the</w:t>
            </w: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Transferred to</w:t>
            </w:r>
          </w:p>
        </w:tc>
        <w:tc>
          <w:tcPr>
            <w:tcW w:w="1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3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Held for Sale</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Courtenay Central development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8"/>
              </w:rPr>
              <w:t>6,412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Cinema developments and improvements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left="458"/>
              <w:spacing w:after="0"/>
              <w:rPr>
                <w:sz w:val="20"/>
                <w:szCs w:val="20"/>
                <w:color w:val="auto"/>
              </w:rPr>
            </w:pPr>
            <w:r>
              <w:rPr>
                <w:rFonts w:ascii="Times New Roman" w:cs="Times New Roman" w:eastAsia="Times New Roman" w:hAnsi="Times New Roman"/>
                <w:sz w:val="18"/>
                <w:szCs w:val="18"/>
                <w:color w:val="auto"/>
                <w:w w:val="98"/>
              </w:rPr>
              <w:t>1,658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projects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8"/>
              </w:rPr>
              <w:t>1,153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3"/>
        </w:trPr>
        <w:tc>
          <w:tcPr>
            <w:tcW w:w="35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gridSpan w:val="2"/>
          </w:tcPr>
          <w:p>
            <w:pPr>
              <w:jc w:val="center"/>
              <w:ind w:left="458"/>
              <w:spacing w:after="0" w:line="196" w:lineRule="exact"/>
              <w:rPr>
                <w:sz w:val="20"/>
                <w:szCs w:val="20"/>
                <w:color w:val="auto"/>
              </w:rPr>
            </w:pPr>
            <w:r>
              <w:rPr>
                <w:rFonts w:ascii="Times New Roman" w:cs="Times New Roman" w:eastAsia="Times New Roman" w:hAnsi="Times New Roman"/>
                <w:sz w:val="18"/>
                <w:szCs w:val="18"/>
                <w:b w:val="1"/>
                <w:bCs w:val="1"/>
                <w:color w:val="auto"/>
                <w:w w:val="98"/>
              </w:rPr>
              <w:t>9,223</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(1,087)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(6,571)</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(312)</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1,972</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Real Estate Monetizations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Between the fourth quarter of 2020 and the fourth quarter of 2023, we classified as assets held for sale disposal groups and thereafter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(sold in February 2024).</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second quarter of 2023, we classified our 2483 Trenton Avenue, Williamsport, Pennsylvania, property as held for sale. In the second quarter of 2024, we further classified as held for sale our Cannon Park ETC, our Courtenay Central ETC and associated land and improvements, and our Rotorua land and improvements.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‘disposal group’ represents assets to be disposed of in a single transaction. A disposal group may represent a single asset, or multiple assets. Discussed below are those real estate transactions affecting the presentation in our consolidated balance sheet as of September 30, 2024 and 2023, and the profitability determination in our consolidated statements of income for the nine months ended September 30, 2024, and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Culver City, Los Angeles</w:t>
      </w:r>
    </w:p>
    <w:p>
      <w:pPr>
        <w:spacing w:after="0" w:line="17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 May 2023, we classified our Culver City administrative building, commonly known as 5995 Sepulveda Blvd., as held for sale. Our book value (as opposed to fair value) of the property was $10.8 million, being the lower of cost and fair value less costs to sell. No adjustments to the book value of the</w:t>
      </w:r>
    </w:p>
    <w:p>
      <w:pPr>
        <w:jc w:val="both"/>
        <w:spacing w:after="0" w:line="195" w:lineRule="auto"/>
        <w:rPr>
          <w:sz w:val="20"/>
          <w:szCs w:val="20"/>
          <w:color w:val="auto"/>
        </w:rPr>
      </w:pPr>
      <w:r>
        <w:rPr>
          <w:rFonts w:ascii="Times New Roman" w:cs="Times New Roman" w:eastAsia="Times New Roman" w:hAnsi="Times New Roman"/>
          <w:sz w:val="18"/>
          <w:szCs w:val="18"/>
          <w:color w:val="auto"/>
        </w:rPr>
        <w:t>assets contained within this disposal group were required. The disposal group consisted of land, a building and various leasehold improvements. The sale was completed on February 23, 2024, at a gross sales price of $10.0 million. The proceeds were used to discharge the $8.3 million first mortgage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loss on sale of this property is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2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9"/>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price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gross of direct costs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Direct sale costs incurred</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3"/>
        </w:trPr>
        <w:tc>
          <w:tcPr>
            <w:tcW w:w="8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on sale, net of direct costs</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Disposal Groups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Cannon Park ETC</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May 2024, we classified our Cannon Park ETC in Townsville, Queensland, Australia, as held for sale at the lower of cost and fair value less costs to sell. The disposal group consists of our Cannon Park City Center and Cannon Park Discount Center properties, comprising approximately 9.4-acres. The current book value (as opposed to fair value) of the property is $19.5 million. No adjustments to the book value of the assets contained within this disposal group were required. We expect to complete the sale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Wellington, New Zealand</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June 2024, we classified our Courtenay Central ETC in Wellington, New Zealand, as held for sale at the lower of cost and fair value less costs to sell. The disposal group consists of our Courtenay Central cinema and retail property, along with our Tory and Wakefield Street car parks. The current book value (as opposed to fair value) of the property is $16.5 million. No adjustments to the book value of the assets contained within this disposal group were required. We expect to complete the sale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Reading Cinema in Rotorua, New Zealand</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June 2024, we classified the land and improvements constituting our Rotorua cinema in Rotorua, New Zealand, as held for sale at the lower of cost and fair value less costs to sell. The disposal group consists of our land, cinema building and the associated improvements. The current book value (as opposed to fair value) of the property is $1.5 million. No adjustments to the book value of the assets contained within this disposal group were required. We expect to complete the sale within 12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2483 Trenton Avenue, Williamsport, Pennsylvania</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2023, we classified our industrial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 square foot industrial building, and certain rail bed improvements. No adjustments to the book value of the assets contained within this disposal group were required. We continue to hold this property as held for sale, and sales efforts continue as we work to resolve certain easement issues. The property continues to meet the ASC 360 held for sale criteria.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operating leases for certain cinemas, and finance leases for certain equipment assets. Our leases have remaining lease terms of 1 to 25 years, with certain leases having options to extend up to a further 20 years. Lease payments for our cinema operating leases consist of fixed base rent, and for certain leases, variable lease payments consisting of contracted percentages of revenue, changes in the relevant CPI, and/or other contracted financial metrics.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46" w:lineRule="exact"/>
        <w:rPr>
          <w:sz w:val="20"/>
          <w:szCs w:val="20"/>
          <w:color w:val="auto"/>
        </w:rPr>
      </w:pPr>
    </w:p>
    <w:p>
      <w:pPr>
        <w:ind w:left="6320"/>
        <w:spacing w:after="0"/>
        <w:tabs>
          <w:tab w:leader="none" w:pos="9180" w:val="left"/>
        </w:tabs>
        <w:rPr>
          <w:sz w:val="20"/>
          <w:szCs w:val="20"/>
          <w:color w:val="auto"/>
        </w:rPr>
      </w:pPr>
      <w:r>
        <w:rPr>
          <w:rFonts w:ascii="Times New Roman" w:cs="Times New Roman" w:eastAsia="Times New Roman" w:hAnsi="Times New Roman"/>
          <w:sz w:val="14"/>
          <w:szCs w:val="14"/>
          <w:b w:val="1"/>
          <w:bCs w:val="1"/>
          <w:color w:val="auto"/>
        </w:rPr>
        <w:t>Quarter Ended</w:t>
      </w:r>
      <w:r>
        <w:rPr>
          <w:sz w:val="20"/>
          <w:szCs w:val="20"/>
          <w:color w:val="auto"/>
        </w:rPr>
        <w:tab/>
      </w:r>
      <w:r>
        <w:rPr>
          <w:rFonts w:ascii="Times New Roman" w:cs="Times New Roman" w:eastAsia="Times New Roman" w:hAnsi="Times New Roman"/>
          <w:sz w:val="14"/>
          <w:szCs w:val="14"/>
          <w:b w:val="1"/>
          <w:bCs w:val="1"/>
          <w:color w:val="auto"/>
        </w:rPr>
        <w:t>Nine Months Ended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w:t>
            </w:r>
          </w:p>
        </w:tc>
      </w:tr>
      <w:tr>
        <w:trPr>
          <w:trHeight w:val="230"/>
        </w:trPr>
        <w:tc>
          <w:tcPr>
            <w:tcW w:w="5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53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8,330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26,152</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25,688</w:t>
            </w:r>
          </w:p>
        </w:tc>
      </w:tr>
      <w:tr>
        <w:trPr>
          <w:trHeight w:val="37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6"/>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9"/>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4"/>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relating to lease cost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r>
      <w:tr>
        <w:trPr>
          <w:trHeight w:val="230"/>
        </w:trPr>
        <w:tc>
          <w:tcPr>
            <w:tcW w:w="55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Right-of-use assets obtained in exchange for new operating lease liabilities</w:t>
            </w: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40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739"/>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170,549</w:t>
            </w:r>
          </w:p>
        </w:tc>
        <w:tc>
          <w:tcPr>
            <w:tcW w:w="580" w:type="dxa"/>
            <w:vAlign w:val="bottom"/>
            <w:gridSpan w:val="3"/>
          </w:tcPr>
          <w:p>
            <w:pPr>
              <w:jc w:val="right"/>
              <w:ind w:right="13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181,542</w:t>
            </w:r>
          </w:p>
        </w:tc>
      </w:tr>
      <w:tr>
        <w:trPr>
          <w:trHeight w:val="182"/>
        </w:trPr>
        <w:tc>
          <w:tcPr>
            <w:tcW w:w="5300" w:type="dxa"/>
            <w:vAlign w:val="bottom"/>
            <w:tcBorders>
              <w:top w:val="single" w:sz="8" w:color="CCEEFF"/>
            </w:tcBorders>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22,182</w:t>
            </w: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23,047</w:t>
            </w:r>
          </w:p>
        </w:tc>
      </w:tr>
      <w:tr>
        <w:trPr>
          <w:trHeight w:val="189"/>
        </w:trPr>
        <w:tc>
          <w:tcPr>
            <w:tcW w:w="53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170,127</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180,898</w:t>
            </w:r>
          </w:p>
        </w:tc>
      </w:tr>
      <w:tr>
        <w:trPr>
          <w:trHeight w:val="203"/>
        </w:trPr>
        <w:tc>
          <w:tcPr>
            <w:tcW w:w="5300" w:type="dxa"/>
            <w:vAlign w:val="bottom"/>
            <w:tcBorders>
              <w:bottom w:val="single" w:sz="8" w:color="CCEEFF"/>
            </w:tcBorders>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9"/>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192,309</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203,945</w:t>
            </w:r>
          </w:p>
        </w:tc>
      </w:tr>
      <w:tr>
        <w:trPr>
          <w:trHeight w:val="176"/>
        </w:trPr>
        <w:tc>
          <w:tcPr>
            <w:tcW w:w="5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Property plant and equipment, gross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w:t>
            </w: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48"/>
              <w:spacing w:after="0" w:line="189" w:lineRule="exact"/>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r>
      <w:tr>
        <w:trPr>
          <w:trHeight w:val="203"/>
        </w:trPr>
        <w:tc>
          <w:tcPr>
            <w:tcW w:w="5300" w:type="dxa"/>
            <w:vAlign w:val="bottom"/>
            <w:tcBorders>
              <w:top w:val="single" w:sz="8" w:color="CCEEFF"/>
              <w:bottom w:val="single" w:sz="8" w:color="CCEEFF"/>
            </w:tcBorders>
            <w:gridSpan w:val="2"/>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39"/>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55</w:t>
            </w:r>
          </w:p>
        </w:tc>
      </w:tr>
      <w:tr>
        <w:trPr>
          <w:trHeight w:val="176"/>
        </w:trPr>
        <w:tc>
          <w:tcPr>
            <w:tcW w:w="530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90"/>
        </w:trPr>
        <w:tc>
          <w:tcPr>
            <w:tcW w:w="5300" w:type="dxa"/>
            <w:vAlign w:val="bottom"/>
            <w:tcBorders>
              <w:bottom w:val="single" w:sz="8" w:color="CCEEFF"/>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39"/>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54</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83</w:t>
            </w:r>
          </w:p>
        </w:tc>
      </w:tr>
      <w:tr>
        <w:trPr>
          <w:trHeight w:val="189"/>
        </w:trPr>
        <w:tc>
          <w:tcPr>
            <w:tcW w:w="5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7.07%</w:t>
            </w:r>
          </w:p>
        </w:tc>
      </w:tr>
      <w:tr>
        <w:trPr>
          <w:trHeight w:val="234"/>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549"/>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maturities of our leases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4"/>
                <w:szCs w:val="14"/>
                <w:color w:val="auto"/>
              </w:rPr>
            </w:pP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80"/>
        </w:trPr>
        <w:tc>
          <w:tcPr>
            <w:tcW w:w="7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5"/>
                <w:szCs w:val="15"/>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70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30,862</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29,623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ind w:left="12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27,239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ind w:left="1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23,460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ind w:left="1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21,834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ind w:left="1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113,572</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1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246,590</w:t>
            </w:r>
          </w:p>
        </w:tc>
        <w:tc>
          <w:tcPr>
            <w:tcW w:w="2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ind w:left="1220"/>
              <w:spacing w:after="0" w:line="182" w:lineRule="exact"/>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(54,281)</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1260"/>
              <w:spacing w:after="0" w:line="182" w:lineRule="exact"/>
              <w:rPr>
                <w:sz w:val="20"/>
                <w:szCs w:val="20"/>
                <w:color w:val="auto"/>
              </w:rPr>
            </w:pPr>
            <w:r>
              <w:rPr>
                <w:rFonts w:ascii="Times New Roman" w:cs="Times New Roman" w:eastAsia="Times New Roman" w:hAnsi="Times New Roman"/>
                <w:sz w:val="18"/>
                <w:szCs w:val="18"/>
                <w:color w:val="auto"/>
                <w:w w:val="85"/>
              </w:rPr>
              <w:t>(1)</w:t>
            </w: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192,309</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ind w:left="1220"/>
              <w:spacing w:after="0" w:line="182" w:lineRule="exact"/>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Lessor</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entered into various leases as a lessor for our owned real estate properties. These leases vary in length between 1 and 20 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relating to operating lease payments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15"/>
                <w:szCs w:val="15"/>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2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Components of lease income</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189"/>
        </w:trPr>
        <w:tc>
          <w:tcPr>
            <w:tcW w:w="5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 payments</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2,834</w:t>
            </w:r>
          </w:p>
        </w:tc>
        <w:tc>
          <w:tcPr>
            <w:tcW w:w="480" w:type="dxa"/>
            <w:vAlign w:val="bottom"/>
            <w:gridSpan w:val="2"/>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8,186</w:t>
            </w:r>
          </w:p>
        </w:tc>
        <w:tc>
          <w:tcPr>
            <w:tcW w:w="160" w:type="dxa"/>
            <w:vAlign w:val="bottom"/>
          </w:tcPr>
          <w:p>
            <w:pPr>
              <w:spacing w:after="0"/>
              <w:rPr>
                <w:sz w:val="16"/>
                <w:szCs w:val="16"/>
                <w:color w:val="auto"/>
              </w:rPr>
            </w:pPr>
          </w:p>
        </w:tc>
        <w:tc>
          <w:tcPr>
            <w:tcW w:w="440" w:type="dxa"/>
            <w:vAlign w:val="bottom"/>
            <w:gridSpan w:val="2"/>
          </w:tcPr>
          <w:p>
            <w:pPr>
              <w:jc w:val="right"/>
              <w:ind w:right="30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8,271</w:t>
            </w:r>
          </w:p>
        </w:tc>
      </w:tr>
      <w:tr>
        <w:trPr>
          <w:trHeight w:val="189"/>
        </w:trPr>
        <w:tc>
          <w:tcPr>
            <w:tcW w:w="5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Variable lease payments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618</w:t>
            </w:r>
          </w:p>
        </w:tc>
      </w:tr>
      <w:tr>
        <w:trPr>
          <w:trHeight w:val="190"/>
        </w:trPr>
        <w:tc>
          <w:tcPr>
            <w:tcW w:w="5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income</w:t>
            </w: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2,959</w:t>
            </w:r>
          </w:p>
        </w:tc>
        <w:tc>
          <w:tcPr>
            <w:tcW w:w="160" w:type="dxa"/>
            <w:vAlign w:val="bottom"/>
          </w:tcPr>
          <w:p>
            <w:pPr>
              <w:spacing w:after="0"/>
              <w:rPr>
                <w:sz w:val="16"/>
                <w:szCs w:val="16"/>
                <w:color w:val="auto"/>
              </w:rPr>
            </w:pPr>
          </w:p>
        </w:tc>
        <w:tc>
          <w:tcPr>
            <w:tcW w:w="460" w:type="dxa"/>
            <w:vAlign w:val="bottom"/>
            <w:tcBorders>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3,122</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8,786</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8,889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book value of underlying assets under operating leases from owned assets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Building and improvements</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Gross balance</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117,675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4"/>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127,222</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(22,442)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(23,270)</w:t>
            </w:r>
          </w:p>
        </w:tc>
        <w:tc>
          <w:tcPr>
            <w:tcW w:w="0" w:type="dxa"/>
            <w:vAlign w:val="bottom"/>
          </w:tcPr>
          <w:p>
            <w:pPr>
              <w:spacing w:after="0"/>
              <w:rPr>
                <w:sz w:val="1"/>
                <w:szCs w:val="1"/>
                <w:color w:val="auto"/>
              </w:rPr>
            </w:pPr>
          </w:p>
        </w:tc>
      </w:tr>
      <w:tr>
        <w:trPr>
          <w:trHeight w:val="190"/>
        </w:trPr>
        <w:tc>
          <w:tcPr>
            <w:tcW w:w="55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95,233</w:t>
            </w: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103,952</w:t>
            </w:r>
          </w:p>
        </w:tc>
        <w:tc>
          <w:tcPr>
            <w:tcW w:w="0" w:type="dxa"/>
            <w:vAlign w:val="bottom"/>
          </w:tcPr>
          <w:p>
            <w:pPr>
              <w:spacing w:after="0"/>
              <w:rPr>
                <w:sz w:val="1"/>
                <w:szCs w:val="1"/>
                <w:color w:val="auto"/>
              </w:rPr>
            </w:pPr>
          </w:p>
        </w:tc>
      </w:tr>
      <w:tr>
        <w:trPr>
          <w:trHeight w:val="39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The minimum contractual rent payments due on our leases were as follows: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0"/>
        </w:trPr>
        <w:tc>
          <w:tcPr>
            <w:tcW w:w="550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6,517</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52,871</w:t>
            </w:r>
          </w:p>
        </w:tc>
        <w:tc>
          <w:tcPr>
            <w:tcW w:w="0" w:type="dxa"/>
            <w:vAlign w:val="bottom"/>
          </w:tcPr>
          <w:p>
            <w:pPr>
              <w:spacing w:after="0"/>
              <w:rPr>
                <w:sz w:val="1"/>
                <w:szCs w:val="1"/>
                <w:color w:val="auto"/>
              </w:rPr>
            </w:pPr>
          </w:p>
        </w:tc>
      </w:tr>
      <w:tr>
        <w:trPr>
          <w:trHeight w:val="392"/>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table below summarizes goodwill by business segment as of September 30, 2024, and December 31, 2023.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Cinema</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rPr>
              <w:t>20,311</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5,224</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3"/>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25,535</w:t>
            </w: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ind w:left="560"/>
              <w:spacing w:after="0" w:line="182" w:lineRule="exact"/>
              <w:rPr>
                <w:sz w:val="20"/>
                <w:szCs w:val="20"/>
                <w:color w:val="auto"/>
              </w:rPr>
            </w:pPr>
            <w:r>
              <w:rPr>
                <w:rFonts w:ascii="Times New Roman" w:cs="Times New Roman" w:eastAsia="Times New Roman" w:hAnsi="Times New Roman"/>
                <w:sz w:val="18"/>
                <w:szCs w:val="18"/>
                <w:b w:val="1"/>
                <w:bCs w:val="1"/>
                <w:color w:val="auto"/>
              </w:rPr>
              <w:t>20,491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5,224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3"/>
            <w:shd w:val="clear" w:color="auto" w:fill="CCEEFF"/>
          </w:tcPr>
          <w:p>
            <w:pPr>
              <w:jc w:val="right"/>
              <w:ind w:right="3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25,715</w:t>
            </w:r>
          </w:p>
        </w:tc>
        <w:tc>
          <w:tcPr>
            <w:tcW w:w="0" w:type="dxa"/>
            <w:vAlign w:val="bottom"/>
          </w:tcPr>
          <w:p>
            <w:pPr>
              <w:spacing w:after="0"/>
              <w:rPr>
                <w:sz w:val="1"/>
                <w:szCs w:val="1"/>
                <w:color w:val="auto"/>
              </w:rPr>
            </w:pPr>
          </w:p>
        </w:tc>
      </w:tr>
      <w:tr>
        <w:trPr>
          <w:trHeight w:val="581"/>
        </w:trPr>
        <w:tc>
          <w:tcPr>
            <w:tcW w:w="5500" w:type="dxa"/>
            <w:vAlign w:val="bottom"/>
          </w:tcPr>
          <w:p>
            <w:pPr>
              <w:spacing w:after="0"/>
              <w:rPr>
                <w:sz w:val="24"/>
                <w:szCs w:val="24"/>
                <w:color w:val="auto"/>
              </w:rPr>
            </w:pPr>
          </w:p>
        </w:tc>
        <w:tc>
          <w:tcPr>
            <w:tcW w:w="11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2024. To test the impairment of goodwill, our Company compares the fair value of each reporting unit to its carrying amount, including the goodwill, to determine if there is potential goodwill impairment. A reporting unit is generally one level below the operating segment. As of September 30, 2024, we were not aware that any events indicating potential impairment of goodwill had occurred outside of those described at </w:t>
      </w:r>
      <w:r>
        <w:rPr>
          <w:rFonts w:ascii="Times New Roman" w:cs="Times New Roman" w:eastAsia="Times New Roman" w:hAnsi="Times New Roman"/>
          <w:sz w:val="18"/>
          <w:szCs w:val="18"/>
          <w:i w:val="1"/>
          <w:iCs w:val="1"/>
          <w:color w:val="auto"/>
        </w:rPr>
        <w:t>Note 4 – Liquidity and Impairment Assessment</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intangible assets other than goodwill, as of September 30, 2024, and December 31, 2023,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4"/>
                <w:szCs w:val="14"/>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3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10,458</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4,410</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23,892</w:t>
            </w:r>
          </w:p>
        </w:tc>
        <w:tc>
          <w:tcPr>
            <w:tcW w:w="0" w:type="dxa"/>
            <w:vAlign w:val="bottom"/>
          </w:tcPr>
          <w:p>
            <w:pPr>
              <w:spacing w:after="0"/>
              <w:rPr>
                <w:sz w:val="1"/>
                <w:szCs w:val="1"/>
                <w:color w:val="auto"/>
              </w:rPr>
            </w:pP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(10,288)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(8,067)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(3,696)</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(22,051)</w:t>
            </w:r>
          </w:p>
        </w:tc>
        <w:tc>
          <w:tcPr>
            <w:tcW w:w="0" w:type="dxa"/>
            <w:vAlign w:val="bottom"/>
          </w:tcPr>
          <w:p>
            <w:pPr>
              <w:spacing w:after="0"/>
              <w:rPr>
                <w:sz w:val="1"/>
                <w:szCs w:val="1"/>
                <w:color w:val="auto"/>
              </w:rPr>
            </w:pPr>
          </w:p>
        </w:tc>
      </w:tr>
      <w:tr>
        <w:trPr>
          <w:trHeight w:val="189"/>
        </w:trPr>
        <w:tc>
          <w:tcPr>
            <w:tcW w:w="530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240" w:type="dxa"/>
            <w:vAlign w:val="bottom"/>
            <w:tcBorders>
              <w:top w:val="single" w:sz="8" w:color="auto"/>
              <w:bottom w:val="single" w:sz="8" w:color="auto"/>
            </w:tcBorders>
            <w:gridSpan w:val="2"/>
            <w:shd w:val="clear" w:color="auto" w:fill="CCEEFF"/>
          </w:tcPr>
          <w:p>
            <w:pPr>
              <w:jc w:val="right"/>
              <w:ind w:right="5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714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1,841</w:t>
            </w:r>
          </w:p>
        </w:tc>
        <w:tc>
          <w:tcPr>
            <w:tcW w:w="0" w:type="dxa"/>
            <w:vAlign w:val="bottom"/>
          </w:tcPr>
          <w:p>
            <w:pPr>
              <w:spacing w:after="0"/>
              <w:rPr>
                <w:sz w:val="1"/>
                <w:szCs w:val="1"/>
                <w:color w:val="auto"/>
              </w:rPr>
            </w:pPr>
          </w:p>
        </w:tc>
      </w:tr>
      <w:tr>
        <w:trPr>
          <w:trHeight w:val="601"/>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3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6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carrying amount</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11,283</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9,024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4,400</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189"/>
        </w:trPr>
        <w:tc>
          <w:tcPr>
            <w:tcW w:w="5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(11,089)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(22,661)</w:t>
            </w:r>
          </w:p>
        </w:tc>
        <w:tc>
          <w:tcPr>
            <w:tcW w:w="0" w:type="dxa"/>
            <w:vAlign w:val="bottom"/>
          </w:tcPr>
          <w:p>
            <w:pPr>
              <w:spacing w:after="0"/>
              <w:rPr>
                <w:sz w:val="1"/>
                <w:szCs w:val="1"/>
                <w:color w:val="auto"/>
              </w:rPr>
            </w:pPr>
          </w:p>
        </w:tc>
      </w:tr>
      <w:tr>
        <w:trPr>
          <w:trHeight w:val="189"/>
        </w:trPr>
        <w:tc>
          <w:tcPr>
            <w:tcW w:w="5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0"/>
        </w:trPr>
        <w:tc>
          <w:tcPr>
            <w:tcW w:w="5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intangible assets other than goodwill</w:t>
            </w: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194</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781</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2,038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Beneficial leases obtained in business combinations where we are the landlord are amortized over the life of the relevant leases. Trade names are amortized based on the accelerated amortization method over their estimated useful life of 30 years, and other intangible assets are amortized over their estimated useful lives of up to 30 years (except for transferrable liquor licenses, which are indefinite-lived assets). The table below summarizes the amortization expense of intangible assets for the quarter and nine months ended September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Beneficial lease amortization</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6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amortization</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0"/>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intangible assets amortization</w:t>
            </w:r>
          </w:p>
        </w:tc>
        <w:tc>
          <w:tcPr>
            <w:tcW w:w="900" w:type="dxa"/>
            <w:vAlign w:val="bottom"/>
            <w:tcBorders>
              <w:bottom w:val="single" w:sz="8" w:color="auto"/>
            </w:tcBorders>
            <w:shd w:val="clear" w:color="auto" w:fill="CCEEFF"/>
          </w:tcPr>
          <w:p>
            <w:pPr>
              <w:jc w:val="right"/>
              <w:ind w:right="71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81</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6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150</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207</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 in Unconsolidated Joint Ventures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unconsolidated joint ventures are accounted for under the equity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active investment holdings in two (2) unconsolidated joint ventures as of September 30, 2024, and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3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727</w:t>
            </w:r>
          </w:p>
        </w:tc>
        <w:tc>
          <w:tcPr>
            <w:tcW w:w="360" w:type="dxa"/>
            <w:vAlign w:val="bottom"/>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848</w:t>
            </w:r>
          </w:p>
        </w:tc>
      </w:tr>
      <w:tr>
        <w:trPr>
          <w:trHeight w:val="189"/>
        </w:trPr>
        <w:tc>
          <w:tcPr>
            <w:tcW w:w="34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4700" w:type="dxa"/>
            <w:vAlign w:val="bottom"/>
            <w:tcBorders>
              <w:bottom w:val="single" w:sz="8" w:color="CCEEFF"/>
            </w:tcBorders>
            <w:gridSpan w:val="3"/>
          </w:tcPr>
          <w:p>
            <w:pPr>
              <w:ind w:left="3820"/>
              <w:spacing w:after="0" w:line="189" w:lineRule="exact"/>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3,567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3,908</w:t>
            </w:r>
          </w:p>
        </w:tc>
      </w:tr>
      <w:tr>
        <w:trPr>
          <w:trHeight w:val="203"/>
        </w:trPr>
        <w:tc>
          <w:tcPr>
            <w:tcW w:w="34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investments</w:t>
            </w:r>
          </w:p>
        </w:tc>
        <w:tc>
          <w:tcPr>
            <w:tcW w:w="3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4,294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4,756</w:t>
            </w:r>
          </w:p>
        </w:tc>
      </w:tr>
      <w:tr>
        <w:trPr>
          <w:trHeight w:val="581"/>
        </w:trPr>
        <w:tc>
          <w:tcPr>
            <w:tcW w:w="3440" w:type="dxa"/>
            <w:vAlign w:val="bottom"/>
          </w:tcPr>
          <w:p>
            <w:pPr>
              <w:spacing w:after="0"/>
              <w:rPr>
                <w:sz w:val="24"/>
                <w:szCs w:val="24"/>
                <w:color w:val="auto"/>
              </w:rPr>
            </w:pPr>
          </w:p>
        </w:tc>
        <w:tc>
          <w:tcPr>
            <w:tcW w:w="3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34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ind w:right="60"/>
        <w:spacing w:after="0" w:line="266" w:lineRule="auto"/>
        <w:rPr>
          <w:sz w:val="20"/>
          <w:szCs w:val="20"/>
          <w:color w:val="auto"/>
        </w:rPr>
      </w:pPr>
      <w:r>
        <w:rPr>
          <w:rFonts w:ascii="Times New Roman" w:cs="Times New Roman" w:eastAsia="Times New Roman" w:hAnsi="Times New Roman"/>
          <w:sz w:val="18"/>
          <w:szCs w:val="18"/>
          <w:color w:val="auto"/>
        </w:rPr>
        <w:t>For the quarter and nine months ended September 30, 2024 and 2023, the recognized share of equity earnings from our investments in unconsolidated joint ventures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Rialto Cinemas</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6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Mt. Gravatt</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equity earnings</w:t>
            </w:r>
          </w:p>
        </w:tc>
        <w:tc>
          <w:tcPr>
            <w:tcW w:w="900" w:type="dxa"/>
            <w:vAlign w:val="bottom"/>
            <w:tcBorders>
              <w:bottom w:val="single" w:sz="8" w:color="auto"/>
            </w:tcBorders>
            <w:shd w:val="clear" w:color="auto" w:fill="CCEEFF"/>
          </w:tcPr>
          <w:p>
            <w:pPr>
              <w:jc w:val="right"/>
              <w:ind w:right="71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71</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bottom w:val="single" w:sz="8" w:color="auto"/>
            </w:tcBorders>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217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164</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r>
        <w:trPr>
          <w:trHeight w:val="37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Prepaid and Other Assets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assets are summarized as follows: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taxes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Deposits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Investments in marketable securities</w:t>
            </w: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2,528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2,881</w:t>
            </w:r>
          </w:p>
        </w:tc>
        <w:tc>
          <w:tcPr>
            <w:tcW w:w="0" w:type="dxa"/>
            <w:vAlign w:val="bottom"/>
          </w:tcPr>
          <w:p>
            <w:pPr>
              <w:spacing w:after="0"/>
              <w:rPr>
                <w:sz w:val="1"/>
                <w:szCs w:val="1"/>
                <w:color w:val="auto"/>
              </w:rPr>
            </w:pPr>
          </w:p>
        </w:tc>
      </w:tr>
      <w:tr>
        <w:trPr>
          <w:trHeight w:val="176"/>
        </w:trPr>
        <w:tc>
          <w:tcPr>
            <w:tcW w:w="5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non-cinema and non-rental real estate assets</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189"/>
        </w:trPr>
        <w:tc>
          <w:tcPr>
            <w:tcW w:w="53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Investment in Reading International Trust I</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Straight-line rent asset</w:t>
            </w: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7,415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Long-term deposits</w:t>
            </w: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8,938</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8,965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interim provision for income taxes is different from the amount determined by applying the U.S. federal statutory rate to consolidated income or loss before taxes. The differences are attributable to foreign tax rate differential, unrecognized tax benefits, and change in valuation allowance. Our effective tax rate was (1.0%) and (1.7%) for the nine months ended September 30, 2024 and 2023, respectively. The difference is primarily due to an increase in valuation allowance and unrecognized tax benefits in 2024. The forecasted effective tax rate is updated each quarter as new information becomes available.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Borrowings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Company’s borrowings at September 30, 2024 and December 31, 2023, net of deferred financing costs and including the impact of interest rate derivatives on effective interest rates,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4"/>
                <w:szCs w:val="14"/>
                <w:b w:val="1"/>
                <w:bCs w:val="1"/>
                <w:color w:val="auto"/>
              </w:rPr>
              <w:t>Stated</w:t>
            </w: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20" w:type="dxa"/>
            <w:vAlign w:val="bottom"/>
          </w:tcPr>
          <w:p>
            <w:pPr>
              <w:jc w:val="right"/>
              <w:ind w:right="229"/>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2"/>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27,339</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9.52%</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18,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16,195</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03"/>
        </w:trPr>
        <w:tc>
          <w:tcPr>
            <w:tcW w:w="40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Cinemas 1, 2, 3 Term Loan (US) </w:t>
            </w:r>
            <w:r>
              <w:rPr>
                <w:rFonts w:ascii="Times New Roman" w:cs="Times New Roman" w:eastAsia="Times New Roman" w:hAnsi="Times New Roman"/>
                <w:sz w:val="23"/>
                <w:szCs w:val="23"/>
                <w:color w:val="auto"/>
                <w:vertAlign w:val="superscript"/>
              </w:rPr>
              <w:t>(2)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8.75%</w:t>
            </w: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7.00%</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Union Square Financing (US)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6,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Denominated in foreign currency ("FC") </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NAB Corporate Term Loan (AU)</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31,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69,195</w:t>
            </w:r>
          </w:p>
        </w:tc>
        <w:tc>
          <w:tcPr>
            <w:tcW w:w="1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6.10%</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62"/>
        </w:trPr>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NAB Bridge Facility (AU)</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1220" w:type="dxa"/>
            <w:vAlign w:val="bottom"/>
            <w:gridSpan w:val="3"/>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6.12%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62"/>
        </w:trPr>
        <w:tc>
          <w:tcPr>
            <w:tcW w:w="4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w:t>
            </w:r>
          </w:p>
        </w:tc>
        <w:tc>
          <w:tcPr>
            <w:tcW w:w="1220" w:type="dxa"/>
            <w:vAlign w:val="bottom"/>
            <w:tcBorders>
              <w:bottom w:val="single" w:sz="8" w:color="CCEEFF"/>
            </w:tcBorders>
            <w:gridSpan w:val="3"/>
          </w:tcPr>
          <w:p>
            <w:pPr>
              <w:jc w:val="center"/>
              <w:ind w:left="28"/>
              <w:spacing w:after="0"/>
              <w:rPr>
                <w:sz w:val="20"/>
                <w:szCs w:val="20"/>
                <w:color w:val="auto"/>
              </w:rPr>
            </w:pPr>
            <w:r>
              <w:rPr>
                <w:rFonts w:ascii="Times New Roman" w:cs="Times New Roman" w:eastAsia="Times New Roman" w:hAnsi="Times New Roman"/>
                <w:sz w:val="14"/>
                <w:szCs w:val="14"/>
                <w:color w:val="auto"/>
                <w:w w:val="99"/>
              </w:rPr>
              <w:t>7.95%</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63"/>
        </w:trPr>
        <w:tc>
          <w:tcPr>
            <w:tcW w:w="3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222,876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215,017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214,033</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$1.0 million.</w:t>
      </w:r>
    </w:p>
    <w:p>
      <w:pPr>
        <w:spacing w:after="0" w:line="17"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financing facility was extended after September 30, 2024.</w:t>
      </w:r>
    </w:p>
    <w:p>
      <w:pPr>
        <w:ind w:left="660" w:right="380" w:hanging="328"/>
        <w:spacing w:after="0" w:line="258"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September 30,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tcPr>
          <w:p>
            <w:pPr>
              <w:spacing w:after="0"/>
              <w:rPr>
                <w:sz w:val="10"/>
                <w:szCs w:val="10"/>
                <w:color w:val="auto"/>
              </w:rPr>
            </w:pPr>
          </w:p>
        </w:tc>
        <w:tc>
          <w:tcPr>
            <w:tcW w:w="136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Stated</w:t>
            </w: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6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88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3"/>
                <w:szCs w:val="13"/>
                <w:b w:val="1"/>
                <w:bCs w:val="1"/>
                <w:color w:val="auto"/>
              </w:rPr>
              <w:t>‎Net</w:t>
            </w:r>
            <w:r>
              <w:rPr>
                <w:rFonts w:ascii="Times New Roman" w:cs="Times New Roman" w:eastAsia="Times New Roman" w:hAnsi="Times New Roman"/>
                <w:sz w:val="21"/>
                <w:szCs w:val="21"/>
                <w:b w:val="1"/>
                <w:bCs w:val="1"/>
                <w:color w:val="auto"/>
                <w:vertAlign w:val="superscript"/>
              </w:rPr>
              <w:t>(1)</w:t>
            </w:r>
          </w:p>
        </w:tc>
        <w:tc>
          <w:tcPr>
            <w:tcW w:w="6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2"/>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USD</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Trust Preferred Securities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30, 2027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c>
          <w:tcPr>
            <w:tcW w:w="8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27,172</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9.65%</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of America Credit Facility (US)(3)</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September 4, 2024</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20,200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20,080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Cinemas 1, 2, 3 Term Loan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21,008</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8.84%</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Minetta &amp; Orpheum Theatres Loan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1,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8,000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26"/>
        </w:trPr>
        <w:tc>
          <w:tcPr>
            <w:tcW w:w="4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U.S. Corporate Office Term Loan (US)</w:t>
            </w: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2027</w:t>
            </w: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8,401</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8,356</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4.64% / 4.44%</w:t>
            </w:r>
          </w:p>
        </w:tc>
        <w:tc>
          <w:tcPr>
            <w:tcW w:w="8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4.64% /</w:t>
            </w:r>
          </w:p>
        </w:tc>
        <w:tc>
          <w:tcPr>
            <w:tcW w:w="0" w:type="dxa"/>
            <w:vAlign w:val="bottom"/>
          </w:tcPr>
          <w:p>
            <w:pPr>
              <w:spacing w:after="0"/>
              <w:rPr>
                <w:sz w:val="1"/>
                <w:szCs w:val="1"/>
                <w:color w:val="auto"/>
              </w:rPr>
            </w:pPr>
          </w:p>
        </w:tc>
      </w:tr>
      <w:tr>
        <w:trPr>
          <w:trHeight w:val="185"/>
        </w:trPr>
        <w:tc>
          <w:tcPr>
            <w:tcW w:w="41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Union Square Financing (US)</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6, 2024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46,925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 Money Promissory Note (US)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September 18, 2024</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Denominated in foreign currency ("FC")(2)</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NAB Corporate Term Loan (AU)</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July 31, 2025</w:t>
            </w:r>
          </w:p>
        </w:tc>
        <w:tc>
          <w:tcPr>
            <w:tcW w:w="10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68,276</w:t>
            </w: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68,173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6.11%</w:t>
            </w:r>
          </w:p>
        </w:tc>
        <w:tc>
          <w:tcPr>
            <w:tcW w:w="0" w:type="dxa"/>
            <w:vAlign w:val="bottom"/>
          </w:tcPr>
          <w:p>
            <w:pPr>
              <w:spacing w:after="0"/>
              <w:rPr>
                <w:sz w:val="1"/>
                <w:szCs w:val="1"/>
                <w:color w:val="auto"/>
              </w:rPr>
            </w:pPr>
          </w:p>
        </w:tc>
      </w:tr>
      <w:tr>
        <w:trPr>
          <w:trHeight w:val="162"/>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Westpac Bank Corporate (NZ)</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1, 2025</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8,775</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8,775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63"/>
        </w:trPr>
        <w:tc>
          <w:tcPr>
            <w:tcW w:w="4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218,159</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210,300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208,847</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amounting to $1.5 million.</w:t>
      </w:r>
    </w:p>
    <w:p>
      <w:pPr>
        <w:spacing w:after="0" w:line="17" w:lineRule="exact"/>
        <w:rPr>
          <w:rFonts w:ascii="Times New Roman" w:cs="Times New Roman" w:eastAsia="Times New Roman" w:hAnsi="Times New Roman"/>
          <w:sz w:val="14"/>
          <w:szCs w:val="14"/>
          <w:color w:val="auto"/>
        </w:rPr>
      </w:pPr>
    </w:p>
    <w:p>
      <w:pPr>
        <w:ind w:left="660" w:right="380" w:hanging="328"/>
        <w:spacing w:after="0" w:line="231"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facilities and outstanding balances of the foreign currency denominated borrowings were translated into U.S. dollars based on the applicable exchange rates as of December 31, 2023.</w:t>
      </w: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financing facility was extended after December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loan arrangements are presented, net of the deferred financing costs, on the face of our consolidated balance sheet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Caption (Dollars in thousands)</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Debt - current portion</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52,624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34,484</w:t>
            </w:r>
          </w:p>
        </w:tc>
      </w:tr>
      <w:tr>
        <w:trPr>
          <w:trHeight w:val="189"/>
        </w:trPr>
        <w:tc>
          <w:tcPr>
            <w:tcW w:w="8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Debt - long-term portion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134,070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146,605</w:t>
            </w:r>
          </w:p>
        </w:tc>
      </w:tr>
      <w:tr>
        <w:trPr>
          <w:trHeight w:val="189"/>
        </w:trPr>
        <w:tc>
          <w:tcPr>
            <w:tcW w:w="8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current portion</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586</w:t>
            </w:r>
          </w:p>
        </w:tc>
      </w:tr>
      <w:tr>
        <w:trPr>
          <w:trHeight w:val="189"/>
        </w:trPr>
        <w:tc>
          <w:tcPr>
            <w:tcW w:w="81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Subordinated debt - long-term portion</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27,339</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27,172</w:t>
            </w:r>
          </w:p>
        </w:tc>
      </w:tr>
      <w:tr>
        <w:trPr>
          <w:trHeight w:val="189"/>
        </w:trPr>
        <w:tc>
          <w:tcPr>
            <w:tcW w:w="81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214,033</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208,847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of America Credit Facility</w:t>
      </w:r>
    </w:p>
    <w:p>
      <w:pPr>
        <w:spacing w:after="0" w:line="17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Our Bank of America facility was amended on March 27, 2024, to among other terms and conditions, (i) extend the Maturity Date to August 18, 2025, (ii) require a $275,000 principal paydown, (iii) eliminate the minimum liquidity covenant, (iv) reduce the principal amortization amounts and provide a</w:t>
      </w:r>
    </w:p>
    <w:p>
      <w:pPr>
        <w:spacing w:after="0" w:line="204" w:lineRule="auto"/>
        <w:tabs>
          <w:tab w:leader="none" w:pos="7240" w:val="left"/>
        </w:tabs>
        <w:rPr>
          <w:sz w:val="20"/>
          <w:szCs w:val="20"/>
          <w:color w:val="auto"/>
        </w:rPr>
      </w:pPr>
      <w:r>
        <w:rPr>
          <w:rFonts w:ascii="Times New Roman" w:cs="Times New Roman" w:eastAsia="Times New Roman" w:hAnsi="Times New Roman"/>
          <w:sz w:val="18"/>
          <w:szCs w:val="18"/>
          <w:color w:val="auto"/>
        </w:rPr>
        <w:t>principal holiday period, and (v) require certain paydowns on the sale of certain real estate assets.</w:t>
        <w:tab/>
        <w:t>Interest is charged at 2.5% above the Bank of America</w:t>
      </w:r>
    </w:p>
    <w:p>
      <w:pPr>
        <w:jc w:val="both"/>
        <w:spacing w:after="0" w:line="195" w:lineRule="auto"/>
        <w:rPr>
          <w:sz w:val="20"/>
          <w:szCs w:val="20"/>
          <w:color w:val="auto"/>
        </w:rPr>
      </w:pPr>
      <w:r>
        <w:rPr>
          <w:rFonts w:ascii="Times New Roman" w:cs="Times New Roman" w:eastAsia="Times New Roman" w:hAnsi="Times New Roman"/>
          <w:sz w:val="18"/>
          <w:szCs w:val="18"/>
          <w:color w:val="auto"/>
        </w:rPr>
        <w:t>Prime rate, which itself has a floor of 1.0%. Payment-in-kind interest at a rate of 0.5% commenced on January 1, 2024, and will continue until December 31, 2024, increasing to 1.5% on January 1, 2025, until the facility is repaid in full. This loan is subject to mandatory prepayment out of a portion</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the net proceeds realized by us in the event that we determine to sell certain specified assets. In October 2024, we amended this facility to defer the monthly principal payments required in October, November and December, to the end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Minetta and Orpheum Theatres Loan</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August 1, 2024, we extended the maturity of our $8.0 million loan with Santander Bank, which is secured by our Minetta and Orpheum Theaters. It had previously matured on June 1, 2024. The extended facility now matures on June 1, 2025, requires monthly principal and interest payments with a balloon payment of $7.7 million on maturity, and carries an interest rate of 7.0%.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Cinemas 1,2,3 Term Loan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Cinemas 1,2,3 Term Loan is held by Sutton Hill Properties LLC (“SHP”), a 75% owned subsidiary of RDI. In October 2024, we obtained two further six month extensions for this loan, the first of which we exercised. The loan is with Valley National Bank, carries an interest rate of 3.50% above monthly SOFR, with a floor of 7.50%, and includes provisions for a prepaid interest reserve.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 Square Financing</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7, 2021, we closed on a new three year $55.0 million loan facility with Emerald Creek Capital secured by our 44 Union Square property and certain limited guarantees. Following the phase out of LIBOR, the facility bears a variable interest rate of TERM SOFR plus 6.9% and includes provisions for a prepaid interest and property tax reserve fund. On April 23, 2024, we executed the first 12 month extension on this loan, taking the maturity to May 6, 2025. The loan has one remaining 12-month option to extend, and may be repaid at any time, without the payment of any premium. As this option is within our control, we will continue to keep the loan classified as long-term.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Money Promissory Note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September 18, 2019, we purchased for $5.5 million 407,000 shares of our Class A Common Stock in a privately negotiated transaction under our Share Repurchase Program. Of this amount, $3.5 million was paid by the issuance of a Purchase Money Promissory Note, which bore an interest rate of 5.0% per annum, payable in equal quarterly payments of principal plus accrued interest. The Purchase Money Promissory Note matured on September 18,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Corporate Office Term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repaid this $8.4 million loan in full in February 2024, with a portion of the proceeds from the sale of our Culver City office building.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denominated in foreign currencies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Westpac Bank Corporate Credit Facility (NZ)</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Westpac Corporate Credit Facility for NZ$13.8 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September 30,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13, 2024, we increased the limit on this facility by NZ$5.0 million to NZ$18.8 million. The maturity date remains January 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NAB Corporate Term Loan (AU)</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31, 2024, our Revolving Corporate Markets Loan Facility with National Australia Bank (“NAB”) matured on July 31, 2025. It consisted of</w:t>
      </w:r>
    </w:p>
    <w:p>
      <w:pPr>
        <w:spacing w:after="0" w:line="16" w:lineRule="exact"/>
        <w:rPr>
          <w:sz w:val="20"/>
          <w:szCs w:val="20"/>
          <w:color w:val="auto"/>
        </w:rPr>
      </w:pPr>
    </w:p>
    <w:p>
      <w:pPr>
        <w:ind w:firstLine="8"/>
        <w:spacing w:after="0" w:line="233"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AU$100.0 million Corporate Loan facility at 1.75% above BBSY, of which AU $60.0 million was revolving and AU$40.0 million was core and (ii) a Bank Guarantee Facility of AU$5.0 million at a rate of 1.9% per annum.</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April 4, 2024, we amended this facility, which now matures on July 31, 2026. As part of the amendment, we obtained an additional AU$20.0 million bridge facility which matures on March 31, 2025 (or earlier, upon the sale of certain assets), and modified certain covenants. We are also required, from March 31, 2025, to make quarterly repayments of AU$1.5 million against the AU$100.0 million Corporate Loan facility, until maturity date, representing permanent reductions in that facility’s ceiling. The bank guarantee facility was reduced to AU$3.0 million. No other changes were made.</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June 28, 2024, we entered into an Interest Rate Hedging Agreement with NAB on AU$50.0 million of the Corporate Loan Facility with the Termination date on July 31, 2026. The Interest Rate Collar transaction has a floor of 4.18% and a cap of 4.78%.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Other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are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2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 liability</w:t>
            </w:r>
          </w:p>
        </w:tc>
        <w:tc>
          <w:tcPr>
            <w:tcW w:w="4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684</w:t>
            </w: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Security deposit payable</w:t>
            </w: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w:t>
            </w: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4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r>
      <w:tr>
        <w:trPr>
          <w:trHeight w:val="203"/>
        </w:trPr>
        <w:tc>
          <w:tcPr>
            <w:tcW w:w="392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6,588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6,731</w:t>
            </w:r>
          </w:p>
        </w:tc>
      </w:tr>
      <w:tr>
        <w:trPr>
          <w:trHeight w:val="176"/>
        </w:trPr>
        <w:tc>
          <w:tcPr>
            <w:tcW w:w="3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liabilities</w:t>
            </w: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Lease make-good provision</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6,239</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6,050</w:t>
            </w: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pension</w:t>
            </w: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2,450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2,646</w:t>
            </w: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rent liability</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2,610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1,314</w:t>
            </w: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Environmental reserve</w:t>
            </w: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1,656</w:t>
            </w:r>
          </w:p>
        </w:tc>
      </w:tr>
      <w:tr>
        <w:trPr>
          <w:trHeight w:val="189"/>
        </w:trPr>
        <w:tc>
          <w:tcPr>
            <w:tcW w:w="3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Acquired leases</w:t>
            </w:r>
          </w:p>
        </w:tc>
        <w:tc>
          <w:tcPr>
            <w:tcW w:w="4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203"/>
        </w:trPr>
        <w:tc>
          <w:tcPr>
            <w:tcW w:w="3920" w:type="dxa"/>
            <w:vAlign w:val="bottom"/>
            <w:tcBorders>
              <w:bottom w:val="single" w:sz="8" w:color="CCEEFF"/>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12,967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11,711</w:t>
            </w:r>
          </w:p>
        </w:tc>
      </w:tr>
      <w:tr>
        <w:trPr>
          <w:trHeight w:val="568"/>
        </w:trPr>
        <w:tc>
          <w:tcPr>
            <w:tcW w:w="3920" w:type="dxa"/>
            <w:vAlign w:val="bottom"/>
          </w:tcPr>
          <w:p>
            <w:pPr>
              <w:spacing w:after="0"/>
              <w:rPr>
                <w:sz w:val="24"/>
                <w:szCs w:val="24"/>
                <w:color w:val="auto"/>
              </w:rPr>
            </w:pPr>
          </w:p>
        </w:tc>
        <w:tc>
          <w:tcPr>
            <w:tcW w:w="42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Pension Liability – Supplemental Executive Retirement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Details of our Supplemental Executive Retirement Plan are disclosed in </w:t>
      </w:r>
      <w:r>
        <w:rPr>
          <w:rFonts w:ascii="Times New Roman" w:cs="Times New Roman" w:eastAsia="Times New Roman" w:hAnsi="Times New Roman"/>
          <w:sz w:val="18"/>
          <w:szCs w:val="18"/>
          <w:i w:val="1"/>
          <w:iCs w:val="1"/>
          <w:color w:val="auto"/>
        </w:rPr>
        <w:t>Note 14 – Pension and Other Liabilities</w:t>
      </w:r>
      <w:r>
        <w:rPr>
          <w:rFonts w:ascii="Times New Roman" w:cs="Times New Roman" w:eastAsia="Times New Roman" w:hAnsi="Times New Roman"/>
          <w:sz w:val="18"/>
          <w:szCs w:val="18"/>
          <w:color w:val="auto"/>
        </w:rPr>
        <w:t xml:space="preserve"> in our 2023 Form 10-K.</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Included in our current and non-current liabilities are accrued pension costs of $2.9 million on September 30, 2024. The benefits of our pension plan are fully vested and therefore no service costs were recognized for the quarter and nine months ended September 30, 2024, and 2023. Our pension plan is unfunded.</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quarter and nine months ended September 30, 2024, the interest cost was $40,000 and $126,000, respectively, and the actuarial loss was $52,000 and $156,000, respectively. During the quarter and nine months ended September 30, 2023, the interest cost was $47,000 and $146,000, respectively, and the actuarial loss was $52,000 and $155,000,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each component of accumulated other comprehensive income attributable to RDI:</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 Available-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for‎-Sale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0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Balance at January 1, 2024</w:t>
            </w:r>
          </w:p>
        </w:tc>
        <w:tc>
          <w:tcPr>
            <w:tcW w:w="260" w:type="dxa"/>
            <w:vAlign w:val="bottom"/>
            <w:tcBorders>
              <w:top w:val="single" w:sz="8" w:color="auto"/>
            </w:tcBorders>
            <w:gridSpan w:val="2"/>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(1,669)</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w w:val="99"/>
              </w:rPr>
              <w:t>Change related to derivatives</w:t>
            </w:r>
          </w:p>
        </w:tc>
        <w:tc>
          <w:tcPr>
            <w:tcW w:w="2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Total change in hedge fair value recorded in Other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Net change related to derivatives</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(1,030)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(1,513)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(2,831)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to the extent required, have accrued estimates of probable and estimable losses for the resolution of these claims, including legal costs.</w:t>
      </w:r>
    </w:p>
    <w:p>
      <w:pPr>
        <w:spacing w:after="0" w:line="39"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plaintiffs</w:t>
      </w:r>
      <w:r>
        <w:rPr>
          <w:rFonts w:ascii="Times New Roman" w:cs="Times New Roman" w:eastAsia="Times New Roman" w:hAnsi="Times New Roman"/>
          <w:sz w:val="18"/>
          <w:szCs w:val="18"/>
          <w:color w:val="auto"/>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spacing w:after="0" w:line="49"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color w:val="auto"/>
        </w:rPr>
        <w:t xml:space="preserve">Where we are the </w:t>
      </w:r>
      <w:r>
        <w:rPr>
          <w:rFonts w:ascii="Times New Roman" w:cs="Times New Roman" w:eastAsia="Times New Roman" w:hAnsi="Times New Roman"/>
          <w:sz w:val="18"/>
          <w:szCs w:val="18"/>
          <w:i w:val="1"/>
          <w:iCs w:val="1"/>
          <w:u w:val="single" w:color="auto"/>
          <w:color w:val="auto"/>
        </w:rPr>
        <w:t>defendants</w:t>
      </w:r>
      <w:r>
        <w:rPr>
          <w:rFonts w:ascii="Times New Roman" w:cs="Times New Roman" w:eastAsia="Times New Roman" w:hAnsi="Times New Roman"/>
          <w:sz w:val="18"/>
          <w:szCs w:val="18"/>
          <w:color w:val="auto"/>
        </w:rPr>
        <w:t xml:space="preserve">, we accrue for probable damages that insurance may not cover as they become known and can be reasonably estimated, as permitted under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and Asbestos Claims on Reading Legacy Operations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18"/>
          <w:szCs w:val="18"/>
          <w:color w:val="auto"/>
        </w:rPr>
        <w:t>conditions can increase the cost of such projects and adversely affect the value and potential for profit of such projects. We do not currently believe that our exposure under applicable environmental laws is material in amount.</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Non-controlling Interests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composed of the following enterprises: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Australia Country Cinemas Pty Ltd. - 25% noncontrolling interest owned by Panorama Group International Pty Ltd;</w:t>
      </w:r>
    </w:p>
    <w:p>
      <w:pPr>
        <w:spacing w:after="0" w:line="76"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Shadow View Land and Farming, LLC - 50% noncontrolling membership interest owned by the estate of Mr. James J. Cotter, Sr. (the “Cotter Estate”);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Sutton Hill Properties, LLC - 25% noncontrolling interest owned by Sutton Hill Capital, LLC (which in turn is 50% owned by the Cotter Estate).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noncontrolling interests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0"/>
        </w:trPr>
        <w:tc>
          <w:tcPr>
            <w:tcW w:w="53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Noncontrolling interests in consolidated subsidiaries</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(569)</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405"/>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attributable to noncontrolling interests are as follows: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300" w:type="dxa"/>
            <w:vAlign w:val="bottom"/>
            <w:gridSpan w:val="2"/>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Australian Country Cinemas, Pty Ltd</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69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940" w:type="dxa"/>
            <w:vAlign w:val="bottom"/>
            <w:tcBorders>
              <w:top w:val="single" w:sz="8" w:color="auto"/>
            </w:tcBorders>
            <w:shd w:val="clear" w:color="auto" w:fill="CCEEFF"/>
          </w:tcPr>
          <w:p>
            <w:pPr>
              <w:jc w:val="right"/>
              <w:ind w:right="78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89"/>
        </w:trPr>
        <w:tc>
          <w:tcPr>
            <w:tcW w:w="5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Shadow View Land and Farming, LLC</w:t>
            </w:r>
          </w:p>
        </w:tc>
        <w:tc>
          <w:tcPr>
            <w:tcW w:w="88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5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Sutton Hill Properties, LLC</w:t>
            </w:r>
          </w:p>
        </w:tc>
        <w:tc>
          <w:tcPr>
            <w:tcW w:w="8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(150)</w:t>
            </w:r>
          </w:p>
        </w:tc>
        <w:tc>
          <w:tcPr>
            <w:tcW w:w="9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(511)</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90"/>
        </w:trPr>
        <w:tc>
          <w:tcPr>
            <w:tcW w:w="53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tc>
        <w:tc>
          <w:tcPr>
            <w:tcW w:w="880" w:type="dxa"/>
            <w:vAlign w:val="bottom"/>
            <w:tcBorders>
              <w:top w:val="single" w:sz="8" w:color="auto"/>
              <w:bottom w:val="single" w:sz="8" w:color="auto"/>
            </w:tcBorders>
          </w:tcPr>
          <w:p>
            <w:pPr>
              <w:jc w:val="right"/>
              <w:ind w:right="696"/>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80"/>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(481)</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(361)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Controlling and Noncontrolling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controlling and noncontrolling stockholders’ equity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3"/>
                <w:szCs w:val="13"/>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08"/>
        </w:trPr>
        <w:tc>
          <w:tcPr>
            <w:tcW w:w="23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6"/>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2024</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20,664</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155,402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(79,489)</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(2,673)</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33,087</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32,996</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(13,228)</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(13,403)</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r>
      <w:tr>
        <w:trPr>
          <w:trHeight w:val="135"/>
        </w:trPr>
        <w:tc>
          <w:tcPr>
            <w:tcW w:w="2340" w:type="dxa"/>
            <w:vAlign w:val="bottom"/>
            <w:tcBorders>
              <w:bottom w:val="single" w:sz="8" w:color="auto"/>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135"/>
        </w:trPr>
        <w:tc>
          <w:tcPr>
            <w:tcW w:w="23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2024</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20,673</w:t>
            </w:r>
          </w:p>
        </w:tc>
        <w:tc>
          <w:tcPr>
            <w:tcW w:w="260" w:type="dxa"/>
            <w:vAlign w:val="bottom"/>
            <w:tcBorders>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237</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156,078</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(92,717)</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(5,211)</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17,997</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17,728</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887</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456</w:t>
            </w:r>
          </w:p>
        </w:tc>
      </w:tr>
      <w:tr>
        <w:trPr>
          <w:trHeight w:val="135"/>
        </w:trPr>
        <w:tc>
          <w:tcPr>
            <w:tcW w:w="2340" w:type="dxa"/>
            <w:vAlign w:val="bottom"/>
            <w:tcBorders>
              <w:bottom w:val="single" w:sz="8" w:color="auto"/>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June 30, 2024</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20,743</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238</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156,529</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(105,523)</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(4,325)</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6,529</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(463)</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6,066</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(7,028)</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(7,028)</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(7,139)</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1,494</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1,494</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1,499</w:t>
            </w:r>
          </w:p>
        </w:tc>
      </w:tr>
      <w:tr>
        <w:trPr>
          <w:trHeight w:val="135"/>
        </w:trPr>
        <w:tc>
          <w:tcPr>
            <w:tcW w:w="2340" w:type="dxa"/>
            <w:vAlign w:val="bottom"/>
            <w:tcBorders>
              <w:bottom w:val="single" w:sz="8" w:color="auto"/>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603</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603</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603</w:t>
            </w:r>
          </w:p>
        </w:tc>
      </w:tr>
      <w:tr>
        <w:trPr>
          <w:trHeight w:val="136"/>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September 30, 2024( As Restated)</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20,743</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238</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157,132</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(112,551)</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(2,831)</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1,598</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1,029</w:t>
            </w: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5"/>
        </w:trPr>
        <w:tc>
          <w:tcPr>
            <w:tcW w:w="23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80" w:type="dxa"/>
            <w:vAlign w:val="bottom"/>
          </w:tcPr>
          <w:p>
            <w:pPr>
              <w:spacing w:after="0"/>
              <w:rPr>
                <w:sz w:val="13"/>
                <w:szCs w:val="13"/>
                <w:color w:val="auto"/>
              </w:rPr>
            </w:pPr>
          </w:p>
        </w:tc>
        <w:tc>
          <w:tcPr>
            <w:tcW w:w="8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Reading</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08"/>
        </w:trPr>
        <w:tc>
          <w:tcPr>
            <w:tcW w:w="23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20" w:type="dxa"/>
            <w:vAlign w:val="bottom"/>
            <w:tcBorders>
              <w:right w:val="single" w:sz="8" w:color="auto"/>
            </w:tcBorders>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720" w:type="dxa"/>
            <w:vAlign w:val="bottom"/>
            <w:tcBorders>
              <w:right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40" w:type="dxa"/>
            <w:vAlign w:val="bottom"/>
            <w:tcBorders>
              <w:right w:val="single" w:sz="8" w:color="auto"/>
            </w:tcBorders>
            <w:gridSpan w:val="2"/>
          </w:tcPr>
          <w:p>
            <w:pPr>
              <w:jc w:val="right"/>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820" w:type="dxa"/>
            <w:vAlign w:val="bottom"/>
            <w:gridSpan w:val="2"/>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40" w:type="dxa"/>
            <w:vAlign w:val="bottom"/>
            <w:gridSpan w:val="2"/>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jc w:val="right"/>
              <w:ind w:right="297"/>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120" w:type="dxa"/>
            <w:vAlign w:val="bottom"/>
            <w:gridSpan w:val="2"/>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International Inc.</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23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Voting</w:t>
            </w:r>
          </w:p>
        </w:tc>
        <w:tc>
          <w:tcPr>
            <w:tcW w:w="620" w:type="dxa"/>
            <w:vAlign w:val="bottom"/>
            <w:tcBorders>
              <w:right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Par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80" w:type="dxa"/>
            <w:vAlign w:val="bottom"/>
          </w:tcPr>
          <w:p>
            <w:pPr>
              <w:spacing w:after="0"/>
              <w:rPr>
                <w:sz w:val="11"/>
                <w:szCs w:val="11"/>
                <w:color w:val="auto"/>
              </w:rPr>
            </w:pPr>
          </w:p>
        </w:tc>
        <w:tc>
          <w:tcPr>
            <w:tcW w:w="2120" w:type="dxa"/>
            <w:vAlign w:val="bottom"/>
            <w:gridSpan w:val="5"/>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   (Accumulated   Treasury</w:t>
            </w:r>
          </w:p>
        </w:tc>
        <w:tc>
          <w:tcPr>
            <w:tcW w:w="10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2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 except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2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tcBorders>
              <w:bottom w:val="single" w:sz="8" w:color="auto"/>
              <w:right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January 1, 2023</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20,412</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153,784</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(48,816)</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62,856</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423</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63,279</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(11,324)</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(1,293)</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(1,294)</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r>
      <w:tr>
        <w:trPr>
          <w:trHeight w:val="135"/>
        </w:trPr>
        <w:tc>
          <w:tcPr>
            <w:tcW w:w="2340" w:type="dxa"/>
            <w:vAlign w:val="bottom"/>
            <w:tcBorders>
              <w:bottom w:val="single" w:sz="8" w:color="auto"/>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w:t>
            </w:r>
          </w:p>
        </w:tc>
      </w:tr>
      <w:tr>
        <w:trPr>
          <w:trHeight w:val="136"/>
        </w:trPr>
        <w:tc>
          <w:tcPr>
            <w:tcW w:w="23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March 31, 2023</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20,501</w:t>
            </w:r>
          </w:p>
        </w:tc>
        <w:tc>
          <w:tcPr>
            <w:tcW w:w="260" w:type="dxa"/>
            <w:vAlign w:val="bottom"/>
            <w:tcBorders>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235</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154,095</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(59,927)</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(3,250)</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50,763</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50,972</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(2,861)</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(741)</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r>
      <w:tr>
        <w:trPr>
          <w:trHeight w:val="135"/>
        </w:trPr>
        <w:tc>
          <w:tcPr>
            <w:tcW w:w="2340" w:type="dxa"/>
            <w:vAlign w:val="bottom"/>
            <w:tcBorders>
              <w:bottom w:val="single" w:sz="8" w:color="auto"/>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r>
      <w:tr>
        <w:trPr>
          <w:trHeight w:val="135"/>
        </w:trPr>
        <w:tc>
          <w:tcPr>
            <w:tcW w:w="2340" w:type="dxa"/>
            <w:vAlign w:val="bottom"/>
            <w:tcBorders>
              <w:bottom w:val="single" w:sz="8" w:color="auto"/>
              <w:right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At June 30, 2023</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20,593</w:t>
            </w:r>
          </w:p>
        </w:tc>
        <w:tc>
          <w:tcPr>
            <w:tcW w:w="260" w:type="dxa"/>
            <w:vAlign w:val="bottom"/>
            <w:tcBorders>
              <w:bottom w:val="single" w:sz="8" w:color="auto"/>
            </w:tcBorders>
            <w:shd w:val="clear" w:color="auto" w:fill="CCEEFF"/>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154,290</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(62,705)</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(3,990)</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47,441</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16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47,566</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(4,400)</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(4,400)</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(4,465)</w:t>
            </w:r>
          </w:p>
        </w:tc>
      </w:tr>
      <w:tr>
        <w:trPr>
          <w:trHeight w:val="135"/>
        </w:trPr>
        <w:tc>
          <w:tcPr>
            <w:tcW w:w="2340" w:type="dxa"/>
            <w:vAlign w:val="bottom"/>
            <w:tcBorders>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(1,657)</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(1,660)</w:t>
            </w:r>
          </w:p>
        </w:tc>
      </w:tr>
      <w:tr>
        <w:trPr>
          <w:trHeight w:val="135"/>
        </w:trPr>
        <w:tc>
          <w:tcPr>
            <w:tcW w:w="234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360" w:type="dxa"/>
            <w:vAlign w:val="bottom"/>
            <w:tcBorders>
              <w:right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440" w:type="dxa"/>
            <w:vAlign w:val="bottom"/>
            <w:tcBorders>
              <w:right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614</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w:t>
            </w: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w:t>
            </w:r>
          </w:p>
        </w:tc>
      </w:tr>
      <w:tr>
        <w:trPr>
          <w:trHeight w:val="135"/>
        </w:trPr>
        <w:tc>
          <w:tcPr>
            <w:tcW w:w="2340" w:type="dxa"/>
            <w:vAlign w:val="bottom"/>
            <w:tcBorders>
              <w:bottom w:val="single" w:sz="8" w:color="auto"/>
              <w:right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Units</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w:t>
            </w:r>
          </w:p>
        </w:tc>
        <w:tc>
          <w:tcPr>
            <w:tcW w:w="2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234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At September 30, 2023</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20,593</w:t>
            </w:r>
          </w:p>
        </w:tc>
        <w:tc>
          <w:tcPr>
            <w:tcW w:w="260" w:type="dxa"/>
            <w:vAlign w:val="bottom"/>
            <w:tcBorders>
              <w:bottom w:val="single" w:sz="8" w:color="auto"/>
            </w:tcBorders>
          </w:tcPr>
          <w:p>
            <w:pPr>
              <w:ind w:lef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236</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1,681</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154,904</w:t>
            </w:r>
          </w:p>
        </w:tc>
        <w:tc>
          <w:tcPr>
            <w:tcW w:w="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(67,105)</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(40,407)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(5,647)</w:t>
            </w: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41,998</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w:t>
            </w:r>
          </w:p>
        </w:tc>
        <w:tc>
          <w:tcPr>
            <w:tcW w:w="16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42,055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Stock-Based Compensation and Stock Repurchases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and Director Stock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2020 Stock Incentive Plan</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November 4, 2020, the Company enacted the 2020 Stock Incentive Plan, which was also approved by the Company’s stockholders on December 8, 2020 (as amended, the “2020 Plan”). Under the 2020 Plan, the number of permitted authorized shares for issuance was originally set at 1,250,000, plus any shares reserved for awards outstanding under the 2010 Plan that were subsequently forfeited (for instance, through a then outstanding out of the money option) or if the related shares are repurchased, a corresponding number of shares would automatically become available for issuance under the 2020 Plan. On December 7, 2023, the Company’s stockholders, upon recommendation of the Company’s board of directors, approved the First Amendment to the 2020 Stock Incentive Plan, increasing the number of Class A Common Stock reserved for issuance under the 2020 Plan by an additional 971,807 shares.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2020 Plan, the Company may grant stock options and other share-based payment awards of our Class A Common Stock to eligible employees, directors and consultants. At September 30, 2024, there were 15,048 shares of Class A Common Stock available for issuance under the 2020 Plan, which includes shares from the 2010 Plan that become available for issuance due to the forfeiture of then outstanding out of the money stock options.</w:t>
      </w:r>
    </w:p>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 share for every RSU based on a vesting plan, typically between one year and four years from grant. As discussed further below, a performance component has been added to certain of the RSUs or options granted to management. At the time the options are exercised or RSUs vest and are settled, at the discretion of management, we will issue treasury shares or make a new issuance of shares to the option or RSU holder.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Stock options to purchase 207,657 shares of Class A Common Stock were issued to the Board of Directors upon their reelection to the Board in December 2023 for their services for their 2024 term. No other stock options were granted in 2023. On June 6, 2024, we issued options to purchase 1,264,603 shares of Class A Common Stock to our senior executives. These options have a one-year vesting and a ten-year term and were granted in lieu of cash bonuses which would otherwise have been paid under our Company's Incentive Compensation Program. No other stock options were granted during the three quarters of 2024.</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For the quarter and nine months ended September 30, 2024, we recorded a compensation expense of $302,000 and $466,000 respectively, with respect to our prior stock option grants. For the quarter and nine months ended September 30, 2023, we recorded a compensation expense of and $9,000 and $27,000 respectively, with respect to our prior stock option grants At September 30, 2024, the total unrecognized estimated compensation expense related to non-vested stock options was $623,000, which we expect to recognize over a weighted average vesting period of 0.94 years. The intrinsic, unrealized value of all options outstanding vested and expected to vest, at September 30, 2024, was nil, as the closing price of our Class A Common Stock on that date was $1.63.</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summarizes the number of options outstanding and exercisable as of September 30, 2024, and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Outstanding Stock Options - Class A Shares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7"/>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6"/>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80" w:type="dxa"/>
            <w:vAlign w:val="bottom"/>
          </w:tcPr>
          <w:p>
            <w:pPr>
              <w:spacing w:after="0"/>
              <w:rPr>
                <w:sz w:val="16"/>
                <w:szCs w:val="16"/>
                <w:color w:val="auto"/>
              </w:rPr>
            </w:pPr>
          </w:p>
        </w:tc>
        <w:tc>
          <w:tcPr>
            <w:tcW w:w="780" w:type="dxa"/>
            <w:vAlign w:val="bottom"/>
            <w:gridSpan w:val="4"/>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4"/>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327,498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gridSpan w:val="4"/>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207,657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(122,376)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412,779</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14.19</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gridSpan w:val="4"/>
          </w:tcPr>
          <w:p>
            <w:pPr>
              <w:ind w:left="12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1,264,603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ind w:left="12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7"/>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(205,122)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bottom w:val="single" w:sz="8" w:color="CCEEFF"/>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4"/>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1,472,260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following table</w:t>
            </w:r>
          </w:p>
        </w:tc>
        <w:tc>
          <w:tcPr>
            <w:tcW w:w="5720" w:type="dxa"/>
            <w:vAlign w:val="bottom"/>
            <w:gridSpan w:val="13"/>
          </w:tcPr>
          <w:p>
            <w:pPr>
              <w:jc w:val="center"/>
              <w:ind w:right="502"/>
              <w:spacing w:after="0"/>
              <w:rPr>
                <w:sz w:val="20"/>
                <w:szCs w:val="20"/>
                <w:color w:val="auto"/>
              </w:rPr>
            </w:pPr>
            <w:r>
              <w:rPr>
                <w:rFonts w:ascii="Times New Roman" w:cs="Times New Roman" w:eastAsia="Times New Roman" w:hAnsi="Times New Roman"/>
                <w:sz w:val="18"/>
                <w:szCs w:val="18"/>
                <w:color w:val="auto"/>
                <w:w w:val="97"/>
              </w:rPr>
              <w:t>summarizes the status of RSUs granted to date as of September 30, 2024: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RSU Grants (in units)</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4"/>
                <w:szCs w:val="14"/>
                <w:color w:val="auto"/>
              </w:rPr>
            </w:pPr>
          </w:p>
        </w:tc>
        <w:tc>
          <w:tcPr>
            <w:tcW w:w="88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5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4"/>
          </w:tcPr>
          <w:p>
            <w:pPr>
              <w:jc w:val="right"/>
              <w:ind w:right="302"/>
              <w:spacing w:after="0" w:line="110"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9"/>
                <w:szCs w:val="9"/>
                <w:color w:val="auto"/>
              </w:rPr>
            </w:pPr>
          </w:p>
        </w:tc>
        <w:tc>
          <w:tcPr>
            <w:tcW w:w="1280" w:type="dxa"/>
            <w:vAlign w:val="bottom"/>
            <w:gridSpan w:val="5"/>
          </w:tcPr>
          <w:p>
            <w:pPr>
              <w:jc w:val="center"/>
              <w:ind w:right="160"/>
              <w:spacing w:after="0" w:line="110"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12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194"/>
        </w:trPr>
        <w:tc>
          <w:tcPr>
            <w:tcW w:w="3580" w:type="dxa"/>
            <w:vAlign w:val="bottom"/>
            <w:gridSpan w:val="4"/>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8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Opening balance</w:t>
            </w:r>
          </w:p>
        </w:tc>
        <w:tc>
          <w:tcPr>
            <w:tcW w:w="11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216,804</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793,353</w:t>
            </w:r>
          </w:p>
        </w:tc>
        <w:tc>
          <w:tcPr>
            <w:tcW w:w="1300" w:type="dxa"/>
            <w:vAlign w:val="bottom"/>
            <w:gridSpan w:val="6"/>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1,010,157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895,995</w:t>
            </w:r>
          </w:p>
        </w:tc>
        <w:tc>
          <w:tcPr>
            <w:tcW w:w="1300" w:type="dxa"/>
            <w:vAlign w:val="bottom"/>
            <w:gridSpan w:val="5"/>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49,858</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64,305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tcBorders>
              <w:top w:val="single" w:sz="8" w:color="auto"/>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gridSpan w:val="2"/>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8, 2021</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48,951</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48,951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48,951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April 18, 2022</w:t>
            </w:r>
          </w:p>
        </w:tc>
        <w:tc>
          <w:tcPr>
            <w:tcW w:w="13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428,899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428,899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151,033</w:t>
            </w:r>
          </w:p>
        </w:tc>
        <w:tc>
          <w:tcPr>
            <w:tcW w:w="13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230,601</w:t>
            </w: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15, 2022</w:t>
            </w: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73,683</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April 11, 2023</w:t>
            </w:r>
          </w:p>
        </w:tc>
        <w:tc>
          <w:tcPr>
            <w:tcW w:w="13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413,536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413,536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146,714</w:t>
            </w:r>
          </w:p>
        </w:tc>
        <w:tc>
          <w:tcPr>
            <w:tcW w:w="13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257,790</w:t>
            </w: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21, 2023</w:t>
            </w:r>
          </w:p>
        </w:tc>
        <w:tc>
          <w:tcPr>
            <w:tcW w:w="13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237,719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237,719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79,328</w:t>
            </w:r>
          </w:p>
        </w:tc>
        <w:tc>
          <w:tcPr>
            <w:tcW w:w="130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149,866</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April 28, 2023</w:t>
            </w:r>
          </w:p>
        </w:tc>
        <w:tc>
          <w:tcPr>
            <w:tcW w:w="13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5,109</w:t>
            </w:r>
          </w:p>
        </w:tc>
        <w:tc>
          <w:tcPr>
            <w:tcW w:w="13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auto"/>
              </w:rPr>
              <w:t>15,318</w:t>
            </w:r>
          </w:p>
        </w:tc>
        <w:tc>
          <w:tcPr>
            <w:tcW w:w="14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Borders>
              <w:bottom w:val="single" w:sz="8" w:color="auto"/>
            </w:tcBorders>
            <w:gridSpan w:val="3"/>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tcBorders>
              <w:bottom w:val="single" w:sz="8" w:color="auto"/>
            </w:tcBorders>
            <w:gridSpan w:val="4"/>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Borders>
              <w:bottom w:val="single" w:sz="8" w:color="auto"/>
            </w:tcBorders>
            <w:gridSpan w:val="4"/>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20" w:type="dxa"/>
            <w:vAlign w:val="bottom"/>
            <w:tcBorders>
              <w:bottom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339,438</w:t>
            </w:r>
          </w:p>
        </w:tc>
        <w:tc>
          <w:tcPr>
            <w:tcW w:w="16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1,893,934</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bottom w:val="single" w:sz="8" w:color="auto"/>
            </w:tcBorders>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2,233,372</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0"/>
              <w:spacing w:after="0" w:line="182" w:lineRule="exact"/>
              <w:rPr>
                <w:sz w:val="20"/>
                <w:szCs w:val="20"/>
                <w:color w:val="auto"/>
              </w:rPr>
            </w:pPr>
            <w:r>
              <w:rPr>
                <w:rFonts w:ascii="Times New Roman" w:cs="Times New Roman" w:eastAsia="Times New Roman" w:hAnsi="Times New Roman"/>
                <w:sz w:val="18"/>
                <w:szCs w:val="18"/>
                <w:b w:val="1"/>
                <w:bCs w:val="1"/>
                <w:color w:val="auto"/>
              </w:rPr>
              <w:t>1,400,813</w:t>
            </w:r>
          </w:p>
        </w:tc>
        <w:tc>
          <w:tcPr>
            <w:tcW w:w="160" w:type="dxa"/>
            <w:vAlign w:val="bottom"/>
          </w:tcPr>
          <w:p>
            <w:pPr>
              <w:spacing w:after="0"/>
              <w:rPr>
                <w:sz w:val="16"/>
                <w:szCs w:val="16"/>
                <w:color w:val="auto"/>
              </w:rPr>
            </w:pPr>
          </w:p>
        </w:tc>
        <w:tc>
          <w:tcPr>
            <w:tcW w:w="1140" w:type="dxa"/>
            <w:vAlign w:val="bottom"/>
            <w:tcBorders>
              <w:bottom w:val="single" w:sz="8" w:color="auto"/>
            </w:tcBorders>
            <w:gridSpan w:val="4"/>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703,433</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129,127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 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 RSUs, which vested on April 11, 2024 and 52,360 RSUs, which vested on April 21, 2024. No RSUs were granted during the remainder of 2023 or the first two quarters of 2024, however, the Compensation Committee has not completed its final review of 2024 incentive compensation.</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quarter and nine months ended September 30, 2024, we recorded compensation expense of $302,000 and $1.3 million, respectively. For the quarter and nine months ended September 30, 2023, we recorded compensation expense of $604,000, and $1.3 million, respectively. The total unrecognized compensation expense related to the non-vested RSUs was $2.3 million as of September 30, 2024, which we expect to recognize over a weighted average vesting period of 1.07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89"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Our Stock Repurchase Program expired on March 10, 2024. It has not been renewed. No stock has been repurchased by our Company since March 10, 2020.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19 – Hedge Accounting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our Company held derivative instruments to the notional value of $34.7 million. As of December 31, 2023, our Company held no derivative instruments.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derivatives are recorded on the balance sheet at fair value and are included in the following line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6"/>
          </w:tcPr>
          <w:p>
            <w:pPr>
              <w:jc w:val="right"/>
              <w:ind w:right="26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3"/>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2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900" w:type="dxa"/>
            <w:vAlign w:val="bottom"/>
            <w:tcBorders>
              <w:top w:val="single" w:sz="8" w:color="auto"/>
              <w:bottom w:val="single" w:sz="8" w:color="auto"/>
            </w:tcBorders>
          </w:tcPr>
          <w:p>
            <w:pPr>
              <w:jc w:val="right"/>
              <w:ind w:right="1468"/>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33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Derivative financial instruments - current portion   $</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Derivative financial instruments - current portion  $</w:t>
            </w:r>
          </w:p>
        </w:tc>
        <w:tc>
          <w:tcPr>
            <w:tcW w:w="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880" w:type="dxa"/>
            <w:vAlign w:val="bottom"/>
          </w:tcPr>
          <w:p>
            <w:pPr>
              <w:spacing w:after="0"/>
              <w:rPr>
                <w:sz w:val="14"/>
                <w:szCs w:val="14"/>
                <w:color w:val="auto"/>
              </w:rPr>
            </w:pPr>
          </w:p>
        </w:tc>
        <w:tc>
          <w:tcPr>
            <w:tcW w:w="332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Derivative financial instruments - non-current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Derivative financial instruments - non-current</w:t>
            </w:r>
          </w:p>
        </w:tc>
        <w:tc>
          <w:tcPr>
            <w:tcW w:w="8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33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color w:val="auto"/>
              </w:rPr>
              <w:t>portion</w:t>
            </w: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portion</w:t>
            </w: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332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18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8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8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w:t>
            </w:r>
          </w:p>
        </w:tc>
        <w:tc>
          <w:tcPr>
            <w:tcW w:w="33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80" w:type="dxa"/>
            <w:vAlign w:val="bottom"/>
            <w:shd w:val="clear" w:color="auto" w:fill="CCEEFF"/>
          </w:tcPr>
          <w:p>
            <w:pPr>
              <w:spacing w:after="0"/>
              <w:rPr>
                <w:sz w:val="11"/>
                <w:szCs w:val="11"/>
                <w:color w:val="auto"/>
              </w:rPr>
            </w:pPr>
          </w:p>
        </w:tc>
        <w:tc>
          <w:tcPr>
            <w:tcW w:w="32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320" w:type="dxa"/>
            <w:vAlign w:val="bottom"/>
            <w:gridSpan w:val="4"/>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60" w:type="dxa"/>
            <w:vAlign w:val="bottom"/>
            <w:gridSpan w:val="4"/>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80" w:type="dxa"/>
            <w:vAlign w:val="bottom"/>
            <w:tcBorders>
              <w:bottom w:val="single" w:sz="8" w:color="CCEEFF"/>
            </w:tcBorders>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8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60" w:type="dxa"/>
            <w:vAlign w:val="bottom"/>
            <w:tcBorders>
              <w:top w:val="single" w:sz="8" w:color="CCEEFF"/>
            </w:tcBorders>
          </w:tcPr>
          <w:p>
            <w:pPr>
              <w:spacing w:after="0"/>
              <w:rPr>
                <w:sz w:val="17"/>
                <w:szCs w:val="17"/>
                <w:color w:val="auto"/>
              </w:rPr>
            </w:pPr>
          </w:p>
        </w:tc>
        <w:tc>
          <w:tcPr>
            <w:tcW w:w="31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1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changes in fair value of that instrument were recorded in Other Comprehensive Income and released into interest expense in the same period(s) in which the hedged transactions affect earnings. In the quarter and nine months ended September 30, 2024 and September 30, 2023, respectively, the derivative instruments affected Comprehensive Income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6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Location of Loss Recognized in Income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gridSpan w:val="1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Loss (Gain) Recognized in Income on Derivatives</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3860" w:type="dxa"/>
            <w:vAlign w:val="bottom"/>
            <w:gridSpan w:val="3"/>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60" w:type="dxa"/>
            <w:vAlign w:val="bottom"/>
            <w:gridSpan w:val="14"/>
            <w:vMerge w:val="continue"/>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00" w:type="dxa"/>
            <w:vAlign w:val="bottom"/>
            <w:tcBorders>
              <w:bottom w:val="single" w:sz="8" w:color="auto"/>
            </w:tcBorders>
            <w:vMerge w:val="continue"/>
          </w:tcPr>
          <w:p>
            <w:pPr>
              <w:spacing w:after="0"/>
              <w:rPr>
                <w:sz w:val="7"/>
                <w:szCs w:val="7"/>
                <w:color w:val="auto"/>
              </w:rPr>
            </w:pPr>
          </w:p>
        </w:tc>
        <w:tc>
          <w:tcPr>
            <w:tcW w:w="38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tcBorders>
              <w:bottom w:val="single" w:sz="8" w:color="auto"/>
            </w:tcBorders>
            <w:gridSpan w:val="7"/>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3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Loss (Gain) Recognized in OCI on Derivatives (Effective Portion)</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vMerge w:val="continue"/>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Borders>
              <w:bottom w:val="single" w:sz="8" w:color="auto"/>
            </w:tcBorders>
            <w:gridSpan w:val="6"/>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spacing w:after="0"/>
              <w:rPr>
                <w:sz w:val="14"/>
                <w:szCs w:val="14"/>
                <w:color w:val="auto"/>
              </w:rPr>
            </w:pP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contracts</w:t>
            </w:r>
          </w:p>
        </w:tc>
        <w:tc>
          <w:tcPr>
            <w:tcW w:w="2420" w:type="dxa"/>
            <w:vAlign w:val="bottom"/>
            <w:gridSpan w:val="2"/>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12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gridSpan w:val="2"/>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20" w:type="dxa"/>
            <w:vAlign w:val="bottom"/>
            <w:gridSpan w:val="2"/>
          </w:tcPr>
          <w:p>
            <w:pPr>
              <w:spacing w:after="0"/>
              <w:rPr>
                <w:sz w:val="14"/>
                <w:szCs w:val="14"/>
                <w:color w:val="auto"/>
              </w:rPr>
            </w:pPr>
          </w:p>
        </w:tc>
        <w:tc>
          <w:tcPr>
            <w:tcW w:w="1440" w:type="dxa"/>
            <w:vAlign w:val="bottom"/>
            <w:tcBorders>
              <w:bottom w:val="single" w:sz="8" w:color="auto"/>
            </w:tcBorders>
          </w:tcPr>
          <w:p>
            <w:pPr>
              <w:jc w:val="right"/>
              <w:ind w:right="12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w:t>
            </w:r>
          </w:p>
        </w:tc>
        <w:tc>
          <w:tcPr>
            <w:tcW w:w="220" w:type="dxa"/>
            <w:vAlign w:val="bottom"/>
            <w:gridSpan w:val="2"/>
          </w:tcPr>
          <w:p>
            <w:pPr>
              <w:spacing w:after="0"/>
              <w:rPr>
                <w:sz w:val="14"/>
                <w:szCs w:val="14"/>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269</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rPr>
              <w:t>Loss (Gain) Reclassified from OCI into Income (Effective Portion)</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Borders>
              <w:bottom w:val="single" w:sz="8" w:color="auto"/>
            </w:tcBorders>
            <w:gridSpan w:val="6"/>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128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ind w:right="128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gridSpan w:val="2"/>
          </w:tcPr>
          <w:p>
            <w:pPr>
              <w:spacing w:after="0"/>
              <w:rPr>
                <w:sz w:val="14"/>
                <w:szCs w:val="14"/>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(812)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Fair Value Measurements</w:t>
      </w:r>
    </w:p>
    <w:p>
      <w:pPr>
        <w:spacing w:after="0" w:line="18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establishes a fair value hierarchy that prioritizes the inputs to valuation techniques used to measure fair value. The statement requires that assets and liabilities carried at fair value be classified and disclosed in one of the following three categories: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76"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significant value drivers are unobservable.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The following tables summarize our financial liabilities that are carried at cost and measured at fair value on a non-recurring basis as of September 30, 2024, and December 31, 2023, by level within the fair value hierarchy.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2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Measurement at September 30, 2024</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7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Borders>
              <w:top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187,104</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187,382</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187,382</w:t>
            </w:r>
          </w:p>
        </w:tc>
        <w:tc>
          <w:tcPr>
            <w:tcW w:w="0" w:type="dxa"/>
            <w:vAlign w:val="bottom"/>
          </w:tcPr>
          <w:p>
            <w:pPr>
              <w:spacing w:after="0"/>
              <w:rPr>
                <w:sz w:val="1"/>
                <w:szCs w:val="1"/>
                <w:color w:val="auto"/>
              </w:rPr>
            </w:pPr>
          </w:p>
        </w:tc>
      </w:tr>
      <w:tr>
        <w:trPr>
          <w:trHeight w:val="189"/>
        </w:trPr>
        <w:tc>
          <w:tcPr>
            <w:tcW w:w="3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27,913</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60" w:type="dxa"/>
            <w:vAlign w:val="bottom"/>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189"/>
        </w:trPr>
        <w:tc>
          <w:tcPr>
            <w:tcW w:w="35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215,017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215,153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215,153</w:t>
            </w:r>
          </w:p>
        </w:tc>
        <w:tc>
          <w:tcPr>
            <w:tcW w:w="0" w:type="dxa"/>
            <w:vAlign w:val="bottom"/>
          </w:tcPr>
          <w:p>
            <w:pPr>
              <w:spacing w:after="0"/>
              <w:rPr>
                <w:sz w:val="1"/>
                <w:szCs w:val="1"/>
                <w:color w:val="auto"/>
              </w:rPr>
            </w:pPr>
          </w:p>
        </w:tc>
      </w:tr>
      <w:tr>
        <w:trPr>
          <w:trHeight w:val="601"/>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5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8"/>
                <w:szCs w:val="18"/>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60" w:type="dxa"/>
            <w:vAlign w:val="bottom"/>
            <w:tcBorders>
              <w:top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181,801</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1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148,325</w:t>
            </w:r>
          </w:p>
        </w:tc>
        <w:tc>
          <w:tcPr>
            <w:tcW w:w="0" w:type="dxa"/>
            <w:vAlign w:val="bottom"/>
          </w:tcPr>
          <w:p>
            <w:pPr>
              <w:spacing w:after="0"/>
              <w:rPr>
                <w:sz w:val="1"/>
                <w:szCs w:val="1"/>
                <w:color w:val="auto"/>
              </w:rPr>
            </w:pPr>
          </w:p>
        </w:tc>
      </w:tr>
      <w:tr>
        <w:trPr>
          <w:trHeight w:val="189"/>
        </w:trPr>
        <w:tc>
          <w:tcPr>
            <w:tcW w:w="35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28,499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60" w:type="dxa"/>
            <w:vAlign w:val="bottom"/>
            <w:gridSpan w:val="2"/>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27,832</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210,300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ind w:left="8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176,157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are presented before any deduction for deferred financing costs.</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to estimate the fair value of our financial assets and liabilities. There have been no changes in the methodologies used as of September 30, 2024, and December 31, 2023.</w:t>
      </w:r>
    </w:p>
    <w:p>
      <w:pPr>
        <w:spacing w:after="0" w:line="23"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investments in marketable securities primarily consist of investments associated with the ownership of marketable securities in 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Zealand. These investments are valued based on observable market quotes on the last trading date of the reporting period.</w:t>
      </w:r>
    </w:p>
    <w:p>
      <w:pPr>
        <w:spacing w:after="0" w:line="32"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derivative financial instruments are valued based on discounted cash flow models that incorporate observable inputs such as interest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yield curves from the derivative counterparties. The credit valuation adjustments associated with our non-performance risk and counterparty credit risk are incorporated in the fair value estimates of our derivatives. As of September 30, 2024, and December 31, 2023, we concluded that the credit valuation adjustments were not significant to the overall valuation of our derivatives.</w:t>
      </w:r>
    </w:p>
    <w:p>
      <w:pPr>
        <w:spacing w:after="0" w:line="59"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borrowings include our secured and unsecured notes payable, trust preferred securities and other debt instruments. The borrowings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Company’s financial instruments also include cash, cash equivalents, receivables and accounts payable. The carrying values of these financial instruments approximate the fair values due to their short maturities. Additionally, there were no transfers of assets and liabilities between levels 1, 2, or 3 during the quarter and nine months ended September 30, 2024, and September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amended our Bank of America credit facility to defer the monthly principal payments required in October, November and December, to the end of 2024.</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October 2024, we obtained two further six month extensions for our loan with Valley National, the first of which we exercised. The loan now carries an interest rate of 5.0% above monthly SOFR, with a floor of 7.50%, and includes provisions for a prepaid interest reserve. In connection with these extensions, we have increased our cash deposit with Valley National Bank by $500,000 to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This MD&amp;A should be read in conjunction with the accompanying unaudited consolidated financial statements included in Part I, Item 1 (Financial Statements). The foregoing discussions and</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color w:val="auto"/>
        </w:rPr>
        <w:t>analyses contain certain forward-looking statements. Please refer to the “Cautionary Statement Regarding Forward-Looking Statements” included at the conclusion of this section and our “Risk Factors” set forth in our 2023 Form 10-K, Part 1 – Financial Information, Item 1A and the Risk Factors set out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Management’s Discussion and Analysis (“MD&amp;A”) of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MD&amp;A should be read in conjunction with our consolidated financial statements and related notes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Issued Consolidated Financial Statements</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We have restated our unaudited consolidated financial statements as of September 30, 2024 and for the three and nine months ended September 30, 2024 contained within this Amendment. Refer to the Explanatory Note for background on the restatement, the interim periods impacted, internal control considerations, and other information. As a result, the previously reported financial information for the three and nine months ended September 30, 2024 in this Item 2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has been updated to reflect the relevant restatements. See Note 1 </w:t>
      </w:r>
      <w:r>
        <w:rPr>
          <w:rFonts w:ascii="Times New Roman" w:cs="Times New Roman" w:eastAsia="Times New Roman" w:hAnsi="Times New Roman"/>
          <w:sz w:val="18"/>
          <w:szCs w:val="18"/>
          <w:i w:val="1"/>
          <w:iCs w:val="1"/>
          <w:color w:val="auto"/>
        </w:rPr>
        <w:t>Restatement of Previously issued Consolidated Financial Statements</w:t>
      </w:r>
      <w:r>
        <w:rPr>
          <w:rFonts w:ascii="Times New Roman" w:cs="Times New Roman" w:eastAsia="Times New Roman" w:hAnsi="Times New Roman"/>
          <w:sz w:val="18"/>
          <w:szCs w:val="18"/>
          <w:color w:val="auto"/>
        </w:rPr>
        <w:t xml:space="preserve"> in Item 1 –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 related to the restatement, including descriptions of the adjustments and the impacts on our consolidated financial statements.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the effect of the restatement, this section has not been otherwise modified and does not reflect any information or events occurring after November 14, 2024, the filing date of the Original 10-Q Report, or modify or update those disclosures affected by events that occurred at a later date or facts that subsequently became known to the Company, except to the extent they are otherwise required to be included and discussed herein.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Overview &amp; Updates</w:t>
      </w:r>
    </w:p>
    <w:p>
      <w:pPr>
        <w:spacing w:after="0" w:line="1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While our performance this quarter was not as strong as we had anticipated, especially in comparison to the third quarter of 2023, we remain optimistic about the direction of our cinema business and the cinema industry as a whole. Presales to date for </w:t>
      </w:r>
      <w:r>
        <w:rPr>
          <w:rFonts w:ascii="Times New Roman" w:cs="Times New Roman" w:eastAsia="Times New Roman" w:hAnsi="Times New Roman"/>
          <w:sz w:val="18"/>
          <w:szCs w:val="18"/>
          <w:i w:val="1"/>
          <w:iCs w:val="1"/>
          <w:color w:val="auto"/>
        </w:rPr>
        <w:t>Wicked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Moana 2</w:t>
      </w:r>
      <w:r>
        <w:rPr>
          <w:rFonts w:ascii="Times New Roman" w:cs="Times New Roman" w:eastAsia="Times New Roman" w:hAnsi="Times New Roman"/>
          <w:sz w:val="18"/>
          <w:szCs w:val="18"/>
          <w:color w:val="auto"/>
        </w:rPr>
        <w:t xml:space="preserve">, which open in November 2024 are strong and we have high expectations for </w:t>
      </w:r>
      <w:r>
        <w:rPr>
          <w:rFonts w:ascii="Times New Roman" w:cs="Times New Roman" w:eastAsia="Times New Roman" w:hAnsi="Times New Roman"/>
          <w:sz w:val="18"/>
          <w:szCs w:val="18"/>
          <w:i w:val="1"/>
          <w:iCs w:val="1"/>
          <w:color w:val="auto"/>
        </w:rPr>
        <w:t>Gladiator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Mufasa: The Lion King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Sonic the Hedgehog 3,</w:t>
      </w:r>
      <w:r>
        <w:rPr>
          <w:rFonts w:ascii="Times New Roman" w:cs="Times New Roman" w:eastAsia="Times New Roman" w:hAnsi="Times New Roman"/>
          <w:sz w:val="18"/>
          <w:szCs w:val="18"/>
          <w:color w:val="auto"/>
        </w:rPr>
        <w:t xml:space="preserve"> each of which open in December 2024. As we think about the future of the cinema industry, we are encouraged about the long term prospects of the cinema industry for a variety of reasons, including</w:t>
      </w:r>
    </w:p>
    <w:p>
      <w:pPr>
        <w:spacing w:after="0" w:line="3" w:lineRule="exact"/>
        <w:rPr>
          <w:sz w:val="20"/>
          <w:szCs w:val="20"/>
          <w:color w:val="auto"/>
        </w:rPr>
      </w:pPr>
    </w:p>
    <w:p>
      <w:pPr>
        <w:jc w:val="both"/>
        <w:ind w:firstLine="8"/>
        <w:spacing w:after="0" w:line="229"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movie release schedule from 2025 to 2027 reflects an increase in quality tentpole movies, (ii) more content is being released catering to niche cinema audiences, such as faith-based movies and concert films, (iii) major studios and distributors, including streaming platforms like Amazon, Apple TV, and Netflix, are adding a cinema exhibition leg to their overall distribution plan as they recognize the economic value of the theatrical release window, not only for driving box office revenues, but also for promoting and distinguishing their films from other content available on their platforms, and (iv) the success of certain highly anticipated and well-marketed films has shown that audiences are willing to return to cinemas, with attendance levels on a per film basis rivaling those of pre-pandemic blockbusters.</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reduced our operating costs by neither renewing nor extending our leases at five (5) underperforming locations (three in Hawaii, one in California and one in Texas). The reduction in our cinema count has, however, negatively impacted our gross revenues. We have been working to re-negotiate leases at our continuing U.S. cinemas to either reduce occupancy or to convert fixed rent to percentage rent, thus better aligning our landlord's interests with our own.</w:t>
      </w:r>
    </w:p>
    <w:p>
      <w:pPr>
        <w:spacing w:after="0" w:line="15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With respect to our real estate segment, our Australian real estate operations continue to perform well, when measured in local currency. However, while the exchange rates for the Australian dollar have improved marginally in the third quarter 2024 as reflected above, the contribution of the Australian real estate operations to our financial performance for the nine-month period ended September 30, 2024 has been adversely impacted by the generally downward trend in exchange rates. And, recognizing our reduced need for administrative space, in 2024, we streamlined operations by selling our administrative building in Culver City, California, generating $1.2 million in cash after settling mortgages, brokerage fees, and transactional costs. Further, we anticipate that this sale will save us around $1.5 million in operating and holding costs through the end of 2025. Currently, we are managing our California operations remotely while we search for a more affordable, appropriately sized space for relocation.</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current macroeconomic situations such as inflation, interest rates, labor cost increases and the relatively low exchange value of the Australian and New Zealand dollars have continued to be obstacles that our cinema operations and the entire cinema industry continues to navigate, and have adversely impacted our global cinema segment: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Cinema patronage levels have not yet returned to pre-pandemic levels;</w:t>
      </w:r>
    </w:p>
    <w:p>
      <w:pPr>
        <w:spacing w:after="0" w:line="2" w:lineRule="exact"/>
        <w:rPr>
          <w:sz w:val="20"/>
          <w:szCs w:val="20"/>
          <w:color w:val="auto"/>
        </w:rPr>
      </w:pPr>
    </w:p>
    <w:p>
      <w:pPr>
        <w:jc w:val="center"/>
        <w:ind w:left="980"/>
        <w:spacing w:after="0" w:line="243" w:lineRule="auto"/>
        <w:rPr>
          <w:sz w:val="20"/>
          <w:szCs w:val="20"/>
          <w:color w:val="auto"/>
        </w:rPr>
      </w:pPr>
      <w:r>
        <w:rPr>
          <w:rFonts w:ascii="Times New Roman" w:cs="Times New Roman" w:eastAsia="Times New Roman" w:hAnsi="Times New Roman"/>
          <w:sz w:val="18"/>
          <w:szCs w:val="18"/>
          <w:color w:val="auto"/>
        </w:rPr>
        <w:t>Inflationary pressures, ongoing supply chain issues, mandatory minimum wage increases and increases in benefits, increased operating expenses all arising post-pandemic continue to push up our variable costs while we encounter consumer resistance to higher ticket prices;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ind w:left="980"/>
        <w:spacing w:after="0" w:line="232" w:lineRule="auto"/>
        <w:rPr>
          <w:sz w:val="20"/>
          <w:szCs w:val="20"/>
          <w:color w:val="auto"/>
        </w:rPr>
      </w:pPr>
      <w:r>
        <w:rPr>
          <w:rFonts w:ascii="Times New Roman" w:cs="Times New Roman" w:eastAsia="Times New Roman" w:hAnsi="Times New Roman"/>
          <w:sz w:val="18"/>
          <w:szCs w:val="18"/>
          <w:color w:val="auto"/>
        </w:rPr>
        <w:t>Increased fixed costs for third party cinema rents, some of which are increasing due to fixed rent escalations, some of which are fixed and some of which are adjusted by reference to changes in the cost-of-living index, which are exacerbated by having to also pay COVID-19 related rent deferrals for the periods of time when our operations were closed or restricted;</w:t>
      </w:r>
    </w:p>
    <w:p>
      <w:pPr>
        <w:ind w:left="980"/>
        <w:spacing w:after="0" w:line="226" w:lineRule="auto"/>
        <w:rPr>
          <w:sz w:val="20"/>
          <w:szCs w:val="20"/>
          <w:color w:val="auto"/>
        </w:rPr>
      </w:pPr>
      <w:r>
        <w:rPr>
          <w:rFonts w:ascii="Times New Roman" w:cs="Times New Roman" w:eastAsia="Times New Roman" w:hAnsi="Times New Roman"/>
          <w:sz w:val="18"/>
          <w:szCs w:val="18"/>
          <w:color w:val="auto"/>
        </w:rPr>
        <w:t>Since March 2022, reserve banks in the U.S., Australia and New Zealand have materially increased interest rates causing our cost of borrowing to increase materially. We are encouraged by (i) the U.S. Federal Reserve reducing interest rates by 50 basis points in September 2024 and by 25 basis points in November 2024 and (ii) the New Zealand Reserve Bank in October 2024 reducing interest rates by 50 basis points, with an indication that the market expects a further 75 basis point cut by the New Zealand Reserve Bank in November;</w:t>
      </w:r>
    </w:p>
    <w:p>
      <w:pPr>
        <w:spacing w:after="0" w:line="3" w:lineRule="exact"/>
        <w:rPr>
          <w:sz w:val="20"/>
          <w:szCs w:val="20"/>
          <w:color w:val="auto"/>
        </w:rPr>
      </w:pPr>
    </w:p>
    <w:p>
      <w:pPr>
        <w:ind w:left="980"/>
        <w:spacing w:after="0" w:line="224" w:lineRule="auto"/>
        <w:rPr>
          <w:sz w:val="20"/>
          <w:szCs w:val="20"/>
          <w:color w:val="auto"/>
        </w:rPr>
      </w:pPr>
      <w:r>
        <w:rPr>
          <w:rFonts w:ascii="Times New Roman" w:cs="Times New Roman" w:eastAsia="Times New Roman" w:hAnsi="Times New Roman"/>
          <w:sz w:val="18"/>
          <w:szCs w:val="18"/>
          <w:color w:val="auto"/>
        </w:rPr>
        <w:t>Also, while exchange rates for the Australian and New Zealand dollar have improved somewhat over the quarter ended September 30, 2024, exchange rates for the Australian and New Zealand currencies have generally decreased when compared to the U.S. Dollar, on a year-to-date basis; and</w:t>
      </w:r>
    </w:p>
    <w:p>
      <w:pPr>
        <w:ind w:left="660"/>
        <w:spacing w:after="0"/>
        <w:rPr>
          <w:sz w:val="20"/>
          <w:szCs w:val="20"/>
          <w:color w:val="auto"/>
        </w:rPr>
      </w:pPr>
      <w:r>
        <w:rPr>
          <w:rFonts w:ascii="Times New Roman" w:cs="Times New Roman" w:eastAsia="Times New Roman" w:hAnsi="Times New Roman"/>
          <w:sz w:val="18"/>
          <w:szCs w:val="18"/>
          <w:color w:val="auto"/>
        </w:rPr>
        <w:t>General market and economic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film exhibition industry has seen some notable movie titles initially slated for 2024 being postponed to 2025, including </w:t>
      </w:r>
      <w:r>
        <w:rPr>
          <w:rFonts w:ascii="Times New Roman" w:cs="Times New Roman" w:eastAsia="Times New Roman" w:hAnsi="Times New Roman"/>
          <w:sz w:val="18"/>
          <w:szCs w:val="18"/>
          <w:i w:val="1"/>
          <w:iCs w:val="1"/>
          <w:color w:val="auto"/>
        </w:rPr>
        <w:t>Captain America: Brave New</w:t>
      </w:r>
    </w:p>
    <w:p>
      <w:pPr>
        <w:spacing w:after="0" w:line="18"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i w:val="1"/>
          <w:iCs w:val="1"/>
          <w:color w:val="auto"/>
        </w:rPr>
        <w:t>World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Thunderbolts</w:t>
      </w:r>
      <w:r>
        <w:rPr>
          <w:rFonts w:ascii="Times New Roman" w:cs="Times New Roman" w:eastAsia="Times New Roman" w:hAnsi="Times New Roman"/>
          <w:sz w:val="18"/>
          <w:szCs w:val="18"/>
          <w:color w:val="auto"/>
        </w:rPr>
        <w:t>, Disney’s</w:t>
      </w:r>
      <w:r>
        <w:rPr>
          <w:rFonts w:ascii="Times New Roman" w:cs="Times New Roman" w:eastAsia="Times New Roman" w:hAnsi="Times New Roman"/>
          <w:sz w:val="18"/>
          <w:szCs w:val="18"/>
          <w:i w:val="1"/>
          <w:iCs w:val="1"/>
          <w:color w:val="auto"/>
        </w:rPr>
        <w:t xml:space="preserve"> Snow White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Mission: Impossible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SpongeBob SquarePants</w:t>
      </w:r>
      <w:r>
        <w:rPr>
          <w:rFonts w:ascii="Times New Roman" w:cs="Times New Roman" w:eastAsia="Times New Roman" w:hAnsi="Times New Roman"/>
          <w:sz w:val="18"/>
          <w:szCs w:val="18"/>
          <w:color w:val="auto"/>
        </w:rPr>
        <w:t>, and James Cameron’s eagerly awaited</w:t>
      </w:r>
      <w:r>
        <w:rPr>
          <w:rFonts w:ascii="Times New Roman" w:cs="Times New Roman" w:eastAsia="Times New Roman" w:hAnsi="Times New Roman"/>
          <w:sz w:val="18"/>
          <w:szCs w:val="18"/>
          <w:i w:val="1"/>
          <w:iCs w:val="1"/>
          <w:color w:val="auto"/>
        </w:rPr>
        <w:t xml:space="preserve"> Avatar </w:t>
      </w:r>
      <w:r>
        <w:rPr>
          <w:rFonts w:ascii="Times New Roman" w:cs="Times New Roman" w:eastAsia="Times New Roman" w:hAnsi="Times New Roman"/>
          <w:sz w:val="18"/>
          <w:szCs w:val="18"/>
          <w:color w:val="auto"/>
        </w:rPr>
        <w:t>sequel,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while negatively impacting our current year, we anticipate will make for a positive effect on the 2025 movie slate.</w:t>
      </w:r>
    </w:p>
    <w:p>
      <w:pPr>
        <w:spacing w:after="0" w:line="15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third quarter of 2024 did have some impressive movie releases such as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Beetlejuice Beetlejuice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 Ends with Us</w:t>
      </w:r>
      <w:r>
        <w:rPr>
          <w:rFonts w:ascii="Times New Roman" w:cs="Times New Roman" w:eastAsia="Times New Roman" w:hAnsi="Times New Roman"/>
          <w:sz w:val="18"/>
          <w:szCs w:val="18"/>
          <w:color w:val="auto"/>
        </w:rPr>
        <w:t>. The third quarter of 2024 was also helped by the steady success of</w:t>
      </w:r>
      <w:r>
        <w:rPr>
          <w:rFonts w:ascii="Times New Roman" w:cs="Times New Roman" w:eastAsia="Times New Roman" w:hAnsi="Times New Roman"/>
          <w:sz w:val="18"/>
          <w:szCs w:val="18"/>
          <w:i w:val="1"/>
          <w:iCs w:val="1"/>
          <w:color w:val="auto"/>
        </w:rPr>
        <w:t xml:space="preserve"> Inside Out 2</w:t>
      </w:r>
      <w:r>
        <w:rPr>
          <w:rFonts w:ascii="Times New Roman" w:cs="Times New Roman" w:eastAsia="Times New Roman" w:hAnsi="Times New Roman"/>
          <w:sz w:val="18"/>
          <w:szCs w:val="18"/>
          <w:color w:val="auto"/>
        </w:rPr>
        <w:t>, which is now the highest grossing animated movie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worldwide.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led the way for the third quarter (global box office to date $1.3 billion), along with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xml:space="preserve"> (global box office to date of $969 million),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xml:space="preserve"> (global box office to date of almost $371 million), and the recently released </w:t>
      </w:r>
      <w:r>
        <w:rPr>
          <w:rFonts w:ascii="Times New Roman" w:cs="Times New Roman" w:eastAsia="Times New Roman" w:hAnsi="Times New Roman"/>
          <w:sz w:val="18"/>
          <w:szCs w:val="18"/>
          <w:i w:val="1"/>
          <w:iCs w:val="1"/>
          <w:color w:val="auto"/>
        </w:rPr>
        <w:t>Beetlejuice Beetlejuice</w:t>
      </w:r>
      <w:r>
        <w:rPr>
          <w:rFonts w:ascii="Times New Roman" w:cs="Times New Roman" w:eastAsia="Times New Roman" w:hAnsi="Times New Roman"/>
          <w:sz w:val="18"/>
          <w:szCs w:val="18"/>
          <w:color w:val="auto"/>
        </w:rPr>
        <w:t xml:space="preserve"> (global box office to date of $451 million). Surprisingly, the independent film, </w:t>
      </w:r>
      <w:r>
        <w:rPr>
          <w:rFonts w:ascii="Times New Roman" w:cs="Times New Roman" w:eastAsia="Times New Roman" w:hAnsi="Times New Roman"/>
          <w:sz w:val="18"/>
          <w:szCs w:val="18"/>
          <w:i w:val="1"/>
          <w:iCs w:val="1"/>
          <w:color w:val="auto"/>
        </w:rPr>
        <w:t>Longlegs</w:t>
      </w:r>
      <w:r>
        <w:rPr>
          <w:rFonts w:ascii="Times New Roman" w:cs="Times New Roman" w:eastAsia="Times New Roman" w:hAnsi="Times New Roman"/>
          <w:sz w:val="18"/>
          <w:szCs w:val="18"/>
          <w:color w:val="auto"/>
        </w:rPr>
        <w:t xml:space="preserve">, performed better than expected at the box office grossing $126 million worldwide. While these titles helped uplift the third quarter’s grosses, they were released late in the quarter and, as a result, were not enough to boost the third quarter of 2024’s grosses to the same level or higher than that of the third quarter of 2023. In addition, our specialty cinemas in the U.S. did not perform as well in the third quarter 2024 compared to the same period in 2023 when movies like </w:t>
      </w:r>
      <w:r>
        <w:rPr>
          <w:rFonts w:ascii="Times New Roman" w:cs="Times New Roman" w:eastAsia="Times New Roman" w:hAnsi="Times New Roman"/>
          <w:sz w:val="18"/>
          <w:szCs w:val="18"/>
          <w:i w:val="1"/>
          <w:iCs w:val="1"/>
          <w:color w:val="auto"/>
        </w:rPr>
        <w:t>Past Lives, Bottoms, Theater Camp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Asteroid City</w:t>
      </w:r>
      <w:r>
        <w:rPr>
          <w:rFonts w:ascii="Times New Roman" w:cs="Times New Roman" w:eastAsia="Times New Roman" w:hAnsi="Times New Roman"/>
          <w:sz w:val="18"/>
          <w:szCs w:val="18"/>
          <w:color w:val="auto"/>
        </w:rPr>
        <w:t xml:space="preserve"> were in release, in addition to two key New York City engagements of </w:t>
      </w:r>
      <w:r>
        <w:rPr>
          <w:rFonts w:ascii="Times New Roman" w:cs="Times New Roman" w:eastAsia="Times New Roman" w:hAnsi="Times New Roman"/>
          <w:sz w:val="18"/>
          <w:szCs w:val="18"/>
          <w:i w:val="1"/>
          <w:iCs w:val="1"/>
          <w:color w:val="auto"/>
        </w:rPr>
        <w:t>Oppenheimer</w:t>
      </w:r>
      <w:r>
        <w:rPr>
          <w:rFonts w:ascii="Times New Roman" w:cs="Times New Roman" w:eastAsia="Times New Roman" w:hAnsi="Times New Roman"/>
          <w:sz w:val="18"/>
          <w:szCs w:val="18"/>
          <w:color w:val="auto"/>
        </w:rPr>
        <w:t xml:space="preserve"> in 70mm projection.</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2024 remaining film lineup looks robust, and features some highly anticipated releases, which are expected to continue driving audiences to our big screens. These films include: </w:t>
      </w:r>
      <w:r>
        <w:rPr>
          <w:rFonts w:ascii="Times New Roman" w:cs="Times New Roman" w:eastAsia="Times New Roman" w:hAnsi="Times New Roman"/>
          <w:sz w:val="18"/>
          <w:szCs w:val="18"/>
          <w:i w:val="1"/>
          <w:iCs w:val="1"/>
          <w:color w:val="auto"/>
        </w:rPr>
        <w:t>Wicked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Moana 2, Gladiator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Mufasa: The Lion King</w:t>
      </w:r>
      <w:r>
        <w:rPr>
          <w:rFonts w:ascii="Times New Roman" w:cs="Times New Roman" w:eastAsia="Times New Roman" w:hAnsi="Times New Roman"/>
          <w:sz w:val="18"/>
          <w:szCs w:val="18"/>
          <w:color w:val="auto"/>
        </w:rPr>
        <w:t xml:space="preserve">. On the specialty film side, while our specialty film slate is not as strong as it was in 2023, the releases for the remainder of 2024 are promising. Films such as </w:t>
      </w:r>
      <w:r>
        <w:rPr>
          <w:rFonts w:ascii="Times New Roman" w:cs="Times New Roman" w:eastAsia="Times New Roman" w:hAnsi="Times New Roman"/>
          <w:sz w:val="18"/>
          <w:szCs w:val="18"/>
          <w:i w:val="1"/>
          <w:iCs w:val="1"/>
          <w:color w:val="auto"/>
        </w:rPr>
        <w:t>Anora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Conclave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Nickel Boys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Complete Unknown,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September 5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Nosferatu </w:t>
      </w:r>
      <w:r>
        <w:rPr>
          <w:rFonts w:ascii="Times New Roman" w:cs="Times New Roman" w:eastAsia="Times New Roman" w:hAnsi="Times New Roman"/>
          <w:sz w:val="18"/>
          <w:szCs w:val="18"/>
          <w:color w:val="auto"/>
        </w:rPr>
        <w:t>are either performing well right now or expect to be well received at the box office when they open later in 2024.</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are actively working with our landlords to manage our occupancy costs, which remain high relative to our current revenue levels. Recognizing the oversupply of cinemas in the U.S., we have been evaluating our U.S. holdings and plan to close underperforming locations where reasonable agreements with landlords cannot be reached. Since the start of fourth quarter 2022, we have chosen not to renew leases at three locations in Hawaii, one location in Texas, and one location in Northern California (all of which experienced negative cash flow at the theater level). While some of our U.S. landlords have initiated legal proceedings incident to these negotiations, we believe that we have tentatively reached revised lease agreements in each pending case, which are now being documented. While in the short term, cinema closures will have an impact on our gross revenue levels year-over-year, we anticipate that they will improve our longer term operating results and remain confident that such closures are in the best interests of our Company and our stockholders and that in the coming years, our cinema revenue will once again support our real estate development initiatives. Currently, we have one eight-screen cinema project in the pipeline in Australia.</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Additionally, we expect continued improvements to the operational performance of our cinemas as our global circuit steadily recovers. A key factor in this optimism is the ongoing expansion and enhancement of our Food and Beverage (F&amp;B) offerings. As of 2023, we are currently able to sell beer and wine in 100% of our U.S. cinemas, and liquor in all but three. We are actively pursuing licenses to offer liquor, along with beer and wine, at those remaining three locations. Looking ahead, we are committed to securing liquor licenses and enhancing our F&amp;B offerings across our circuits in Australia and New Zealand as well, reinforcing our dedication to elevating the cinema experience for our customers.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Box Office Improvements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The box office performance of certain films released in the third quarter of 2024 has illustrated resilience for the industry as a whole. As previously noted, sequel movies, such as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delivered stellar results. The Marvel sequel, </w:t>
      </w:r>
      <w:r>
        <w:rPr>
          <w:rFonts w:ascii="Times New Roman" w:cs="Times New Roman" w:eastAsia="Times New Roman" w:hAnsi="Times New Roman"/>
          <w:sz w:val="18"/>
          <w:szCs w:val="18"/>
          <w:i w:val="1"/>
          <w:iCs w:val="1"/>
          <w:color w:val="auto"/>
        </w:rPr>
        <w:t>Deadpool &amp; Wolverine</w:t>
      </w:r>
      <w:r>
        <w:rPr>
          <w:rFonts w:ascii="Times New Roman" w:cs="Times New Roman" w:eastAsia="Times New Roman" w:hAnsi="Times New Roman"/>
          <w:sz w:val="18"/>
          <w:szCs w:val="18"/>
          <w:color w:val="auto"/>
        </w:rPr>
        <w:t xml:space="preserve"> led the charge for released films this past quarter and quickly became the number one R rated movie of all time both domestically and worldwide</w:t>
      </w:r>
      <w:r>
        <w:rPr>
          <w:rFonts w:ascii="Times New Roman" w:cs="Times New Roman" w:eastAsia="Times New Roman" w:hAnsi="Times New Roman"/>
          <w:sz w:val="18"/>
          <w:szCs w:val="18"/>
          <w:i w:val="1"/>
          <w:iCs w:val="1"/>
          <w:color w:val="auto"/>
        </w:rPr>
        <w:t>. Inside Out 2</w:t>
      </w:r>
      <w:r>
        <w:rPr>
          <w:rFonts w:ascii="Times New Roman" w:cs="Times New Roman" w:eastAsia="Times New Roman" w:hAnsi="Times New Roman"/>
          <w:sz w:val="18"/>
          <w:szCs w:val="18"/>
          <w:color w:val="auto"/>
        </w:rPr>
        <w:t xml:space="preserve"> has soared to become the highest grossing animated movie of all time worldwide and continued its success into the third quarter. Another animated success that is continuing to generate revenue is </w:t>
      </w:r>
      <w:r>
        <w:rPr>
          <w:rFonts w:ascii="Times New Roman" w:cs="Times New Roman" w:eastAsia="Times New Roman" w:hAnsi="Times New Roman"/>
          <w:sz w:val="18"/>
          <w:szCs w:val="18"/>
          <w:i w:val="1"/>
          <w:iCs w:val="1"/>
          <w:color w:val="auto"/>
        </w:rPr>
        <w:t>Despicable Me 4</w:t>
      </w:r>
      <w:r>
        <w:rPr>
          <w:rFonts w:ascii="Times New Roman" w:cs="Times New Roman" w:eastAsia="Times New Roman" w:hAnsi="Times New Roman"/>
          <w:sz w:val="18"/>
          <w:szCs w:val="18"/>
          <w:color w:val="auto"/>
        </w:rPr>
        <w:t>, which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by producing just under $1 billion worldwide, brings the franchise’s collective revenue to over $5.6 billion worldwide. Also, </w:t>
      </w:r>
      <w:r>
        <w:rPr>
          <w:rFonts w:ascii="Times New Roman" w:cs="Times New Roman" w:eastAsia="Times New Roman" w:hAnsi="Times New Roman"/>
          <w:sz w:val="18"/>
          <w:szCs w:val="18"/>
          <w:i w:val="1"/>
          <w:iCs w:val="1"/>
          <w:color w:val="auto"/>
        </w:rPr>
        <w:t>Beetlejuice Beetlejuice</w:t>
      </w:r>
      <w:r>
        <w:rPr>
          <w:rFonts w:ascii="Times New Roman" w:cs="Times New Roman" w:eastAsia="Times New Roman" w:hAnsi="Times New Roman"/>
          <w:sz w:val="18"/>
          <w:szCs w:val="18"/>
          <w:color w:val="auto"/>
        </w:rPr>
        <w:t xml:space="preserve"> has become Warner Bros highest grossing domestic movie of 2024 and the overall fourth highest grossing movie of 2024.</w:t>
      </w:r>
    </w:p>
    <w:p>
      <w:pPr>
        <w:spacing w:after="0" w:line="14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success of these films has reinforced our confidence in the resilience of the global cinema industry, demonstrating its ability to withstand adversity, including rising operating costs, labor shortages, and shifting release schedules. Additionally, several standout releases from the third quarter of 2024 achieved significant milestones with </w:t>
      </w:r>
      <w:r>
        <w:rPr>
          <w:rFonts w:ascii="Times New Roman" w:cs="Times New Roman" w:eastAsia="Times New Roman" w:hAnsi="Times New Roman"/>
          <w:sz w:val="18"/>
          <w:szCs w:val="18"/>
          <w:i w:val="1"/>
          <w:iCs w:val="1"/>
          <w:color w:val="auto"/>
        </w:rPr>
        <w:t>Twisters</w:t>
      </w:r>
      <w:r>
        <w:rPr>
          <w:rFonts w:ascii="Times New Roman" w:cs="Times New Roman" w:eastAsia="Times New Roman" w:hAnsi="Times New Roman"/>
          <w:sz w:val="18"/>
          <w:szCs w:val="18"/>
          <w:color w:val="auto"/>
        </w:rPr>
        <w:t xml:space="preserve"> having the highest domestic opening weekend ever for a natural disaster film, while </w:t>
      </w:r>
      <w:r>
        <w:rPr>
          <w:rFonts w:ascii="Times New Roman" w:cs="Times New Roman" w:eastAsia="Times New Roman" w:hAnsi="Times New Roman"/>
          <w:sz w:val="18"/>
          <w:szCs w:val="18"/>
          <w:i w:val="1"/>
          <w:iCs w:val="1"/>
          <w:color w:val="auto"/>
        </w:rPr>
        <w:t>It Ends With Us</w:t>
      </w:r>
      <w:r>
        <w:rPr>
          <w:rFonts w:ascii="Times New Roman" w:cs="Times New Roman" w:eastAsia="Times New Roman" w:hAnsi="Times New Roman"/>
          <w:sz w:val="18"/>
          <w:szCs w:val="18"/>
          <w:color w:val="auto"/>
        </w:rPr>
        <w:t xml:space="preserve"> became the highest-grossing romantic drama since the 2018 hit, </w:t>
      </w:r>
      <w:r>
        <w:rPr>
          <w:rFonts w:ascii="Times New Roman" w:cs="Times New Roman" w:eastAsia="Times New Roman" w:hAnsi="Times New Roman"/>
          <w:sz w:val="18"/>
          <w:szCs w:val="18"/>
          <w:i w:val="1"/>
          <w:iCs w:val="1"/>
          <w:color w:val="auto"/>
        </w:rPr>
        <w:t>A Star is Born</w:t>
      </w:r>
      <w:r>
        <w:rPr>
          <w:rFonts w:ascii="Times New Roman" w:cs="Times New Roman" w:eastAsia="Times New Roman" w:hAnsi="Times New Roman"/>
          <w:sz w:val="18"/>
          <w:szCs w:val="18"/>
          <w:color w:val="auto"/>
        </w:rPr>
        <w:t xml:space="preserve">. As mentioned above, another Michael Keaton, reborn cult classic, </w:t>
      </w:r>
      <w:r>
        <w:rPr>
          <w:rFonts w:ascii="Times New Roman" w:cs="Times New Roman" w:eastAsia="Times New Roman" w:hAnsi="Times New Roman"/>
          <w:sz w:val="18"/>
          <w:szCs w:val="18"/>
          <w:i w:val="1"/>
          <w:iCs w:val="1"/>
          <w:color w:val="auto"/>
        </w:rPr>
        <w:t>Beetlejuice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Beetlejuice </w:t>
      </w:r>
      <w:r>
        <w:rPr>
          <w:rFonts w:ascii="Times New Roman" w:cs="Times New Roman" w:eastAsia="Times New Roman" w:hAnsi="Times New Roman"/>
          <w:sz w:val="18"/>
          <w:szCs w:val="18"/>
          <w:color w:val="auto"/>
        </w:rPr>
        <w:t>became the highest-grossing domestic film of the year for Warner Bros., surpassing</w:t>
      </w:r>
      <w:r>
        <w:rPr>
          <w:rFonts w:ascii="Times New Roman" w:cs="Times New Roman" w:eastAsia="Times New Roman" w:hAnsi="Times New Roman"/>
          <w:sz w:val="18"/>
          <w:szCs w:val="18"/>
          <w:i w:val="1"/>
          <w:iCs w:val="1"/>
          <w:color w:val="auto"/>
        </w:rPr>
        <w:t xml:space="preserve"> Dune: Part Two </w:t>
      </w:r>
      <w:r>
        <w:rPr>
          <w:rFonts w:ascii="Times New Roman" w:cs="Times New Roman" w:eastAsia="Times New Roman" w:hAnsi="Times New Roman"/>
          <w:sz w:val="18"/>
          <w:szCs w:val="18"/>
          <w:color w:val="auto"/>
        </w:rPr>
        <w:t>for the top spot. As we enter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we are ready to build on this momentum continuing another exciting movie lineup. We look forward to the diverse lineup of releases planned for the rest of 2024, including (i)</w:t>
      </w:r>
      <w:r>
        <w:rPr>
          <w:rFonts w:ascii="Times New Roman" w:cs="Times New Roman" w:eastAsia="Times New Roman" w:hAnsi="Times New Roman"/>
          <w:sz w:val="18"/>
          <w:szCs w:val="18"/>
          <w:i w:val="1"/>
          <w:iCs w:val="1"/>
          <w:color w:val="auto"/>
        </w:rPr>
        <w:t>Wicked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Moana 2, Gladiator 2, Mufasa: Lion King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Sonic the Hedgehog 3</w:t>
      </w:r>
      <w:r>
        <w:rPr>
          <w:rFonts w:ascii="Times New Roman" w:cs="Times New Roman" w:eastAsia="Times New Roman" w:hAnsi="Times New Roman"/>
          <w:sz w:val="18"/>
          <w:szCs w:val="18"/>
          <w:color w:val="auto"/>
        </w:rPr>
        <w:t xml:space="preserve"> and (ii) critically acclaimed films from specialty distributors, such as director John Crowley’s </w:t>
      </w:r>
      <w:r>
        <w:rPr>
          <w:rFonts w:ascii="Times New Roman" w:cs="Times New Roman" w:eastAsia="Times New Roman" w:hAnsi="Times New Roman"/>
          <w:sz w:val="18"/>
          <w:szCs w:val="18"/>
          <w:i w:val="1"/>
          <w:iCs w:val="1"/>
          <w:color w:val="auto"/>
        </w:rPr>
        <w:t>We Live in Time,</w:t>
      </w:r>
      <w:r>
        <w:rPr>
          <w:rFonts w:ascii="Times New Roman" w:cs="Times New Roman" w:eastAsia="Times New Roman" w:hAnsi="Times New Roman"/>
          <w:sz w:val="18"/>
          <w:szCs w:val="18"/>
          <w:color w:val="auto"/>
        </w:rPr>
        <w:t xml:space="preserve"> director RaMell Ross’ </w:t>
      </w:r>
      <w:r>
        <w:rPr>
          <w:rFonts w:ascii="Times New Roman" w:cs="Times New Roman" w:eastAsia="Times New Roman" w:hAnsi="Times New Roman"/>
          <w:sz w:val="18"/>
          <w:szCs w:val="18"/>
          <w:i w:val="1"/>
          <w:iCs w:val="1"/>
          <w:color w:val="auto"/>
        </w:rPr>
        <w:t>Nickel Boys,</w:t>
      </w:r>
      <w:r>
        <w:rPr>
          <w:rFonts w:ascii="Times New Roman" w:cs="Times New Roman" w:eastAsia="Times New Roman" w:hAnsi="Times New Roman"/>
          <w:sz w:val="18"/>
          <w:szCs w:val="18"/>
          <w:color w:val="auto"/>
        </w:rPr>
        <w:t xml:space="preserve"> director James Mangold’s </w:t>
      </w:r>
      <w:r>
        <w:rPr>
          <w:rFonts w:ascii="Times New Roman" w:cs="Times New Roman" w:eastAsia="Times New Roman" w:hAnsi="Times New Roman"/>
          <w:sz w:val="18"/>
          <w:szCs w:val="18"/>
          <w:i w:val="1"/>
          <w:iCs w:val="1"/>
          <w:color w:val="auto"/>
        </w:rPr>
        <w:t>A Complete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Unknown </w:t>
      </w:r>
      <w:r>
        <w:rPr>
          <w:rFonts w:ascii="Times New Roman" w:cs="Times New Roman" w:eastAsia="Times New Roman" w:hAnsi="Times New Roman"/>
          <w:sz w:val="18"/>
          <w:szCs w:val="18"/>
          <w:color w:val="auto"/>
        </w:rPr>
        <w:t>and director Robert Eggers’</w:t>
      </w:r>
      <w:r>
        <w:rPr>
          <w:rFonts w:ascii="Times New Roman" w:cs="Times New Roman" w:eastAsia="Times New Roman" w:hAnsi="Times New Roman"/>
          <w:sz w:val="18"/>
          <w:szCs w:val="18"/>
          <w:i w:val="1"/>
          <w:iCs w:val="1"/>
          <w:color w:val="auto"/>
        </w:rPr>
        <w:t xml:space="preserve"> Nosferatu</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Developments</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Regarding our United States real estate, during the first quarter of 2024, we sold our underutilized administrative office building in Culver City, California for $10.0 million.</w:t>
      </w:r>
    </w:p>
    <w:p>
      <w:pPr>
        <w:spacing w:after="0" w:line="14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Regarding our 44 Union Square property in New York City, we enlisted George Comfort &amp; Sons (</w:t>
      </w:r>
      <w:r>
        <w:rPr>
          <w:rFonts w:ascii="Times New Roman" w:cs="Times New Roman" w:eastAsia="Times New Roman" w:hAnsi="Times New Roman"/>
          <w:sz w:val="18"/>
          <w:szCs w:val="18"/>
          <w:u w:val="single" w:color="auto"/>
          <w:color w:val="0000FF"/>
        </w:rPr>
        <w:t>www.gcomfort.com</w:t>
      </w:r>
      <w:r>
        <w:rPr>
          <w:rFonts w:ascii="Times New Roman" w:cs="Times New Roman" w:eastAsia="Times New Roman" w:hAnsi="Times New Roman"/>
          <w:sz w:val="18"/>
          <w:szCs w:val="18"/>
          <w:color w:val="auto"/>
        </w:rPr>
        <w:t>) as our new leasing broker in the first quarter of 2024 to lead efforts in securing tenants for the remaining space. While the space was initially intended for office use, we are exploring a variety of alternative options beyond traditional office tenants. This shift is driven by the property's prime location in Union Square, the resurgence of foot traffic in the area, and the building’s strong branding potential, including short-term and special purpose uses. We believe that the Manhattan real estate market is improving. Compared to earlier periods in 2024, inquiries about rates and availability have increased over the last two months.</w:t>
      </w:r>
    </w:p>
    <w:p>
      <w:pPr>
        <w:jc w:val="both"/>
        <w:spacing w:after="0" w:line="234" w:lineRule="auto"/>
        <w:rPr>
          <w:sz w:val="20"/>
          <w:szCs w:val="20"/>
          <w:color w:val="auto"/>
        </w:rPr>
      </w:pPr>
      <w:r>
        <w:rPr>
          <w:rFonts w:ascii="Times New Roman" w:cs="Times New Roman" w:eastAsia="Times New Roman" w:hAnsi="Times New Roman"/>
          <w:sz w:val="18"/>
          <w:szCs w:val="18"/>
          <w:color w:val="auto"/>
        </w:rPr>
        <w:t>As of September 30, 2024, all of our tenants at our Australian and New Zealand properties were operational. While most of the retail spaces at our Courtenay Central location in New Zealand remain closed due to seismic concerns, one tenant is still open and conducting business. Additionally, one tenant is trading at our Wakefield property. Our open land areas in Wellington are also generating parking revenue.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Given our liquidity requirements, we have largely paused our real estate development projects. Our restricted capital expenditures in 2023 and through the majority of 2024 have primarily targeted improvements to our existing cinemas. To bolster our liquidity, the Company has listed for sale various assets, being our Newberry Yard property in Williamsport, Pennsylvania, as well as locations in (i) Townsville, Queensland, Australia, (ii) Wellington, New Zealand, and (iii) Rotorua, New Zealand. In each case where we are selling a cinema property, we intend to take back a lease of the cinema component.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an internationally diversified company principally focused on the development, ownership, and operation of entertainment and real estate assets in the United States, Australia, and New Zealand. Currently, we operate in two business segments: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Cinema exhibition, through our 60 cinemas as of September 30, 2024.</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 estate, including real estate development and the rental of retail, commercial, and live theatre assets.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It is evident that these two business segments complement and support each other. In the post-pandemic environment, we have increasingly depended on income from our real estate assets and leveraged the inherent value of those assets to navigate current industry and economic challenges. As the impact of ongoing macroeconomic challenges begins to settle and the movie release schedule improves in both quality and volume, attracting more moviegoers to our cinemas, we expect to once again rely on the cash flows generated by our cinema portfolio.</w:t>
      </w:r>
    </w:p>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While we remain confident in the long-term viability of the cinema industry, we acknowledge our upcoming liquidity needs arising from debt maturities and other factors. As a result, we have identified specific real estate assets for monetization and will consider additional properties if necessary to meet our liquidity requirements. We are confident that our two-pronged, diversified international business strategy will support the Company through these challenging times as we navigate the uncertainties and difficulties posed by recent macroeconomic conditions. Please refer to Note 4 – </w:t>
      </w:r>
      <w:r>
        <w:rPr>
          <w:rFonts w:ascii="Times New Roman" w:cs="Times New Roman" w:eastAsia="Times New Roman" w:hAnsi="Times New Roman"/>
          <w:sz w:val="18"/>
          <w:szCs w:val="18"/>
          <w:i w:val="1"/>
          <w:iCs w:val="1"/>
          <w:color w:val="auto"/>
        </w:rPr>
        <w:t>Liquidity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Impairment Assessment </w:t>
      </w:r>
      <w:r>
        <w:rPr>
          <w:rFonts w:ascii="Times New Roman" w:cs="Times New Roman" w:eastAsia="Times New Roman" w:hAnsi="Times New Roman"/>
          <w:sz w:val="18"/>
          <w:szCs w:val="18"/>
          <w:color w:val="auto"/>
        </w:rPr>
        <w:t>for more details.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Food and Beverage Spend Per Patron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key performance indicator utilized by management in our cinema segment is F&amp;B Spend Per Patron (“SPP”). This metric is calculated by dividing our post-tax F&amp;B Revenues by the number of cinema attendees during a specific period.</w:t>
      </w:r>
    </w:p>
    <w:p>
      <w:pPr>
        <w:spacing w:after="0" w:line="1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One of our strategic priorities has been to continue upgrading the F&amp;B menu at several of our global cinemas. As of September 30, 2024, we have a total of 38 theater locations with elevated F&amp;B menus (i.e. menus that are beyond traditional popcorn, soda, and candy). We use SPP to assess our F&amp;B performance compared to our competitors. While various factors like labor and cost of goods affect our F&amp;B profitability, SPP indicates our ability to maintain strong top-line performance. It also reflects our success in generating additional revenue by promoting and selling supplementary products to our customers during their visits. Furthermore, this metric helps us evaluate how well we differentiate our F&amp;B offerings from competitors. Management uses F&amp;B SPP to adjust pricing strategies, measure the effectiveness of marketing initiatives, optimize menu offerings, and ensure that prices remain accessible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wp:posOffset>
            </wp:positionV>
            <wp:extent cx="6172200" cy="1345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Average Ticket Price per Patron</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Another key performance indicator used by management in our cinema segment is Average Ticket Price (“ATP”) per Patron, which is calculated based on our total Box Office Revenues on a post-tax basis divided by our cinema attendance during a specific period. ATP measures our operational cinema performance when compared to that of our competitors. ATP is a useful metric for evaluating our ability to achieve a strong top-line performance, gauging the effectiveness of our cinemas’ pricing strategies and our ability to entice customers back to our theaters. Management uses ATP to adjust and inform ticket pricing schemes for our individual theaters, measures the effectiveness of our content programming, and ensures that price barriers are not created for our guests.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120650</wp:posOffset>
            </wp:positionV>
            <wp:extent cx="6172200" cy="1457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Key Performance Indicators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third quarter and nine months ended September 30, 2024 compared to the corresponding periods in 2023. As a matter of clarification, we have not included in our calculation of net rentable area available for lease any space that is closed for renovation or redevelopment (such as our Courtenay Central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122555</wp:posOffset>
            </wp:positionV>
            <wp:extent cx="6172200" cy="2014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case of our Live Theatres, with respect to key performance indicators, we primarily look to the live theater rental revenue and ancillary income from the theatres. This key performance indicator represents box office revenues less amounts paid to producers for license fee settlements, plus ancillary income earned by us from certain theater operations. Our live theater rental revenue and ancillary income for the third quarter of 2024 and 2023 are reflected in the chart below..</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Historically, in the case of our development properties (such as 44 Union Square in New York City) and our various international properties such as Newmarket Village in Australia, we have no specific key performance standards to compare performance from period to period. Rather we continue to analyze budgets and projections and compare actual results to budgeted or projected results from time to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Exhibition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worldwide cinema exhibition businesses through various subsidiaries under various brands: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U.S., under the Reading Cinemas, Consolidated Theatres and Angelika Film Center brands.</w:t>
      </w:r>
    </w:p>
    <w:p>
      <w:pPr>
        <w:spacing w:after="0" w:line="76" w:lineRule="exact"/>
        <w:rPr>
          <w:sz w:val="20"/>
          <w:szCs w:val="20"/>
          <w:color w:val="auto"/>
        </w:rPr>
      </w:pPr>
    </w:p>
    <w:p>
      <w:pPr>
        <w:ind w:left="660" w:right="1280"/>
        <w:spacing w:after="0" w:line="360" w:lineRule="auto"/>
        <w:rPr>
          <w:sz w:val="20"/>
          <w:szCs w:val="20"/>
          <w:color w:val="auto"/>
        </w:rPr>
      </w:pPr>
      <w:r>
        <w:rPr>
          <w:rFonts w:ascii="Times New Roman" w:cs="Times New Roman" w:eastAsia="Times New Roman" w:hAnsi="Times New Roman"/>
          <w:sz w:val="18"/>
          <w:szCs w:val="18"/>
          <w:color w:val="auto"/>
        </w:rPr>
        <w:t>in Australia, under the Reading Cinemas, Angelika, and, for our one unconsolidated joint venture theatre, Event Cinemas brands. in New Zealand, under the Reading Cinemas and our two unconsolidated joint venture theatres, Rialto Cinemas brands.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Shown in the following table are the number of locations and screens in our cinema circuit in each country, by state/territory/region, our cinema brands, and our interest in the underlying assets as of September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State / Territory /</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21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Interest in Asset</w:t>
            </w:r>
          </w:p>
        </w:tc>
        <w:tc>
          <w:tcPr>
            <w:tcW w:w="1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Cinema</w:t>
            </w: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Country</w:t>
            </w:r>
          </w:p>
        </w:tc>
        <w:tc>
          <w:tcPr>
            <w:tcW w:w="160" w:type="dxa"/>
            <w:vAlign w:val="bottom"/>
          </w:tcPr>
          <w:p>
            <w:pPr>
              <w:spacing w:after="0"/>
              <w:rPr>
                <w:sz w:val="14"/>
                <w:szCs w:val="14"/>
                <w:color w:val="auto"/>
              </w:rPr>
            </w:pPr>
          </w:p>
        </w:tc>
        <w:tc>
          <w:tcPr>
            <w:tcW w:w="2000" w:type="dxa"/>
            <w:vAlign w:val="bottom"/>
            <w:gridSpan w:val="2"/>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Region</w:t>
            </w:r>
          </w:p>
        </w:tc>
        <w:tc>
          <w:tcPr>
            <w:tcW w:w="98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Count(3)</w:t>
            </w:r>
          </w:p>
        </w:tc>
        <w:tc>
          <w:tcPr>
            <w:tcW w:w="9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Count</w:t>
            </w:r>
          </w:p>
        </w:tc>
        <w:tc>
          <w:tcPr>
            <w:tcW w:w="104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Leased</w:t>
            </w:r>
          </w:p>
        </w:tc>
        <w:tc>
          <w:tcPr>
            <w:tcW w:w="80" w:type="dxa"/>
            <w:vAlign w:val="bottom"/>
          </w:tcPr>
          <w:p>
            <w:pPr>
              <w:spacing w:after="0"/>
              <w:rPr>
                <w:sz w:val="14"/>
                <w:szCs w:val="14"/>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Pr>
          <w:p>
            <w:pPr>
              <w:spacing w:after="0"/>
              <w:rPr>
                <w:sz w:val="14"/>
                <w:szCs w:val="14"/>
                <w:color w:val="auto"/>
              </w:rPr>
            </w:pPr>
          </w:p>
        </w:tc>
        <w:tc>
          <w:tcPr>
            <w:tcW w:w="3280" w:type="dxa"/>
            <w:vAlign w:val="bottom"/>
          </w:tcPr>
          <w:p>
            <w:pPr>
              <w:ind w:left="1080"/>
              <w:spacing w:after="0" w:line="155" w:lineRule="exact"/>
              <w:rPr>
                <w:sz w:val="20"/>
                <w:szCs w:val="20"/>
                <w:color w:val="auto"/>
              </w:rPr>
            </w:pPr>
            <w:r>
              <w:rPr>
                <w:rFonts w:ascii="Times New Roman" w:cs="Times New Roman" w:eastAsia="Times New Roman" w:hAnsi="Times New Roman"/>
                <w:sz w:val="14"/>
                <w:szCs w:val="14"/>
                <w:b w:val="1"/>
                <w:bCs w:val="1"/>
                <w:color w:val="auto"/>
              </w:rPr>
              <w:t>Operating Brands</w:t>
            </w:r>
          </w:p>
        </w:tc>
        <w:tc>
          <w:tcPr>
            <w:tcW w:w="0" w:type="dxa"/>
            <w:vAlign w:val="bottom"/>
          </w:tcPr>
          <w:p>
            <w:pPr>
              <w:spacing w:after="0"/>
              <w:rPr>
                <w:sz w:val="1"/>
                <w:szCs w:val="1"/>
                <w:color w:val="auto"/>
              </w:rPr>
            </w:pPr>
          </w:p>
        </w:tc>
      </w:tr>
      <w:tr>
        <w:trPr>
          <w:trHeight w:val="162"/>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Hawaii</w:t>
            </w:r>
          </w:p>
        </w:tc>
        <w:tc>
          <w:tcPr>
            <w:tcW w:w="1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Theatres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California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York</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Texas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New Jersey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Virginia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shd w:val="clear" w:color="auto" w:fill="CCEEFF"/>
          </w:tcPr>
          <w:p>
            <w:pPr>
              <w:spacing w:after="0"/>
              <w:rPr>
                <w:sz w:val="14"/>
                <w:szCs w:val="14"/>
                <w:color w:val="auto"/>
              </w:rPr>
            </w:pPr>
          </w:p>
        </w:tc>
        <w:tc>
          <w:tcPr>
            <w:tcW w:w="216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Washington, D.C.</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4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Angelika Film Center</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U.S. Total</w:t>
            </w: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19</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193</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18</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1</w:t>
            </w:r>
          </w:p>
        </w:tc>
        <w:tc>
          <w:tcPr>
            <w:tcW w:w="16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Australia</w:t>
            </w:r>
          </w:p>
        </w:tc>
        <w:tc>
          <w:tcPr>
            <w:tcW w:w="216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Victoria</w:t>
            </w:r>
          </w:p>
        </w:tc>
        <w:tc>
          <w:tcPr>
            <w:tcW w:w="82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9</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62</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New South Wales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Queensland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3</w:t>
            </w:r>
          </w:p>
        </w:tc>
        <w:tc>
          <w:tcPr>
            <w:tcW w:w="344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Angelika Cinemas, Event Cinemas</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Western Australia</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South Australia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Tasmania</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 State Cinema by Angelika</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Australia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30</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226</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26</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New Zealand</w:t>
            </w:r>
          </w:p>
        </w:tc>
        <w:tc>
          <w:tcPr>
            <w:tcW w:w="21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color w:val="auto"/>
              </w:rPr>
              <w:t>Wellington</w:t>
            </w: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060" w:type="dxa"/>
            <w:vAlign w:val="bottom"/>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Otago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Auckland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4"/>
                <w:szCs w:val="14"/>
                <w:color w:val="auto"/>
              </w:rPr>
              <w:t>Reading Cinemas, Rialto Cinemas</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Canterbury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Southland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0</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Bay of Plenty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Hawke's Bay</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85"/>
              </w:rPr>
              <w:t>1</w:t>
            </w: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Reading Cinemas</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New Zealand Total</w:t>
            </w:r>
          </w:p>
        </w:tc>
        <w:tc>
          <w:tcPr>
            <w:tcW w:w="82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67</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Borders>
              <w:bottom w:val="single" w:sz="8" w:color="auto"/>
            </w:tcBorders>
            <w:shd w:val="clear" w:color="auto" w:fill="CCEEFF"/>
          </w:tcPr>
          <w:p>
            <w:pPr>
              <w:spacing w:after="0"/>
              <w:rPr>
                <w:sz w:val="13"/>
                <w:szCs w:val="13"/>
                <w:color w:val="auto"/>
              </w:rPr>
            </w:pPr>
          </w:p>
        </w:tc>
        <w:tc>
          <w:tcPr>
            <w:tcW w:w="3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GRAND TOTAL</w:t>
            </w: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60</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486</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51</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9</w:t>
            </w:r>
          </w:p>
        </w:tc>
        <w:tc>
          <w:tcPr>
            <w:tcW w:w="1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has a 33.3% unincorporated joint venture interest in a 16-screen cinema located in Mt. Gravatt, Queensland managed by Event Cinemas.</w:t>
      </w:r>
    </w:p>
    <w:p>
      <w:pPr>
        <w:spacing w:after="0" w:line="17" w:lineRule="exact"/>
        <w:rPr>
          <w:rFonts w:ascii="Times New Roman" w:cs="Times New Roman" w:eastAsia="Times New Roman" w:hAnsi="Times New Roman"/>
          <w:sz w:val="14"/>
          <w:szCs w:val="14"/>
          <w:color w:val="auto"/>
        </w:rPr>
      </w:pPr>
    </w:p>
    <w:p>
      <w:pPr>
        <w:ind w:left="660" w:hanging="328"/>
        <w:spacing w:after="0" w:line="239"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is a 50% joint venture partner in two New Zealand Rialto Cinemas, with a total of 13 screens. We are responsible for the booking of these cinemas and our joint venture partner, Event Cinemas, manages their day-to-day operations.</w:t>
      </w:r>
    </w:p>
    <w:p>
      <w:pPr>
        <w:spacing w:after="0" w:line="16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Our cinema revenues consist primarily of cinema ticket sales, F&amp;B sales, screen advertising, gift card sales, cinema rentals, and online convenience fee revenue generated by the sale of our cinema tickets through our websites and mobile apps. Cinema operating expenses consist of the costs directly attributable to the operation of the cinemas, including (i) film rent expense, (ii) operating costs, such as employment costs and utilities, and (iii) occupancy costs. Cinema revenues and certain expenses fluctuate with the availability of quality first run films and the number of weeks such first run films stay in the market. For a breakdown of our current cinema assets that we own and/or manage,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Additions and Pipeline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latest additions to our cinema portfolio as of September 30, 2024, were as follows:</w:t>
      </w:r>
    </w:p>
    <w:p>
      <w:pPr>
        <w:spacing w:after="0" w:line="2"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18"/>
          <w:szCs w:val="18"/>
          <w:i w:val="1"/>
          <w:iCs w:val="1"/>
          <w:u w:val="single" w:color="auto"/>
          <w:color w:val="auto"/>
        </w:rPr>
        <w:t>Armadale,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13, 2023, we took over an existing six-screen cinema in Armadale, Australia, a suburb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Perth in Western Australia.</w:t>
      </w:r>
    </w:p>
    <w:p>
      <w:pPr>
        <w:spacing w:after="0" w:line="156"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South City Square, Brisbane,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24, 2023, we launched our first-ever Angelika Cinemas outside of the United States at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Square in Woolloongabba, Brisbane. The location operates as an eight-screen complex, featuring elevated F&amp;B offerings (including alcoholic beverages), and recliner seating. Three of the auditoriums, known as Soho Lounge cinemas, offer table service.</w:t>
      </w:r>
    </w:p>
    <w:p>
      <w:pPr>
        <w:spacing w:after="0" w:line="154"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Busselton, Western Australia,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22, 2023, we opened a five-screen complex in the newly expanded Busselton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Centre precinct of Busselton, Western Australia. The state-of-the-art complex features a TITAN LUXE screen, elevated F&amp;B offerings, and recliner seating.</w:t>
      </w:r>
    </w:p>
    <w:p>
      <w:pPr>
        <w:spacing w:after="0" w:line="143"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Our Board has also authorized management to proceed with the negotiation of lease for one new state-of-the-art cinema, located in Noosa, Queensland, Australia.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Cinema Upgrades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2024, the upgrades to our cinema circuits’ film exhibition technology and amenities over the years are as summarized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Location  Count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Screen</w:t>
            </w:r>
          </w:p>
        </w:tc>
        <w:tc>
          <w:tcPr>
            <w:tcW w:w="0" w:type="dxa"/>
            <w:vAlign w:val="bottom"/>
          </w:tcPr>
          <w:p>
            <w:pPr>
              <w:spacing w:after="0"/>
              <w:rPr>
                <w:sz w:val="1"/>
                <w:szCs w:val="1"/>
                <w:color w:val="auto"/>
              </w:rPr>
            </w:pPr>
          </w:p>
        </w:tc>
      </w:tr>
      <w:tr>
        <w:trPr>
          <w:trHeight w:val="180"/>
        </w:trPr>
        <w:tc>
          <w:tcPr>
            <w:tcW w:w="84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w:t>
            </w:r>
          </w:p>
        </w:tc>
        <w:tc>
          <w:tcPr>
            <w:tcW w:w="0" w:type="dxa"/>
            <w:vAlign w:val="bottom"/>
          </w:tcPr>
          <w:p>
            <w:pPr>
              <w:spacing w:after="0"/>
              <w:rPr>
                <w:sz w:val="1"/>
                <w:szCs w:val="1"/>
                <w:color w:val="auto"/>
              </w:rPr>
            </w:pPr>
          </w:p>
        </w:tc>
      </w:tr>
      <w:tr>
        <w:trPr>
          <w:trHeight w:val="189"/>
        </w:trPr>
        <w:tc>
          <w:tcPr>
            <w:tcW w:w="84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Screen Format</w:t>
            </w:r>
          </w:p>
        </w:tc>
        <w:tc>
          <w:tcPr>
            <w:tcW w:w="1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Digital (all cinemas in our cinema circuit)</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486</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IMAX</w:t>
            </w:r>
          </w:p>
        </w:tc>
        <w:tc>
          <w:tcPr>
            <w:tcW w:w="13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84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TITAN XC and TITAN LUXE</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Dine-in Service</w:t>
            </w: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Gold Lounge (AU/NZ)</w:t>
            </w:r>
            <w:r>
              <w:rPr>
                <w:rFonts w:ascii="Times New Roman" w:cs="Times New Roman" w:eastAsia="Times New Roman" w:hAnsi="Times New Roman"/>
                <w:sz w:val="29"/>
                <w:szCs w:val="29"/>
                <w:color w:val="auto"/>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ind w:left="220"/>
              <w:spacing w:after="0" w:line="256" w:lineRule="exact"/>
              <w:rPr>
                <w:sz w:val="20"/>
                <w:szCs w:val="20"/>
                <w:color w:val="auto"/>
              </w:rPr>
            </w:pPr>
            <w:r>
              <w:rPr>
                <w:rFonts w:ascii="Times New Roman" w:cs="Times New Roman" w:eastAsia="Times New Roman" w:hAnsi="Times New Roman"/>
                <w:sz w:val="18"/>
                <w:szCs w:val="18"/>
                <w:color w:val="auto"/>
              </w:rPr>
              <w:t>Premium (AU/NZ)</w:t>
            </w:r>
            <w:r>
              <w:rPr>
                <w:rFonts w:ascii="Times New Roman" w:cs="Times New Roman" w:eastAsia="Times New Roman" w:hAnsi="Times New Roman"/>
                <w:sz w:val="29"/>
                <w:szCs w:val="29"/>
                <w:color w:val="auto"/>
                <w:vertAlign w:val="superscript"/>
              </w:rPr>
              <w:t>(2)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7"/>
        </w:trPr>
        <w:tc>
          <w:tcPr>
            <w:tcW w:w="840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Spotlight (U.S.)</w:t>
            </w:r>
            <w:r>
              <w:rPr>
                <w:rFonts w:ascii="Times New Roman" w:cs="Times New Roman" w:eastAsia="Times New Roman" w:hAnsi="Times New Roman"/>
                <w:sz w:val="29"/>
                <w:szCs w:val="29"/>
                <w:color w:val="auto"/>
                <w:vertAlign w:val="superscript"/>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Upgraded Food &amp; Beverage menu (U.S.)</w:t>
            </w:r>
            <w:r>
              <w:rPr>
                <w:rFonts w:ascii="Times New Roman" w:cs="Times New Roman" w:eastAsia="Times New Roman" w:hAnsi="Times New Roman"/>
                <w:sz w:val="29"/>
                <w:szCs w:val="29"/>
                <w:i w:val="1"/>
                <w:iCs w:val="1"/>
                <w:color w:val="auto"/>
                <w:vertAlign w:val="superscript"/>
              </w:rPr>
              <w:t>(4)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89"/>
        </w:trPr>
        <w:tc>
          <w:tcPr>
            <w:tcW w:w="840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Premium Seating (features recliner seating)</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198</w:t>
            </w:r>
          </w:p>
        </w:tc>
        <w:tc>
          <w:tcPr>
            <w:tcW w:w="0" w:type="dxa"/>
            <w:vAlign w:val="bottom"/>
          </w:tcPr>
          <w:p>
            <w:pPr>
              <w:spacing w:after="0"/>
              <w:rPr>
                <w:sz w:val="1"/>
                <w:szCs w:val="1"/>
                <w:color w:val="auto"/>
              </w:rPr>
            </w:pPr>
          </w:p>
        </w:tc>
      </w:tr>
      <w:tr>
        <w:trPr>
          <w:trHeight w:val="257"/>
        </w:trPr>
        <w:tc>
          <w:tcPr>
            <w:tcW w:w="8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i w:val="1"/>
                <w:iCs w:val="1"/>
                <w:color w:val="auto"/>
              </w:rPr>
              <w:t xml:space="preserve">Liquor Licenses </w:t>
            </w:r>
            <w:r>
              <w:rPr>
                <w:rFonts w:ascii="Times New Roman" w:cs="Times New Roman" w:eastAsia="Times New Roman" w:hAnsi="Times New Roman"/>
                <w:sz w:val="29"/>
                <w:szCs w:val="29"/>
                <w:i w:val="1"/>
                <w:iCs w:val="1"/>
                <w:color w:val="auto"/>
                <w:vertAlign w:val="superscript"/>
              </w:rPr>
              <w:t>(5)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60" w:right="20" w:hanging="328"/>
        <w:spacing w:after="0" w:line="244"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Gold Lounge</w:t>
      </w:r>
      <w:r>
        <w:rPr>
          <w:rFonts w:ascii="Times New Roman" w:cs="Times New Roman" w:eastAsia="Times New Roman" w:hAnsi="Times New Roman"/>
          <w:sz w:val="14"/>
          <w:szCs w:val="14"/>
          <w:color w:val="auto"/>
        </w:rPr>
        <w:t>: This is our "First Class Full Dine-in Service" in our Australian and New Zealand cinemas, which includes an upgraded F&amp;B menu (with alcoholic beverages), luxury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recliner seating features (intimate 25-50 seat cinemas) and waiter service.</w:t>
      </w:r>
    </w:p>
    <w:p>
      <w:pPr>
        <w:spacing w:after="0" w:line="1" w:lineRule="exact"/>
        <w:rPr>
          <w:rFonts w:ascii="Times New Roman" w:cs="Times New Roman" w:eastAsia="Times New Roman" w:hAnsi="Times New Roman"/>
          <w:sz w:val="14"/>
          <w:szCs w:val="14"/>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Premium Service</w:t>
      </w:r>
      <w:r>
        <w:rPr>
          <w:rFonts w:ascii="Times New Roman" w:cs="Times New Roman" w:eastAsia="Times New Roman" w:hAnsi="Times New Roman"/>
          <w:sz w:val="14"/>
          <w:szCs w:val="14"/>
          <w:color w:val="auto"/>
        </w:rPr>
        <w:t>: This is our "Business Class Dine-in Service" in our Australian and New Zealand cinemas, which typically includes upgraded F&amp;B menu (some with alcoholic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beverages) and may include luxury recliner seating features (less intimate 80-seat cinemas), but no waiter service.</w:t>
      </w:r>
    </w:p>
    <w:p>
      <w:pPr>
        <w:jc w:val="both"/>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Spotlight Service: </w:t>
      </w:r>
      <w:r>
        <w:rPr>
          <w:rFonts w:ascii="Times New Roman" w:cs="Times New Roman" w:eastAsia="Times New Roman" w:hAnsi="Times New Roman"/>
          <w:sz w:val="14"/>
          <w:szCs w:val="14"/>
          <w:color w:val="auto"/>
        </w:rPr>
        <w:t>Our first dine-in cinema concept in the U.S. at Reading Cinemas in Murrieta, California. Six of our 17 auditoriums at this cinema feature waiter service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movie begins with a full F&amp;B menu, luxury recliner seating, and laser focus on customer service. Our Spotlight service has been temporarily suspended since the initial COVID-19 shutdown.</w:t>
      </w:r>
    </w:p>
    <w:p>
      <w:pPr>
        <w:spacing w:after="0" w:line="137" w:lineRule="exact"/>
        <w:rPr>
          <w:rFonts w:ascii="Times New Roman" w:cs="Times New Roman" w:eastAsia="Times New Roman" w:hAnsi="Times New Roman"/>
          <w:sz w:val="14"/>
          <w:szCs w:val="14"/>
          <w:color w:val="auto"/>
        </w:rPr>
      </w:pPr>
    </w:p>
    <w:p>
      <w:pPr>
        <w:ind w:left="660" w:right="20" w:hanging="328"/>
        <w:spacing w:after="0" w:line="231"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Upgraded Food &amp; Beverage Menu</w:t>
      </w:r>
      <w:r>
        <w:rPr>
          <w:rFonts w:ascii="Times New Roman" w:cs="Times New Roman" w:eastAsia="Times New Roman" w:hAnsi="Times New Roman"/>
          <w:sz w:val="14"/>
          <w:szCs w:val="14"/>
          <w:color w:val="auto"/>
        </w:rPr>
        <w:t>: Features an elevated F&amp;B menu including a menu of locally inspired and freshly prepared items that go beyond traditional concessions,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have worked with former Food Network executives to create. The elevated menu also includes beer, wine and/or spirits at most of our locations.</w:t>
      </w:r>
    </w:p>
    <w:p>
      <w:pPr>
        <w:jc w:val="both"/>
        <w:ind w:left="660" w:hanging="328"/>
        <w:spacing w:after="0" w:line="239"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Liquor Licenses: </w:t>
      </w:r>
      <w:r>
        <w:rPr>
          <w:rFonts w:ascii="Times New Roman" w:cs="Times New Roman" w:eastAsia="Times New Roman" w:hAnsi="Times New Roman"/>
          <w:sz w:val="14"/>
          <w:szCs w:val="14"/>
          <w:color w:val="auto"/>
        </w:rPr>
        <w:t>Licenses are applicable at each cinema location, rather than each cinema auditorium. As of today, we (i) have licenses in 100% of our cinemas operating in the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sell beer and wine and (ii) we are working to add liquor to our licenses in our three New York City cinemas. In Australia, 83% of our cinemas are licensed and we have one liquor license pending. In New Zealand, 45% of our cinemas are licensed and we have no liquor licenses pending.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Enhancements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Renovation Work</w:t>
      </w:r>
      <w:r>
        <w:rPr>
          <w:rFonts w:ascii="Times New Roman" w:cs="Times New Roman" w:eastAsia="Times New Roman" w:hAnsi="Times New Roman"/>
          <w:sz w:val="18"/>
          <w:szCs w:val="18"/>
          <w:color w:val="auto"/>
        </w:rPr>
        <w:t>: As of September 30, 2024, we have converted 110 of our 193 U.S. auditoriums to luxury recliner seating. As of the date of this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we are continuing to engage in discussions with certain landlords in the U.S. about tenant allowances to upgrade certain U.S. cinemas.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 and New Zealand</w:t>
      </w:r>
    </w:p>
    <w:p>
      <w:pPr>
        <w:spacing w:after="0" w:line="266"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Other Cinema Upgrades</w:t>
      </w:r>
      <w:r>
        <w:rPr>
          <w:rFonts w:ascii="Times New Roman" w:cs="Times New Roman" w:eastAsia="Times New Roman" w:hAnsi="Times New Roman"/>
          <w:sz w:val="18"/>
          <w:szCs w:val="18"/>
          <w:color w:val="auto"/>
        </w:rPr>
        <w:t>: In addition, during the three-year period of 2021 to 2023, we improved our Reading Cinemas in Epping (VIC), Sunbury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 and the State Cinema (TAS) in Australia.</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remainder of 2024, we will continue to focus on the enhancement of our proprietary online ticketing and Food &amp; Beverage capabilities, together with improving and expanding our social media platforms and interfaces and the development of a paid subscription plan, plus the relaunching of our loyalty program in Australia and New Zealand. These are intended to enhance the convenience of our offerings and to promote guest affinity with the experiences and products we offer.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Closures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7, 2023, The Hutt Pop-Up in New Zealand was permanently closed due to the expiration of our lease for that location. We chose not to continue the cinema as it was only brought online as a “pop up” to address a temporary opening in the market. Since the fourth quarter of 2022, we have closed five cinema locations, all of which were loss makers: three in Hawaii, one in Northern California and one in Texas.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Overview</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Through our various subsidiaries, we engage in the real estate business through the development, ownership, rental or licensing to third parties of retail, commercial, and live theatre assets. Our real estate business is intended to create long-term value for our stockholders through the continuous improvement and development of our investment and operating properties, including our ETCs, and has, in recent times and will over the next 12 months, assist our liquidity needs through various asset monetizations. In addition to owning the fee interests in nine of our cinemas (as presented in the table under </w:t>
      </w:r>
      <w:r>
        <w:rPr>
          <w:rFonts w:ascii="Times New Roman" w:cs="Times New Roman" w:eastAsia="Times New Roman" w:hAnsi="Times New Roman"/>
          <w:sz w:val="18"/>
          <w:szCs w:val="18"/>
          <w:i w:val="1"/>
          <w:iCs w:val="1"/>
          <w:color w:val="auto"/>
        </w:rPr>
        <w:t>Cinema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Exhibition Overview</w:t>
      </w:r>
      <w:r>
        <w:rPr>
          <w:rFonts w:ascii="Times New Roman" w:cs="Times New Roman" w:eastAsia="Times New Roman" w:hAnsi="Times New Roman"/>
          <w:sz w:val="18"/>
          <w:szCs w:val="18"/>
          <w:color w:val="auto"/>
        </w:rPr>
        <w:t>), as of September 30, 2024, we:</w:t>
      </w:r>
    </w:p>
    <w:p>
      <w:pPr>
        <w:spacing w:after="0" w:line="161"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18"/>
          <w:szCs w:val="18"/>
          <w:color w:val="auto"/>
        </w:rPr>
        <w:t>own our 44 Union Square property in Manhattan comprised of retail and office space which is currently in the lease-up phase. The cellar, ground floor, and second floor of the building are now fully leased to Petco, which is in occupancy of its premises on a full rent paying basis;</w:t>
      </w:r>
    </w:p>
    <w:p>
      <w:pPr>
        <w:ind w:left="660" w:right="140"/>
        <w:spacing w:after="0" w:line="226" w:lineRule="auto"/>
        <w:rPr>
          <w:sz w:val="20"/>
          <w:szCs w:val="20"/>
          <w:color w:val="auto"/>
        </w:rPr>
      </w:pPr>
      <w:r>
        <w:rPr>
          <w:rFonts w:ascii="Times New Roman" w:cs="Times New Roman" w:eastAsia="Times New Roman" w:hAnsi="Times New Roman"/>
          <w:sz w:val="18"/>
          <w:szCs w:val="18"/>
          <w:color w:val="auto"/>
        </w:rPr>
        <w:t>own and operate two ETCs known as Newmarket Village (in a suburb of Brisbane) and the Belmont Common (in a suburb of Perth)in Australia; own and operate another ETC known as Cannon Park in Townsville, Australia, which is currently held for sale;</w:t>
      </w:r>
    </w:p>
    <w:p>
      <w:pPr>
        <w:spacing w:after="0" w:line="1" w:lineRule="exact"/>
        <w:rPr>
          <w:sz w:val="20"/>
          <w:szCs w:val="20"/>
          <w:color w:val="auto"/>
        </w:rPr>
      </w:pPr>
    </w:p>
    <w:p>
      <w:pPr>
        <w:ind w:left="660" w:firstLine="49"/>
        <w:spacing w:after="0" w:line="219" w:lineRule="auto"/>
        <w:rPr>
          <w:sz w:val="20"/>
          <w:szCs w:val="20"/>
          <w:color w:val="auto"/>
        </w:rPr>
      </w:pPr>
      <w:r>
        <w:rPr>
          <w:rFonts w:ascii="Times New Roman" w:cs="Times New Roman" w:eastAsia="Times New Roman" w:hAnsi="Times New Roman"/>
          <w:sz w:val="18"/>
          <w:szCs w:val="18"/>
          <w:color w:val="auto"/>
        </w:rPr>
        <w:t>own property assets in Wellington, New Zealand (including Courtenay Central , historically operated as an ETC), which are all currently held for sale;</w:t>
      </w:r>
    </w:p>
    <w:p>
      <w:pPr>
        <w:ind w:left="340"/>
        <w:spacing w:after="0" w:line="234" w:lineRule="auto"/>
        <w:rPr>
          <w:sz w:val="20"/>
          <w:szCs w:val="20"/>
          <w:color w:val="auto"/>
        </w:rPr>
      </w:pPr>
      <w:r>
        <w:rPr>
          <w:rFonts w:ascii="Times New Roman" w:cs="Times New Roman" w:eastAsia="Times New Roman" w:hAnsi="Times New Roman"/>
          <w:sz w:val="18"/>
          <w:szCs w:val="18"/>
          <w:color w:val="auto"/>
        </w:rPr>
        <w:t>own and operate our administrative office building in South Melbourne, Australia;</w:t>
      </w:r>
    </w:p>
    <w:p>
      <w:pPr>
        <w:ind w:left="660"/>
        <w:spacing w:after="0" w:line="226" w:lineRule="auto"/>
        <w:rPr>
          <w:sz w:val="20"/>
          <w:szCs w:val="20"/>
          <w:color w:val="auto"/>
        </w:rPr>
      </w:pPr>
      <w:r>
        <w:rPr>
          <w:rFonts w:ascii="Times New Roman" w:cs="Times New Roman" w:eastAsia="Times New Roman" w:hAnsi="Times New Roman"/>
          <w:sz w:val="18"/>
          <w:szCs w:val="18"/>
          <w:color w:val="auto"/>
        </w:rPr>
        <w:t>own and operate the fee interests in two developed commercial properties in Manhattan improved with live theatres comprised of a single stage in each location;</w:t>
      </w:r>
    </w:p>
    <w:p>
      <w:pPr>
        <w:spacing w:after="0" w:line="1" w:lineRule="exact"/>
        <w:rPr>
          <w:sz w:val="20"/>
          <w:szCs w:val="20"/>
          <w:color w:val="auto"/>
        </w:rPr>
      </w:pPr>
    </w:p>
    <w:p>
      <w:pPr>
        <w:ind w:left="660"/>
        <w:spacing w:after="0" w:line="219" w:lineRule="auto"/>
        <w:rPr>
          <w:sz w:val="20"/>
          <w:szCs w:val="20"/>
          <w:color w:val="auto"/>
        </w:rPr>
      </w:pPr>
      <w:r>
        <w:rPr>
          <w:rFonts w:ascii="Times New Roman" w:cs="Times New Roman" w:eastAsia="Times New Roman" w:hAnsi="Times New Roman"/>
          <w:sz w:val="18"/>
          <w:szCs w:val="18"/>
          <w:color w:val="auto"/>
        </w:rPr>
        <w:t>own a 75% managing member interest in a limited liability company which in turn owns the fee interest in and improvements constituting our Cinemas 1,2,3 located in Manhattan;</w:t>
      </w:r>
    </w:p>
    <w:p>
      <w:pPr>
        <w:ind w:left="340"/>
        <w:spacing w:after="0" w:line="234" w:lineRule="auto"/>
        <w:rPr>
          <w:sz w:val="20"/>
          <w:szCs w:val="20"/>
          <w:color w:val="auto"/>
        </w:rPr>
      </w:pPr>
      <w:r>
        <w:rPr>
          <w:rFonts w:ascii="Times New Roman" w:cs="Times New Roman" w:eastAsia="Times New Roman" w:hAnsi="Times New Roman"/>
          <w:sz w:val="18"/>
          <w:szCs w:val="18"/>
          <w:color w:val="auto"/>
        </w:rPr>
        <w:t>own an approximately 26.6-acre property in Williamsport, Pennsylvania, which is currently being held for sale; and</w:t>
      </w:r>
    </w:p>
    <w:p>
      <w:pPr>
        <w:ind w:left="660"/>
        <w:spacing w:after="0" w:line="233" w:lineRule="auto"/>
        <w:rPr>
          <w:sz w:val="20"/>
          <w:szCs w:val="20"/>
          <w:color w:val="auto"/>
        </w:rPr>
      </w:pPr>
      <w:r>
        <w:rPr>
          <w:rFonts w:ascii="Times New Roman" w:cs="Times New Roman" w:eastAsia="Times New Roman" w:hAnsi="Times New Roman"/>
          <w:sz w:val="18"/>
          <w:szCs w:val="18"/>
          <w:color w:val="auto"/>
        </w:rPr>
        <w:t>own approximately 201-acres principally in Pennsylvania from our legacy railroad business, including the Reading Viaduct in downtown Philadelphia.</w:t>
      </w:r>
    </w:p>
    <w:p>
      <w:pPr>
        <w:spacing w:after="0" w:line="7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 xml:space="preserve">For a breakdown of our real estate assets, made current by our discussion below, please refer to </w:t>
      </w:r>
      <w:r>
        <w:rPr>
          <w:rFonts w:ascii="Times New Roman" w:cs="Times New Roman" w:eastAsia="Times New Roman" w:hAnsi="Times New Roman"/>
          <w:sz w:val="18"/>
          <w:szCs w:val="18"/>
          <w:i w:val="1"/>
          <w:iCs w:val="1"/>
          <w:color w:val="auto"/>
        </w:rPr>
        <w:t>Part I, Item 1 – Our Business</w:t>
      </w:r>
      <w:r>
        <w:rPr>
          <w:rFonts w:ascii="Times New Roman" w:cs="Times New Roman" w:eastAsia="Times New Roman" w:hAnsi="Times New Roman"/>
          <w:sz w:val="18"/>
          <w:szCs w:val="18"/>
          <w:color w:val="auto"/>
        </w:rPr>
        <w:t xml:space="preserve"> of our 2023 Form 10-K. We now present a discussion of recent material developments.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Held for Development</w:t>
      </w:r>
    </w:p>
    <w:p>
      <w:pPr>
        <w:spacing w:after="0" w:line="16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combination of the COVID-19 pandemic, the lack of any material U.S. public pandemic financial assistance due to our public company status, the 2023 Hollywood Strike, increased interest rates, inflation, increased labor costs, and decreases in the value of the Australian Dollar and New Zealand Dollar vise a vise the U.S. Dollar,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monetized the following property assets:</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non-income producing land holdings in Coachella, California and Manukau, New Zealand;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Redyard ETC in Auburn, Australia;</w:t>
      </w:r>
    </w:p>
    <w:p>
      <w:pPr>
        <w:ind w:left="660" w:hanging="328"/>
        <w:spacing w:after="0" w:line="22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Royal George live theatre complex in Chicago (slated for redevelopment, and now being redeveloped for residential purposes by the new owner);</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underlying our cinema in Invercargill, New Zealand;</w:t>
      </w:r>
    </w:p>
    <w:p>
      <w:pPr>
        <w:ind w:left="660" w:hanging="328"/>
        <w:spacing w:after="0" w:line="23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non-competitive four-screen strata title cinema in Maitland, Australia;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administrative office building in Culver City, California.</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properties were identified for sale and sold in significant part because of (i) our need for liquidity due to the circumstances referred to above, (ii) the amount of capital required to materially increase their value in the immediate to mid-term, (iii) they were either non-income producing or provided immaterial cash flow and (iv) in the case of our Culver City office building, the property was not required for our operations because it exceeded our office size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continue to have the following properties classified as held for sale:</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underlying our cinema in Rotorua, New Zealand;</w:t>
      </w:r>
    </w:p>
    <w:p>
      <w:pPr>
        <w:spacing w:after="0" w:line="15"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approximately 3.7 acre five-parcel assemblage in the entertainment center of Wellington, New Zealand, which includes the Courtenay Central building;</w:t>
      </w:r>
    </w:p>
    <w:p>
      <w:pPr>
        <w:ind w:left="660" w:hanging="328"/>
        <w:spacing w:after="0" w:line="23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ETC properties in Townsville (QLD) in Australia known as Cannon Park; and</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approximately 24 acre Newberry Yard in Williamsport, Pennsylvania (also currently non-income producing).</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case of Rotorua, Courtenay Central and Cannon Park, if the potential buyer elects to have a cinema use on the property, we intend to lease back our existing Reading Cinema or a potentially new cinema, in the event the potential buyer elects to build a new cinema.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ind w:right="20"/>
        <w:spacing w:after="0" w:line="251" w:lineRule="auto"/>
        <w:rPr>
          <w:sz w:val="20"/>
          <w:szCs w:val="20"/>
          <w:color w:val="auto"/>
        </w:rPr>
      </w:pPr>
      <w:r>
        <w:rPr>
          <w:rFonts w:ascii="Times New Roman" w:cs="Times New Roman" w:eastAsia="Times New Roman" w:hAnsi="Times New Roman"/>
          <w:sz w:val="18"/>
          <w:szCs w:val="18"/>
          <w:color w:val="auto"/>
        </w:rPr>
        <w:t>Our remaining assets held for development include the Cinemas 1,2,3 in Manhattan, and our various historic railroad properties, the principal of these being our holding in downtown Philadelphia, which is discussed in greater detail below.</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8"/>
          <w:szCs w:val="18"/>
          <w:i w:val="1"/>
          <w:iCs w:val="1"/>
          <w:u w:val="single" w:color="auto"/>
          <w:color w:val="auto"/>
        </w:rPr>
        <w:t>44 Union Square Redevelopment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January 27, 2022, we finalized a long-term lease agreement with Petco,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occupancy of the cellar, ground floor, and second floor of the building, amounting to 42% of the leasable area. Petco commenced full-rent, cash-paying occupancy and officially opened its doors to the public on June 1, 2023. During mid-March 2024, we engaged George Comfort &amp; Sons as our exclusive leasing broker for the remaining space. Originally designated for office use, the property's striking presence in Union Square, coupled with the resurgence of foot traffic in the area, and its exceptional branding potential, prompt us to explore a spectrum of uses beyond traditional office tenants. This includes consideration for short-term and special-purpose arrangements. Also, we are advised by our broker that in the last two months there have been an increase in the number of inquiries regarding rates and availability compared to earlier periods in 2024.</w:t>
      </w:r>
    </w:p>
    <w:p>
      <w:pPr>
        <w:spacing w:after="0" w:line="268"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i w:val="1"/>
          <w:iCs w:val="1"/>
          <w:u w:val="single" w:color="auto"/>
          <w:color w:val="auto"/>
        </w:rPr>
        <w:t>Minetta Lane Theatre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Prior to the pandemic, our theater hosted Audible productions featuring a limited cast and special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performances streamed on the Audible platform. Public performances resumed on October 8, 2021, after an approximate 1.5-year hiatus due to the COVID-19 pandemic, during which we provided certain abatements. Audible has since resumed full operations and extended its license agreement with us through March 15, 2026, with an option to extend for an additional year.</w:t>
      </w:r>
    </w:p>
    <w:p>
      <w:pPr>
        <w:spacing w:after="0" w:line="346"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18"/>
          <w:szCs w:val="18"/>
          <w:i w:val="1"/>
          <w:iCs w:val="1"/>
          <w:u w:val="single" w:color="auto"/>
          <w:color w:val="auto"/>
        </w:rPr>
        <w:t>Orpheum Theatre (New York, N.Y.)</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Before COVID-19, our Orpheum Theatre was home to STOMP. While shows ceased from April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2021 due to the pandemic, performances afterward were intermittent. During this time, we provided certain abatements. STOMP concluded its 30-year run at our theater on January 8, 2023. Under our termination agreement, we retain the rights to host any future productions of the show. Following STOMP's departure, new productions such as </w:t>
      </w:r>
      <w:r>
        <w:rPr>
          <w:rFonts w:ascii="Times New Roman" w:cs="Times New Roman" w:eastAsia="Times New Roman" w:hAnsi="Times New Roman"/>
          <w:sz w:val="18"/>
          <w:szCs w:val="18"/>
          <w:i w:val="1"/>
          <w:iCs w:val="1"/>
          <w:color w:val="auto"/>
        </w:rPr>
        <w:t>The Empire Strips Back</w:t>
      </w:r>
      <w:r>
        <w:rPr>
          <w:rFonts w:ascii="Times New Roman" w:cs="Times New Roman" w:eastAsia="Times New Roman" w:hAnsi="Times New Roman"/>
          <w:sz w:val="18"/>
          <w:szCs w:val="18"/>
          <w:color w:val="auto"/>
        </w:rPr>
        <w:t xml:space="preserve"> and Comedian Rachel Bloom's </w:t>
      </w:r>
      <w:r>
        <w:rPr>
          <w:rFonts w:ascii="Times New Roman" w:cs="Times New Roman" w:eastAsia="Times New Roman" w:hAnsi="Times New Roman"/>
          <w:sz w:val="18"/>
          <w:szCs w:val="18"/>
          <w:i w:val="1"/>
          <w:iCs w:val="1"/>
          <w:color w:val="auto"/>
        </w:rPr>
        <w:t>Death, Let Me Do My Show</w:t>
      </w:r>
      <w:r>
        <w:rPr>
          <w:rFonts w:ascii="Times New Roman" w:cs="Times New Roman" w:eastAsia="Times New Roman" w:hAnsi="Times New Roman"/>
          <w:sz w:val="18"/>
          <w:szCs w:val="18"/>
          <w:color w:val="auto"/>
        </w:rPr>
        <w:t xml:space="preserve"> brought fresh excitement to audiences during 2023. During the first quarter of 2024, the Orpheum hosted Eddie Izzard’s </w:t>
      </w:r>
      <w:r>
        <w:rPr>
          <w:rFonts w:ascii="Times New Roman" w:cs="Times New Roman" w:eastAsia="Times New Roman" w:hAnsi="Times New Roman"/>
          <w:sz w:val="18"/>
          <w:szCs w:val="18"/>
          <w:i w:val="1"/>
          <w:iCs w:val="1"/>
          <w:color w:val="auto"/>
        </w:rPr>
        <w:t>Hamlet</w:t>
      </w:r>
      <w:r>
        <w:rPr>
          <w:rFonts w:ascii="Times New Roman" w:cs="Times New Roman" w:eastAsia="Times New Roman" w:hAnsi="Times New Roman"/>
          <w:sz w:val="18"/>
          <w:szCs w:val="18"/>
          <w:color w:val="auto"/>
        </w:rPr>
        <w:t xml:space="preserve"> which had a four-week run through April 14, 2024. And, on September 14, 2024 performances of </w:t>
      </w:r>
      <w:r>
        <w:rPr>
          <w:rFonts w:ascii="Times New Roman" w:cs="Times New Roman" w:eastAsia="Times New Roman" w:hAnsi="Times New Roman"/>
          <w:sz w:val="18"/>
          <w:szCs w:val="18"/>
          <w:i w:val="1"/>
          <w:iCs w:val="1"/>
          <w:color w:val="auto"/>
        </w:rPr>
        <w:t>The Big Gay Jamboree</w:t>
      </w:r>
      <w:r>
        <w:rPr>
          <w:rFonts w:ascii="Times New Roman" w:cs="Times New Roman" w:eastAsia="Times New Roman" w:hAnsi="Times New Roman"/>
          <w:sz w:val="18"/>
          <w:szCs w:val="18"/>
          <w:color w:val="auto"/>
        </w:rPr>
        <w:t xml:space="preserve"> began at the Orpheum. This new show from a book by Marla Mindelle, the co-author and original star of the Off Broadway hit musical-comedy </w:t>
      </w:r>
      <w:r>
        <w:rPr>
          <w:rFonts w:ascii="Times New Roman" w:cs="Times New Roman" w:eastAsia="Times New Roman" w:hAnsi="Times New Roman"/>
          <w:sz w:val="18"/>
          <w:szCs w:val="18"/>
          <w:i w:val="1"/>
          <w:iCs w:val="1"/>
          <w:color w:val="auto"/>
        </w:rPr>
        <w:t>Titanique</w:t>
      </w:r>
      <w:r>
        <w:rPr>
          <w:rFonts w:ascii="Times New Roman" w:cs="Times New Roman" w:eastAsia="Times New Roman" w:hAnsi="Times New Roman"/>
          <w:sz w:val="18"/>
          <w:szCs w:val="18"/>
          <w:color w:val="auto"/>
        </w:rPr>
        <w:t xml:space="preserve"> is being produced by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LuckyChap, the producing team, which includes Margot Robbie, behind </w:t>
      </w:r>
      <w:r>
        <w:rPr>
          <w:rFonts w:ascii="Times New Roman" w:cs="Times New Roman" w:eastAsia="Times New Roman" w:hAnsi="Times New Roman"/>
          <w:sz w:val="18"/>
          <w:szCs w:val="18"/>
          <w:i w:val="1"/>
          <w:iCs w:val="1"/>
          <w:color w:val="auto"/>
        </w:rPr>
        <w:t>Barbie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Saltburn</w:t>
      </w:r>
      <w:r>
        <w:rPr>
          <w:rFonts w:ascii="Times New Roman" w:cs="Times New Roman" w:eastAsia="Times New Roman" w:hAnsi="Times New Roman"/>
          <w:sz w:val="18"/>
          <w:szCs w:val="18"/>
          <w:color w:val="auto"/>
        </w:rPr>
        <w:t xml:space="preserve"> and (ii) multiple-Tony-winning Broadway producing veterans Sue Wagner and John Johnson (</w:t>
      </w:r>
      <w:r>
        <w:rPr>
          <w:rFonts w:ascii="Times New Roman" w:cs="Times New Roman" w:eastAsia="Times New Roman" w:hAnsi="Times New Roman"/>
          <w:sz w:val="18"/>
          <w:szCs w:val="18"/>
          <w:i w:val="1"/>
          <w:iCs w:val="1"/>
          <w:color w:val="auto"/>
        </w:rPr>
        <w:t>Stereophonic, Lempicka</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i w:val="1"/>
          <w:iCs w:val="1"/>
          <w:u w:val="single" w:color="auto"/>
          <w:color w:val="auto"/>
        </w:rPr>
        <w:t>Cinemas 1,2,3 (New York, 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Currently operated as the Cinemas 123 by Angelika, we have historically treated this property as an asset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spacing w:after="0" w:line="264"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i w:val="1"/>
          <w:iCs w:val="1"/>
          <w:u w:val="single" w:color="auto"/>
          <w:color w:val="auto"/>
        </w:rPr>
        <w:t>The Philadelphia Viaduct and Adjacent Properties (Philadelphia, Pennsylvania)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Reading Viaduct is an 0.7-mile-long raised rail bed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bridge system that spans the Callowhill and Poplar neighborhoods and extends to Vine Street in the heart of the city's Central Business District, near the proposed new home of the Philadelphia 76ers. Comprising approximately 6.5 acres of land, along with various connecting bridges over public streets and sidewalks, the Reading Viaduct represents a significant contiguous land holding unobstructed by public thoroughfares.</w:t>
      </w:r>
    </w:p>
    <w:p>
      <w:pPr>
        <w:spacing w:after="0" w:line="267"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While we believe there continues to be interest from the City of Philadelphia and the City Center District in acquiring the Reading Viaduct for park purposes and while the City did pass an ordinance last year to facilitate an acquisition through condemnation, no concrete steps have been taken to proceed with condemnation or transfer of the property. Recent developments in the area include the announcement of a $158 million federal grant for the Chinatown Stitch project in mid-March 2024, which further highlight the potential of the Reading Viaduct. The Chinatown Stitch project aims to reconnect the Chinatown community and surrounding neighborhoods by capping the Vine Street Expressway I-676, which directly intersects with the Reading Viaduct at Vine Street. We believe that capping the expressway at our property would significantly enhance the attractiveness and viability of the Reading Viaduct for future development.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4"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18"/>
          <w:szCs w:val="18"/>
          <w:i w:val="1"/>
          <w:iCs w:val="1"/>
          <w:u w:val="single" w:color="auto"/>
          <w:color w:val="auto"/>
        </w:rPr>
        <w:t>Newmarket Village ETC (Brisbane, Australia)</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Through 2024 and into 2025 we plan to continue operating our Newmarket Village ETC,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Reading Cinemas as an anchor tenant. Our site includes a 23,218 square foot parcel adjacent to the center, improved with an office building. Over the next few years, we will be evaluating different development options for this space. As of the date of this Report, the combined center and office building is 99% leased.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ind w:left="660"/>
        <w:spacing w:after="0" w:line="229" w:lineRule="auto"/>
        <w:rPr>
          <w:sz w:val="20"/>
          <w:szCs w:val="20"/>
          <w:color w:val="auto"/>
        </w:rPr>
      </w:pPr>
      <w:r>
        <w:rPr>
          <w:rFonts w:ascii="Times New Roman" w:cs="Times New Roman" w:eastAsia="Times New Roman" w:hAnsi="Times New Roman"/>
          <w:sz w:val="18"/>
          <w:szCs w:val="18"/>
          <w:i w:val="1"/>
          <w:iCs w:val="1"/>
          <w:u w:val="single" w:color="auto"/>
          <w:color w:val="auto"/>
        </w:rPr>
        <w:t>Cannon Park Center ETC (Queensland,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own two adjoining properties in Townsville, Queensland, Australia, (Cannon Park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and Cannon Park Discount Center) comprising approximately 9.4-acres which we operate as our Cannon Park Center ETC. The total gross leasable area of the two properties is 126,368 square feet. Our six-screen Reading Cinema is an anchor tenant. These properties are currently 94% leased. This property is currently being marketed for sale.</w:t>
      </w:r>
    </w:p>
    <w:p>
      <w:pPr>
        <w:spacing w:after="0" w:line="1"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The Belmont Common (Belmont, Perth, Australia)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total gross leasable area of the Belmont Common is 60,116 square feet. Our ten-screen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Reading Cinema is the anchor tenant with six third-party tenants. The site is currently 100% leased.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4" w:lineRule="exact"/>
        <w:rPr>
          <w:sz w:val="20"/>
          <w:szCs w:val="20"/>
          <w:color w:val="auto"/>
        </w:rPr>
      </w:pPr>
    </w:p>
    <w:p>
      <w:pPr>
        <w:ind w:left="980"/>
        <w:spacing w:after="0" w:line="228" w:lineRule="auto"/>
        <w:rPr>
          <w:sz w:val="20"/>
          <w:szCs w:val="20"/>
          <w:color w:val="auto"/>
        </w:rPr>
      </w:pPr>
      <w:r>
        <w:rPr>
          <w:rFonts w:ascii="Times New Roman" w:cs="Times New Roman" w:eastAsia="Times New Roman" w:hAnsi="Times New Roman"/>
          <w:sz w:val="18"/>
          <w:szCs w:val="18"/>
          <w:i w:val="1"/>
          <w:iCs w:val="1"/>
          <w:u w:val="single" w:color="auto"/>
          <w:color w:val="auto"/>
        </w:rPr>
        <w:t>Wellington, New Zealand, including Courtenay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Wellington properties include five contiguous parcels representing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161,082 square feet of land located in the entertainment core of Wellington and within walking distance and offering direct views of Wellington Harbor. Assembled over a period of years, we believe our properties represent the largest commercial assemblage available anywhere in Wellington. After recently encountering certain challenges with our development plans, we engaged JLL as our exclusive sales agent to market these key property assets that represent a once-in-a-lifetime development opportunity for a well-capitalized buyer. The June 2023 opening of Takina, Wellington’s first and state-of-the-art Convention and Exhibition Center (wcec.co.nz) directly across the street from our properties, the loosening of certain height and density restrictions, and the lack of comparable building sites, are among the characteristics that we believe make this development site a generational opportunity.</w:t>
      </w:r>
    </w:p>
    <w:p>
      <w:pPr>
        <w:spacing w:after="0" w:line="148" w:lineRule="exact"/>
        <w:rPr>
          <w:sz w:val="20"/>
          <w:szCs w:val="20"/>
          <w:color w:val="auto"/>
        </w:rPr>
      </w:pPr>
    </w:p>
    <w:p>
      <w:pPr>
        <w:ind w:left="980" w:right="140"/>
        <w:spacing w:after="0" w:line="266" w:lineRule="auto"/>
        <w:rPr>
          <w:sz w:val="20"/>
          <w:szCs w:val="20"/>
          <w:color w:val="auto"/>
        </w:rPr>
      </w:pPr>
      <w:r>
        <w:rPr>
          <w:rFonts w:ascii="Times New Roman" w:cs="Times New Roman" w:eastAsia="Times New Roman" w:hAnsi="Times New Roman"/>
          <w:sz w:val="18"/>
          <w:szCs w:val="18"/>
          <w:color w:val="auto"/>
        </w:rPr>
        <w:t>It is our intention to structure any monetization transaction to preserve for us the right to lease or operate any cinema that is built or operated on the assemblage, in the future.</w:t>
      </w:r>
    </w:p>
    <w:p>
      <w:pPr>
        <w:spacing w:after="0" w:line="2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For a complete list of our principal properties, see </w:t>
      </w:r>
      <w:r>
        <w:rPr>
          <w:rFonts w:ascii="Times New Roman" w:cs="Times New Roman" w:eastAsia="Times New Roman" w:hAnsi="Times New Roman"/>
          <w:sz w:val="18"/>
          <w:szCs w:val="18"/>
          <w:i w:val="1"/>
          <w:iCs w:val="1"/>
          <w:color w:val="auto"/>
        </w:rPr>
        <w:t>Part I, Item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xml:space="preserve"> under the heading “</w:t>
      </w:r>
      <w:r>
        <w:rPr>
          <w:rFonts w:ascii="Times New Roman" w:cs="Times New Roman" w:eastAsia="Times New Roman" w:hAnsi="Times New Roman"/>
          <w:sz w:val="18"/>
          <w:szCs w:val="18"/>
          <w:i w:val="1"/>
          <w:iCs w:val="1"/>
          <w:color w:val="auto"/>
        </w:rPr>
        <w:t>Investment and Development Property”</w:t>
      </w:r>
      <w:r>
        <w:rPr>
          <w:rFonts w:ascii="Times New Roman" w:cs="Times New Roman" w:eastAsia="Times New Roman" w:hAnsi="Times New Roman"/>
          <w:sz w:val="18"/>
          <w:szCs w:val="18"/>
          <w:color w:val="auto"/>
        </w:rPr>
        <w:t xml:space="preserve"> in our 2023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 Financial Information, Item 1 – Notes to Consolidated Financial Statements-- Note 18 – Stock-Based Compensation and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Repurchases </w:t>
      </w:r>
      <w:r>
        <w:rPr>
          <w:rFonts w:ascii="Times New Roman" w:cs="Times New Roman" w:eastAsia="Times New Roman" w:hAnsi="Times New Roman"/>
          <w:sz w:val="18"/>
          <w:szCs w:val="18"/>
          <w:color w:val="auto"/>
        </w:rPr>
        <w:t>for details regarding our stock repurchase program and Board, Executive and Employee stock-based remuneration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Please refer to our 2023 Form 10-K for more details on our cinema and real estate segments.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operations for each of our principal business segments along with the non-segment information for the quarter and nine months ended September 30, 2024, and September 30, 2023,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Fav/</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Fav/</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‎(Unfav)</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‎(Unfav)</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RESULTS</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165,731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15,338</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Inter-segment elimination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(1,165)</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(1,181)</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(3,463)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(3,644)</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60,090</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66,562</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151,951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177,425</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Operating expense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1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(50,631)</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(54,458)</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(136,407)</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(149,941)</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(2,106)</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(2,281)</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(6,801)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(6,600)</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color w:val="auto"/>
              </w:rPr>
              <w:t>Inter-segment elimination</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operating expense</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(51,572)</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(55,558)</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(139,745)</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(152,897)</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(2,611)</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(2,784)</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(7,753)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(8,551)</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(1,624)</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(4,084)</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(4,830)</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(3,821)</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(4,408)</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(11,837)</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(13,381)</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(902)</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(1,050)</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(2,973)</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(2,983)</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(231)</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(696)</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general and administrative expense</w:t>
            </w: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(1,088)</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(1,281)</w:t>
            </w: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(3,698)</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(3,679)</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7"/>
        </w:trPr>
        <w:tc>
          <w:tcPr>
            <w:tcW w:w="36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Cinema exhibition</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(6,563)</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(&gt;100)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Real estate</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Total segment operating income (loss)</w:t>
            </w:r>
          </w:p>
        </w:tc>
        <w:tc>
          <w:tcPr>
            <w:tcW w:w="5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(3,329)</w:t>
            </w:r>
          </w:p>
        </w:tc>
        <w:tc>
          <w:tcPr>
            <w:tcW w:w="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(&gt;100)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NON-SEGMENT RESULTS</w:t>
            </w:r>
          </w:p>
        </w:tc>
        <w:tc>
          <w:tcPr>
            <w:tcW w:w="5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(305)</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(527)</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(3,846)</w:t>
            </w:r>
          </w:p>
        </w:tc>
        <w:tc>
          <w:tcPr>
            <w:tcW w:w="5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(11,928)</w:t>
            </w:r>
          </w:p>
        </w:tc>
        <w:tc>
          <w:tcPr>
            <w:tcW w:w="4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(12,014)</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 expense, net</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(5,245)</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(15,907)</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(14,063)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Equity earnings of unconsolidated joint ventures</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(1,324)</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 (expense)</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(714)</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(&gt;100)</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(593)</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(&gt;100)</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(6,439)</w:t>
            </w:r>
          </w:p>
        </w:tc>
        <w:tc>
          <w:tcPr>
            <w:tcW w:w="5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(33,222)</w:t>
            </w:r>
          </w:p>
        </w:tc>
        <w:tc>
          <w:tcPr>
            <w:tcW w:w="4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(18,337)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5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(321)</w:t>
            </w:r>
          </w:p>
        </w:tc>
        <w:tc>
          <w:tcPr>
            <w:tcW w:w="4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(7,139)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(4,465)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(33,543)</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(18,650)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660" w:type="dxa"/>
            <w:vAlign w:val="bottom"/>
          </w:tcPr>
          <w:p>
            <w:pPr>
              <w:ind w:left="320"/>
              <w:spacing w:after="0" w:line="139" w:lineRule="exact"/>
              <w:rPr>
                <w:sz w:val="20"/>
                <w:szCs w:val="20"/>
                <w:color w:val="auto"/>
              </w:rPr>
            </w:pPr>
            <w:r>
              <w:rPr>
                <w:rFonts w:ascii="Times New Roman" w:cs="Times New Roman" w:eastAsia="Times New Roman" w:hAnsi="Times New Roman"/>
                <w:sz w:val="14"/>
                <w:szCs w:val="14"/>
                <w:color w:val="auto"/>
              </w:rPr>
              <w:t>Less: net income (loss) attributable to noncontrolling</w:t>
            </w:r>
          </w:p>
        </w:tc>
        <w:tc>
          <w:tcPr>
            <w:tcW w:w="52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c>
          <w:tcPr>
            <w:tcW w:w="5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(65)</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(481)</w:t>
            </w:r>
          </w:p>
        </w:tc>
        <w:tc>
          <w:tcPr>
            <w:tcW w:w="46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(361)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interests</w:t>
            </w:r>
          </w:p>
        </w:tc>
        <w:tc>
          <w:tcPr>
            <w:tcW w:w="5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 attributable to Reading International,</w:t>
            </w: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60" w:type="dxa"/>
            <w:vAlign w:val="bottom"/>
            <w:vMerge w:val="continue"/>
            <w:shd w:val="clear" w:color="auto" w:fill="CCEEFF"/>
          </w:tcPr>
          <w:p>
            <w:pPr>
              <w:spacing w:after="0"/>
              <w:rPr>
                <w:sz w:val="18"/>
                <w:szCs w:val="18"/>
                <w:color w:val="auto"/>
              </w:rPr>
            </w:pP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(7,028)</w:t>
            </w:r>
          </w:p>
        </w:tc>
        <w:tc>
          <w:tcPr>
            <w:tcW w:w="50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(4,400)</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(33,062)</w:t>
            </w:r>
          </w:p>
        </w:tc>
        <w:tc>
          <w:tcPr>
            <w:tcW w:w="46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(18,289)</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Inc.</w:t>
            </w:r>
          </w:p>
        </w:tc>
        <w:tc>
          <w:tcPr>
            <w:tcW w:w="52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5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(0.31)</w:t>
            </w:r>
          </w:p>
        </w:tc>
        <w:tc>
          <w:tcPr>
            <w:tcW w:w="100" w:type="dxa"/>
            <w:vAlign w:val="bottom"/>
            <w:tcBorders>
              <w:top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(0.20)</w:t>
            </w:r>
          </w:p>
        </w:tc>
        <w:tc>
          <w:tcPr>
            <w:tcW w:w="80" w:type="dxa"/>
            <w:vAlign w:val="bottom"/>
            <w:tcBorders>
              <w:top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Borders>
              <w:top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(0.82)</w:t>
            </w:r>
          </w:p>
        </w:tc>
        <w:tc>
          <w:tcPr>
            <w:tcW w:w="80" w:type="dxa"/>
            <w:vAlign w:val="bottom"/>
            <w:tcBorders>
              <w:top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88900</wp:posOffset>
            </wp:positionV>
            <wp:extent cx="4808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Consolidated and Non-Segment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Net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 for the quarter ended September 30, 2024, decreased by $6.5 million, to $60.1 million, compared to the same period in the prior year, primarily due to (i) lower attendance in all three countries as a result of closing cinemas in the U.S. along with lower performing titles for our theaters in the third quarter of 2024 compared to 2023, (ii) slight decreases in property rent revenue in all three countries, and (iii) lower U.S. live theatre revenue. The decrease in revenue was offset by the appreciation of the AU/NZ foreign exchange rates against US dollar.</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 for the nine months ended September 30, 2024, decreased by $25.5 million, to $152.0 million, when compared to the same period in the prior year. This decrease is attributable to lower cinema performances in all countries, as a result of a decline in attendance, lower U.S. live theatre revenue and reduced rental income in the U.S. and New Zealand.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Operating Income/(Loss)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total segment operating income for the quarter ended September 30, 2024, decreased by $1.7 million, from a gain of $5.3 million to a gain of $3.6 million, primarily due to weaker attendance, and lower global rent revenue.</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total segment operating income for the nine months ended September 30, 2024, decreased by $7.4 million, from an income of $7.5 million to an income of $0.1 million, primarily due to (i) weakened cinema performance, as attendance declined year-over-year, and (ii) a loss in third party rental revenue in the U.S. and New Zealand.</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During the third quarter of 2024, both the Australia and New Zealand dollars improved against the U.S. dollar. The average Australia dollar exchange rate against the U.S. dollar for the third quarter of 2024 increased 2.3% compared to the same period in 2023. The average New Zealand dollar exchange rate against the U.S. dollar for the third quarter of 2024 increased 1.1% compared to the same period in 2023. The appreciation of the Australia and New Zealand currencies positively impacts segment operating income and negatively impacts segment operating loss in U.S. dollar terms for the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Income/(Loss)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net loss attributable to Reading International, Inc. for the quarter ending September 30, 2024, increased by $2.6 million, from a loss of $4.4 million to a loss of $7.0 million, when compared to the same period in the prior year, primarily due to weakened cinema performance and increased interest expense, partially offset by reduced depreciation expense.</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nine months ended September 30, 2024, net loss attributable to Reading International, Inc. increased by $14.8 million, from a loss of $18.3 million to a loss of $33.1 million, when compared to the same period in the prior year primarily due to decreased cinemas segment results, increased interest expense, and a loss on the sale of our Culver City office building.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Expense</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2024, decreased by $0.2 million compared to the equivalent prior-year period. The change between 2024 and 2023 is primarily related to an increase in pretax loss in 2024.</w:t>
      </w:r>
    </w:p>
    <w:p>
      <w:pPr>
        <w:spacing w:after="0" w:line="14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2024, increased by $0.01 million compared to the equivalent prior-year period. The change between 2024 and 2023 is primarily related to an increase in unrecognized tax benefits in 2024, partially offset by an increased in pretax loss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Business Segment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Cinema Exhibition</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table details our cinema exhibition segment operating results for the quarter and nine months ended September 30, 2024, and September 30, 2023,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B7DEE8"/>
            </w:tcBorders>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B7DEE8"/>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2"/>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Fav/(Unfav)</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4"/>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5"/>
            <w:vMerge w:val="continue"/>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11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8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60" w:type="dxa"/>
            <w:vAlign w:val="bottom"/>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6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i w:val="1"/>
                <w:iCs w:val="1"/>
                <w:color w:val="auto"/>
              </w:rPr>
              <w:t>% of</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September 30,</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0" w:type="dxa"/>
            <w:vAlign w:val="bottom"/>
          </w:tcPr>
          <w:p>
            <w:pPr>
              <w:spacing w:after="0"/>
              <w:rPr>
                <w:sz w:val="1"/>
                <w:szCs w:val="1"/>
                <w:color w:val="auto"/>
              </w:rPr>
            </w:pPr>
          </w:p>
        </w:tc>
      </w:tr>
      <w:tr>
        <w:trPr>
          <w:trHeight w:val="144"/>
        </w:trPr>
        <w:tc>
          <w:tcPr>
            <w:tcW w:w="114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6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80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Ended‎</w:t>
            </w: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Ended</w:t>
            </w:r>
          </w:p>
        </w:tc>
        <w:tc>
          <w:tcPr>
            <w:tcW w:w="0" w:type="dxa"/>
            <w:vAlign w:val="bottom"/>
          </w:tcPr>
          <w:p>
            <w:pPr>
              <w:spacing w:after="0"/>
              <w:rPr>
                <w:sz w:val="1"/>
                <w:szCs w:val="1"/>
                <w:color w:val="auto"/>
              </w:rPr>
            </w:pPr>
          </w:p>
        </w:tc>
      </w:tr>
      <w:tr>
        <w:trPr>
          <w:trHeight w:val="338"/>
        </w:trPr>
        <w:tc>
          <w:tcPr>
            <w:tcW w:w="114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(As Restated)</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(As Restated)</w:t>
            </w: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15,445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19,495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31%</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39,368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50,250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9,824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17%</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11,663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24,237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31,108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19%</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2,547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3,074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6,996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8,700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27,816</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49%</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34,232</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70,601</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90,058</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54%</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(19)%</w:t>
            </w:r>
          </w:p>
        </w:tc>
        <w:tc>
          <w:tcPr>
            <w:tcW w:w="8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14,445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14,918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24%</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35,559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39,428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24%</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8,691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7,856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20,805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21,016</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13%</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1,609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4,248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24,745</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44%</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24,186</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60,612</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64,338</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39%</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2%</w:t>
            </w:r>
          </w:p>
        </w:tc>
        <w:tc>
          <w:tcPr>
            <w:tcW w:w="8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Admissions revenue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2,215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2,668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4%</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5,559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6,989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revenue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1,383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3,262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3,774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other revenue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242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536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3,796</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4,270</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9,357</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11,335</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(11)%</w:t>
            </w:r>
          </w:p>
        </w:tc>
        <w:tc>
          <w:tcPr>
            <w:tcW w:w="8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30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56,357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100%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62,688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140,570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165,731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135"/>
        </w:trPr>
        <w:tc>
          <w:tcPr>
            <w:tcW w:w="4140" w:type="dxa"/>
            <w:vAlign w:val="bottom"/>
            <w:tcBorders>
              <w:top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(8,780)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(10,876)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(21,192)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(27,563)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17%</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(2,632)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(2,908)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(6,550)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(8,039)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(5,198)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(6,265)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(17,530)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(18,768)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(10,388)</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18%</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(11,722)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(28,485)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(32,513)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(26,998)</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48%</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(31,771)</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(73,757)</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52%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(86,883)</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52%</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8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(6,775)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(6,582)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10%</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(16,170)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(17,652)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(1,922)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(1,670)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(4,631)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(4,407)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(4,673)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8%</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(4,276)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(13,612)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(13,048)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8%</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(6,831)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12%</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(6,576)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(19,156)</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(18,104)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(20,201)</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36%</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(19,104)</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(53,569)</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38%</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(53,211)</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32%</w:t>
            </w:r>
          </w:p>
        </w:tc>
        <w:tc>
          <w:tcPr>
            <w:tcW w:w="60" w:type="dxa"/>
            <w:vAlign w:val="bottom"/>
          </w:tcPr>
          <w:p>
            <w:pPr>
              <w:spacing w:after="0"/>
              <w:rPr>
                <w:sz w:val="12"/>
                <w:szCs w:val="12"/>
                <w:color w:val="auto"/>
              </w:rPr>
            </w:pPr>
          </w:p>
        </w:tc>
        <w:tc>
          <w:tcPr>
            <w:tcW w:w="80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(6)%</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Film rent and advertising cost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(1,190)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(2,482)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(3,164)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Food &amp; beverage cost</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(703)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(731)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Occupancy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(2,347)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(2,357)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operating expense</w:t>
            </w: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(1,306)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(3,549)</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(3,595)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(3,431)</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6%</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(3,585)</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(9,081)</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(9,847)</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6%</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4%</w:t>
            </w:r>
          </w:p>
        </w:tc>
        <w:tc>
          <w:tcPr>
            <w:tcW w:w="8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(50,630)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90%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(54,460)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87%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(136,407)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97%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(149,941)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90%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0" w:type="dxa"/>
            <w:vAlign w:val="bottom"/>
          </w:tcPr>
          <w:p>
            <w:pPr>
              <w:spacing w:after="0"/>
              <w:rPr>
                <w:sz w:val="1"/>
                <w:szCs w:val="1"/>
                <w:color w:val="auto"/>
              </w:rPr>
            </w:pPr>
          </w:p>
        </w:tc>
      </w:tr>
      <w:tr>
        <w:trPr>
          <w:trHeight w:val="156"/>
        </w:trPr>
        <w:tc>
          <w:tcPr>
            <w:tcW w:w="4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DEPRECIATION, AMORTIZATION, IMPAIRMENT AND GENERAL</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ADMINISTRATIVE EXPENSE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(1,262)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(3,784)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(4,518)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(&gt;100)%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(672)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(1,885)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(1,839)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(1,775)</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(2,130)</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(5,669)</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(6,357)</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60" w:type="dxa"/>
            <w:vAlign w:val="bottom"/>
          </w:tcPr>
          <w:p>
            <w:pPr>
              <w:spacing w:after="0"/>
              <w:rPr>
                <w:sz w:val="12"/>
                <w:szCs w:val="12"/>
                <w:color w:val="auto"/>
              </w:rPr>
            </w:pPr>
          </w:p>
        </w:tc>
        <w:tc>
          <w:tcPr>
            <w:tcW w:w="80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(1,237)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(1,192)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(3,619)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(3,611)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expense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(389)</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(1,626)</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(1,569)</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3%</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(4,706)</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(4,755)</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Pr>
          <w:p>
            <w:pPr>
              <w:spacing w:after="0"/>
              <w:rPr>
                <w:sz w:val="12"/>
                <w:szCs w:val="12"/>
                <w:color w:val="auto"/>
              </w:rPr>
            </w:pPr>
          </w:p>
        </w:tc>
        <w:tc>
          <w:tcPr>
            <w:tcW w:w="80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(4)%</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Impairment expense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(113)</w:t>
            </w:r>
          </w:p>
        </w:tc>
        <w:tc>
          <w:tcPr>
            <w:tcW w:w="4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(134)</w:t>
            </w:r>
          </w:p>
        </w:tc>
        <w:tc>
          <w:tcPr>
            <w:tcW w:w="2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(351)</w:t>
            </w:r>
          </w:p>
        </w:tc>
        <w:tc>
          <w:tcPr>
            <w:tcW w:w="6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(422)</w:t>
            </w:r>
          </w:p>
        </w:tc>
        <w:tc>
          <w:tcPr>
            <w:tcW w:w="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w w:val="92"/>
              </w:rPr>
              <w:t>0%</w:t>
            </w:r>
          </w:p>
        </w:tc>
        <w:tc>
          <w:tcPr>
            <w:tcW w:w="60" w:type="dxa"/>
            <w:vAlign w:val="bottom"/>
          </w:tcPr>
          <w:p>
            <w:pPr>
              <w:spacing w:after="0"/>
              <w:rPr>
                <w:sz w:val="12"/>
                <w:szCs w:val="12"/>
                <w:color w:val="auto"/>
              </w:rPr>
            </w:pPr>
          </w:p>
        </w:tc>
        <w:tc>
          <w:tcPr>
            <w:tcW w:w="80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16%</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(3,514)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(3,833)</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6%</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(10,726)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(11,534)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60" w:type="dxa"/>
            <w:vAlign w:val="bottom"/>
          </w:tcPr>
          <w:p>
            <w:pPr>
              <w:spacing w:after="0"/>
              <w:rPr>
                <w:sz w:val="13"/>
                <w:szCs w:val="13"/>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0" w:type="dxa"/>
            <w:vAlign w:val="bottom"/>
          </w:tcPr>
          <w:p>
            <w:pPr>
              <w:spacing w:after="0"/>
              <w:rPr>
                <w:sz w:val="1"/>
                <w:szCs w:val="1"/>
                <w:color w:val="auto"/>
              </w:rPr>
            </w:pPr>
          </w:p>
        </w:tc>
      </w:tr>
      <w:tr>
        <w:trPr>
          <w:trHeight w:val="148"/>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(LOSS) – CINEMA</w:t>
            </w: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0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(957)</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(8,825)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(3,182)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(&gt;100)%</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Australia</w:t>
            </w:r>
          </w:p>
        </w:tc>
        <w:tc>
          <w:tcPr>
            <w:tcW w:w="3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2,918</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3,513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2,337</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6,372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4%</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2"/>
        </w:trPr>
        <w:tc>
          <w:tcPr>
            <w:tcW w:w="11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New Zealand</w:t>
            </w:r>
          </w:p>
        </w:tc>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252</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0%</w:t>
            </w: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551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1,066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2"/>
              </w:rPr>
              <w:t>1%</w:t>
            </w:r>
          </w:p>
        </w:tc>
        <w:tc>
          <w:tcPr>
            <w:tcW w:w="6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(54)%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414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Total Cinema operating income (loss)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2,213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4%</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4,395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(6,563)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9"/>
              </w:rPr>
              <w:t>(5)%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4,256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(50)%</w:t>
            </w:r>
          </w:p>
        </w:tc>
        <w:tc>
          <w:tcPr>
            <w:tcW w:w="82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(&gt;100)%</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quarter ended September 30, 2024, cinema revenue decreased by $6.3 million, to $56.4 million when compared to the same period in the prior year. This decrease was primarily due to a global decline in attendance, in part due to the closure of the cinemas in the U.S. described above and a weaker slate of film in our U.S. specialty cinemas.</w:t>
      </w:r>
    </w:p>
    <w:p>
      <w:pPr>
        <w:spacing w:after="0" w:line="3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nine months ended September 30, 2024, cinema revenue decreased by $25.2 million, to $140.6 million compared to the same period in the prior year. This decrease was primarily driven by (i) weaker movie slates as result of the 2023 Hollywood Strikes, (ii) weaker film slate in our U.S. specialty cinemas, (iii) four closed U.S. cinemas, and (iv) and lower Average Ticket Price in AU and NZ, along with (v) a weakening of AU/NZ foreign exchange rates. This was offset by a higher Average Ticket Price in the U.S and higher global F&amp;B per capitas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Cinema Segment Operating Income/(Loss)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Cinema segment operating income for the quarter ended September 30, 2024, decreased by $2.2 million, from an income of $4.4 million to an income of $2.3 million when compared to the same period in the prior year. This decline in operating income is due to a decrease in cinema revenue in the U.S. and New Zealand as a result of lower attendance.</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Cinema segment operating loss for the nine months ended September 30, 2024, was $6.6 million compared to a gain of $4.3 million during the same period in the prior year, primarily due to decreased attendance as a result of a weaker film slate as a result of the impacts of the 2023 Hollywood Strikes, in addition to a weaker film slate at our U.S. specialty cinemas and the closure of multiple cinemas in the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Operating expenses for the quarter ended September 30, 2024, decreased by $3.8 million, to $50.6 million, compared to the same quarter in the prior year. Operating expenses for the nine months ended September 30, 2024, decreased by $13.5 million, to $136.4 million, compared to the same time period in the prior year. These decreases were due to decreased global film rent expense as a result of lower attendance, decreased food &amp; beverage cost, primarily in the U.S., and reduced U.S. occupancy costs offset by increases in Australia occupancy and other operating expenses.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details our real estate segment operating results for the quarters and nine months ended September 30, 2024 and September 30, 2023,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20" w:type="dxa"/>
            <w:vAlign w:val="bottom"/>
            <w:gridSpan w:val="7"/>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2"/>
          </w:tcPr>
          <w:p>
            <w:pPr>
              <w:jc w:val="right"/>
              <w:ind w:right="398"/>
              <w:spacing w:after="0"/>
              <w:rPr>
                <w:sz w:val="20"/>
                <w:szCs w:val="20"/>
                <w:color w:val="auto"/>
              </w:rPr>
            </w:pPr>
            <w:r>
              <w:rPr>
                <w:rFonts w:ascii="Times New Roman" w:cs="Times New Roman" w:eastAsia="Times New Roman" w:hAnsi="Times New Roman"/>
                <w:sz w:val="9"/>
                <w:szCs w:val="9"/>
                <w:b w:val="1"/>
                <w:bCs w:val="1"/>
                <w:color w:val="auto"/>
              </w:rPr>
              <w:t>% Change</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Fav/(Unfav)</w:t>
            </w:r>
          </w:p>
        </w:tc>
        <w:tc>
          <w:tcPr>
            <w:tcW w:w="0" w:type="dxa"/>
            <w:vAlign w:val="bottom"/>
          </w:tcPr>
          <w:p>
            <w:pPr>
              <w:spacing w:after="0"/>
              <w:rPr>
                <w:sz w:val="1"/>
                <w:szCs w:val="1"/>
                <w:color w:val="auto"/>
              </w:rPr>
            </w:pPr>
          </w:p>
        </w:tc>
      </w:tr>
      <w:tr>
        <w:trPr>
          <w:trHeight w:val="92"/>
        </w:trPr>
        <w:tc>
          <w:tcPr>
            <w:tcW w:w="1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jc w:val="center"/>
              <w:ind w:right="18"/>
              <w:spacing w:after="0" w:line="92" w:lineRule="exact"/>
              <w:rPr>
                <w:sz w:val="20"/>
                <w:szCs w:val="20"/>
                <w:color w:val="auto"/>
              </w:rPr>
            </w:pPr>
            <w:r>
              <w:rPr>
                <w:rFonts w:ascii="Times New Roman" w:cs="Times New Roman" w:eastAsia="Times New Roman" w:hAnsi="Times New Roman"/>
                <w:sz w:val="10"/>
                <w:szCs w:val="10"/>
                <w:b w:val="1"/>
                <w:bCs w:val="1"/>
                <w:color w:val="auto"/>
              </w:rPr>
              <w:t>Nine</w:t>
            </w:r>
          </w:p>
        </w:tc>
        <w:tc>
          <w:tcPr>
            <w:tcW w:w="0" w:type="dxa"/>
            <w:vAlign w:val="bottom"/>
          </w:tcPr>
          <w:p>
            <w:pPr>
              <w:spacing w:after="0"/>
              <w:rPr>
                <w:sz w:val="1"/>
                <w:szCs w:val="1"/>
                <w:color w:val="auto"/>
              </w:rPr>
            </w:pPr>
          </w:p>
        </w:tc>
      </w:tr>
      <w:tr>
        <w:trPr>
          <w:trHeight w:val="122"/>
        </w:trPr>
        <w:tc>
          <w:tcPr>
            <w:tcW w:w="16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7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 of</w:t>
            </w:r>
          </w:p>
        </w:tc>
        <w:tc>
          <w:tcPr>
            <w:tcW w:w="2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 of</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w w:val="94"/>
              </w:rPr>
              <w:t>% of</w:t>
            </w:r>
          </w:p>
        </w:tc>
        <w:tc>
          <w:tcPr>
            <w:tcW w:w="40" w:type="dxa"/>
            <w:vAlign w:val="bottom"/>
          </w:tcPr>
          <w:p>
            <w:pPr>
              <w:spacing w:after="0"/>
              <w:rPr>
                <w:sz w:val="10"/>
                <w:szCs w:val="10"/>
                <w:color w:val="auto"/>
              </w:rPr>
            </w:pPr>
          </w:p>
        </w:tc>
        <w:tc>
          <w:tcPr>
            <w:tcW w:w="7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Quarter Ended</w:t>
            </w:r>
          </w:p>
        </w:tc>
        <w:tc>
          <w:tcPr>
            <w:tcW w:w="54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4"/>
              </w:rPr>
              <w:t>Months</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1"/>
                <w:szCs w:val="11"/>
                <w:b w:val="1"/>
                <w:bCs w:val="1"/>
                <w:i w:val="1"/>
                <w:iCs w:val="1"/>
                <w:color w:val="auto"/>
              </w:rPr>
              <w:t>Revenue‎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2"/>
                <w:szCs w:val="12"/>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i w:val="1"/>
                <w:iCs w:val="1"/>
                <w:color w:val="auto"/>
                <w:w w:val="97"/>
              </w:rPr>
              <w:t>Revenue‎</w:t>
            </w:r>
          </w:p>
        </w:tc>
        <w:tc>
          <w:tcPr>
            <w:tcW w:w="760" w:type="dxa"/>
            <w:vAlign w:val="bottom"/>
            <w:vMerge w:val="continue"/>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Live theatre rental and ancillary income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8%</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8%</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1,370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1,053</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21%</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1,149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23%</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3,192</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3,632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24%</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(8)%</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1,444</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29%</w:t>
            </w: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1,614</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32%</w:t>
            </w: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4,412</w:t>
            </w:r>
          </w:p>
        </w:tc>
        <w:tc>
          <w:tcPr>
            <w:tcW w:w="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30%</w:t>
            </w: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5,002</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33%</w:t>
            </w:r>
          </w:p>
        </w:tc>
        <w:tc>
          <w:tcPr>
            <w:tcW w:w="60" w:type="dxa"/>
            <w:vAlign w:val="bottom"/>
          </w:tcPr>
          <w:p>
            <w:pPr>
              <w:spacing w:after="0"/>
              <w:rPr>
                <w:sz w:val="11"/>
                <w:szCs w:val="11"/>
                <w:color w:val="auto"/>
              </w:rPr>
            </w:pPr>
          </w:p>
        </w:tc>
        <w:tc>
          <w:tcPr>
            <w:tcW w:w="760" w:type="dxa"/>
            <w:vAlign w:val="bottom"/>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(11)%</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3,082</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63%</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3,063</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61%</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9,342</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63%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9,191</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60%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rental income</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372</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8%</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380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8%</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1,090</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1,145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revenue</w:t>
            </w:r>
          </w:p>
        </w:tc>
        <w:tc>
          <w:tcPr>
            <w:tcW w:w="2760" w:type="dxa"/>
            <w:vAlign w:val="bottom"/>
          </w:tcPr>
          <w:p>
            <w:pPr>
              <w:spacing w:after="0"/>
              <w:rPr>
                <w:sz w:val="12"/>
                <w:szCs w:val="12"/>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4,898</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5,057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14,844</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15,338</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8"/>
              </w:rPr>
              <w:t>100%</w:t>
            </w:r>
          </w:p>
        </w:tc>
        <w:tc>
          <w:tcPr>
            <w:tcW w:w="60" w:type="dxa"/>
            <w:vAlign w:val="bottom"/>
          </w:tcPr>
          <w:p>
            <w:pPr>
              <w:spacing w:after="0"/>
              <w:rPr>
                <w:sz w:val="12"/>
                <w:szCs w:val="12"/>
                <w:color w:val="auto"/>
              </w:rPr>
            </w:pPr>
          </w:p>
        </w:tc>
        <w:tc>
          <w:tcPr>
            <w:tcW w:w="76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35"/>
        </w:trPr>
        <w:tc>
          <w:tcPr>
            <w:tcW w:w="16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w:t>
            </w:r>
          </w:p>
        </w:tc>
        <w:tc>
          <w:tcPr>
            <w:tcW w:w="2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Live theatre cost</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(550)</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4%</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6%</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9%</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(1,069)</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7%</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(220)</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(676)</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(743)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(653)</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13%</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(848)</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17%</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(2,295)</w:t>
            </w: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15%</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(2,351)</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15%</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23%</w:t>
            </w:r>
          </w:p>
        </w:tc>
        <w:tc>
          <w:tcPr>
            <w:tcW w:w="5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(488)</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(1,661)</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(1,653)</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(509)</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(1,476)</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(1,477)</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(997)</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21%</w:t>
            </w: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(3,137)</w:t>
            </w:r>
          </w:p>
        </w:tc>
        <w:tc>
          <w:tcPr>
            <w:tcW w:w="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21%</w:t>
            </w: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(3,130)</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60" w:type="dxa"/>
            <w:vAlign w:val="bottom"/>
          </w:tcPr>
          <w:p>
            <w:pPr>
              <w:spacing w:after="0"/>
              <w:rPr>
                <w:sz w:val="11"/>
                <w:szCs w:val="11"/>
                <w:color w:val="auto"/>
              </w:rPr>
            </w:pPr>
          </w:p>
        </w:tc>
        <w:tc>
          <w:tcPr>
            <w:tcW w:w="760" w:type="dxa"/>
            <w:vAlign w:val="bottom"/>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5%</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cost</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7%</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(273)</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(1,019)</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(810)</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Occupancy expense</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(309)</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2%</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(456)</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9%</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(381)</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8%</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(1,369)</w:t>
            </w: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9%</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(1,119)</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7%</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(20)%</w:t>
            </w:r>
          </w:p>
        </w:tc>
        <w:tc>
          <w:tcPr>
            <w:tcW w:w="5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expense</w:t>
            </w:r>
          </w:p>
        </w:tc>
        <w:tc>
          <w:tcPr>
            <w:tcW w:w="27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(2,106)</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43%</w:t>
            </w:r>
          </w:p>
        </w:tc>
        <w:tc>
          <w:tcPr>
            <w:tcW w:w="200" w:type="dxa"/>
            <w:vAlign w:val="bottom"/>
            <w:gridSpan w:val="2"/>
            <w:shd w:val="clear" w:color="auto" w:fill="CCEEFF"/>
          </w:tcPr>
          <w:p>
            <w:pPr>
              <w:jc w:val="right"/>
              <w:ind w:right="6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(2,282)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45%</w:t>
            </w:r>
          </w:p>
        </w:tc>
        <w:tc>
          <w:tcPr>
            <w:tcW w:w="4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(6,801)</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46%</w:t>
            </w:r>
          </w:p>
        </w:tc>
        <w:tc>
          <w:tcPr>
            <w:tcW w:w="200" w:type="dxa"/>
            <w:vAlign w:val="bottom"/>
            <w:gridSpan w:val="2"/>
            <w:shd w:val="clear" w:color="auto" w:fill="CCEEFF"/>
          </w:tcPr>
          <w:p>
            <w:pPr>
              <w:jc w:val="right"/>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(6,600)</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43%</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02"/>
        </w:trPr>
        <w:tc>
          <w:tcPr>
            <w:tcW w:w="4380" w:type="dxa"/>
            <w:vAlign w:val="bottom"/>
            <w:tcBorders>
              <w:top w:val="single" w:sz="8" w:color="CCEEFF"/>
            </w:tcBorders>
            <w:gridSpan w:val="2"/>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DEPRECIATION, AMORTIZATION, GENERAL AND ADMINISTRATIVE</w:t>
            </w: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760" w:type="dxa"/>
            <w:vAlign w:val="bottom"/>
            <w:tcBorders>
              <w:top w:val="single" w:sz="8" w:color="CCEEFF"/>
            </w:tcBorders>
          </w:tcPr>
          <w:p>
            <w:pPr>
              <w:spacing w:after="0"/>
              <w:rPr>
                <w:sz w:val="8"/>
                <w:szCs w:val="8"/>
                <w:color w:val="auto"/>
              </w:rPr>
            </w:pPr>
          </w:p>
        </w:tc>
        <w:tc>
          <w:tcPr>
            <w:tcW w:w="5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EXPENSE</w:t>
            </w: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14%</w:t>
            </w:r>
          </w:p>
        </w:tc>
        <w:tc>
          <w:tcPr>
            <w:tcW w:w="200" w:type="dxa"/>
            <w:vAlign w:val="bottom"/>
            <w:gridSpan w:val="2"/>
            <w:shd w:val="clear" w:color="auto" w:fill="CCEEFF"/>
          </w:tcPr>
          <w:p>
            <w:pPr>
              <w:jc w:val="right"/>
              <w:ind w:right="6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(824)</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16%</w:t>
            </w:r>
          </w:p>
        </w:tc>
        <w:tc>
          <w:tcPr>
            <w:tcW w:w="4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(2,089)</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14%</w:t>
            </w:r>
          </w:p>
        </w:tc>
        <w:tc>
          <w:tcPr>
            <w:tcW w:w="200" w:type="dxa"/>
            <w:vAlign w:val="bottom"/>
            <w:gridSpan w:val="2"/>
            <w:shd w:val="clear" w:color="auto" w:fill="CCEEFF"/>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(2,358)</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(866)</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(995)</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20%</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(2,762)</w:t>
            </w: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19%</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(2,865)</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19%</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13%</w:t>
            </w:r>
          </w:p>
        </w:tc>
        <w:tc>
          <w:tcPr>
            <w:tcW w:w="5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(490)</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10%</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(617)</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12%</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(1,632)</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11%</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(1,900)</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12%</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rPr>
                <w:sz w:val="11"/>
                <w:szCs w:val="11"/>
                <w:color w:val="auto"/>
              </w:rPr>
            </w:pP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(483)</w:t>
            </w:r>
          </w:p>
        </w:tc>
        <w:tc>
          <w:tcPr>
            <w:tcW w:w="2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10%</w:t>
            </w: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(677)</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13%</w:t>
            </w: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(1,684)</w:t>
            </w:r>
          </w:p>
        </w:tc>
        <w:tc>
          <w:tcPr>
            <w:tcW w:w="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11%</w:t>
            </w: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(2,089)</w:t>
            </w:r>
          </w:p>
        </w:tc>
        <w:tc>
          <w:tcPr>
            <w:tcW w:w="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14%</w:t>
            </w:r>
          </w:p>
        </w:tc>
        <w:tc>
          <w:tcPr>
            <w:tcW w:w="60" w:type="dxa"/>
            <w:vAlign w:val="bottom"/>
          </w:tcPr>
          <w:p>
            <w:pPr>
              <w:spacing w:after="0"/>
              <w:rPr>
                <w:sz w:val="11"/>
                <w:szCs w:val="11"/>
                <w:color w:val="auto"/>
              </w:rPr>
            </w:pPr>
          </w:p>
        </w:tc>
        <w:tc>
          <w:tcPr>
            <w:tcW w:w="760" w:type="dxa"/>
            <w:vAlign w:val="bottom"/>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29%</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(572)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4%</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w:t>
            </w: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0%</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2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w:t>
            </w: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(363)</w:t>
            </w: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(572)</w:t>
            </w: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4%</w:t>
            </w: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74%</w:t>
            </w:r>
          </w:p>
        </w:tc>
        <w:tc>
          <w:tcPr>
            <w:tcW w:w="5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rPr>
                <w:sz w:val="1"/>
                <w:szCs w:val="1"/>
                <w:color w:val="auto"/>
              </w:rPr>
            </w:pPr>
          </w:p>
        </w:tc>
      </w:tr>
      <w:tr>
        <w:trPr>
          <w:trHeight w:val="142"/>
        </w:trPr>
        <w:tc>
          <w:tcPr>
            <w:tcW w:w="43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Total depreciation, amortization, general and administrative expense</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(1,396)</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29%</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(1,855)</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37%</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(4,809)</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32%</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(5,526)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w w:val="92"/>
              </w:rPr>
              <w:t>36%</w:t>
            </w:r>
          </w:p>
        </w:tc>
        <w:tc>
          <w:tcPr>
            <w:tcW w:w="60" w:type="dxa"/>
            <w:vAlign w:val="bottom"/>
          </w:tcPr>
          <w:p>
            <w:pPr>
              <w:spacing w:after="0"/>
              <w:rPr>
                <w:sz w:val="12"/>
                <w:szCs w:val="12"/>
                <w:color w:val="auto"/>
              </w:rPr>
            </w:pPr>
          </w:p>
        </w:tc>
        <w:tc>
          <w:tcPr>
            <w:tcW w:w="76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b w:val="1"/>
                <w:bCs w:val="1"/>
                <w:color w:val="auto"/>
              </w:rPr>
              <w:t>25%</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35"/>
        </w:trPr>
        <w:tc>
          <w:tcPr>
            <w:tcW w:w="438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INCOME (LOSS) - REAL ESTATE</w:t>
            </w: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United States</w:t>
            </w:r>
          </w:p>
        </w:tc>
        <w:tc>
          <w:tcPr>
            <w:tcW w:w="2760" w:type="dxa"/>
            <w:vAlign w:val="bottom"/>
          </w:tcPr>
          <w:p>
            <w:pPr>
              <w:spacing w:after="0"/>
              <w:rPr>
                <w:sz w:val="11"/>
                <w:szCs w:val="11"/>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(2)%</w:t>
            </w:r>
          </w:p>
        </w:tc>
        <w:tc>
          <w:tcPr>
            <w:tcW w:w="200" w:type="dxa"/>
            <w:vAlign w:val="bottom"/>
            <w:gridSpan w:val="2"/>
          </w:tcPr>
          <w:p>
            <w:pPr>
              <w:jc w:val="right"/>
              <w:ind w:right="6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(229)</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(5)%</w:t>
            </w:r>
          </w:p>
        </w:tc>
        <w:tc>
          <w:tcPr>
            <w:tcW w:w="4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(645)</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20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(1)%</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(&gt;100)%</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Australia</w:t>
            </w:r>
          </w:p>
        </w:tc>
        <w:tc>
          <w:tcPr>
            <w:tcW w:w="2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1,602</w:t>
            </w:r>
          </w:p>
        </w:tc>
        <w:tc>
          <w:tcPr>
            <w:tcW w:w="4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33%</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1,333</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26%</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4,521</w:t>
            </w:r>
          </w:p>
        </w:tc>
        <w:tc>
          <w:tcPr>
            <w:tcW w:w="4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30%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3,972</w:t>
            </w:r>
          </w:p>
        </w:tc>
        <w:tc>
          <w:tcPr>
            <w:tcW w:w="4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2"/>
              </w:rPr>
              <w:t>26%</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16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New Zealand</w:t>
            </w:r>
          </w:p>
        </w:tc>
        <w:tc>
          <w:tcPr>
            <w:tcW w:w="2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(131)</w:t>
            </w: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(642)</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(546)</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9"/>
              </w:rPr>
              <w:t>(4)%</w:t>
            </w:r>
          </w:p>
        </w:tc>
        <w:tc>
          <w:tcPr>
            <w:tcW w:w="60" w:type="dxa"/>
            <w:vAlign w:val="bottom"/>
          </w:tcPr>
          <w:p>
            <w:pPr>
              <w:spacing w:after="0"/>
              <w:rPr>
                <w:sz w:val="11"/>
                <w:szCs w:val="11"/>
                <w:color w:val="auto"/>
              </w:rPr>
            </w:pPr>
          </w:p>
        </w:tc>
        <w:tc>
          <w:tcPr>
            <w:tcW w:w="76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4380" w:type="dxa"/>
            <w:vAlign w:val="bottom"/>
            <w:tcBorders>
              <w:top w:val="single" w:sz="8" w:color="CCEEFF"/>
              <w:bottom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b w:val="1"/>
                <w:bCs w:val="1"/>
                <w:color w:val="auto"/>
              </w:rPr>
              <w:t>Total real estate operating income (loss)</w:t>
            </w: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920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18%</w:t>
            </w: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3,234</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2"/>
              </w:rPr>
              <w:t>21%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5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Real estate revenue for the quarter ended September 30, 2024, decreased slightly by $0.2 million, to $4.9 million, compared to the same period in the prior year. This revenue decrease was primarily due to the elimination of intercompany rent income due to the sale of our Maitland property in the fourth quarter of 2023 and the third party and intercompany rent income loss from our Culver City office building due to the abandonment by that tenant of their premises at the building in July 2023 (we subsequently sold the property in February 2024). Additionally, as a result of the Orpheum Theater being “dark” for July and August 2024, there was a decrease in Live theater rental and ancillary income contributing to the real estate revenue being $0.1 million lower compared to the same period in the prior year.</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nine months ended September 30, 2024, real estate revenue decreased by $0.5 million, to $14.8 million, compared to the same period in the prior year. Aligning with the third quarter of 2024, the slight decrease was due to the decrease in U.S. rental income, partially offset by the increase in rental income in Australia.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 Income/(Loss)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Real estate segment operating income for the quarter ended September 30, 2024 increased by $0.5 million to $1.4 million, compared to the same period in the prior year. This increase was primarily due reduced operating expenses in the U.S. and Australia and reduced global depreciation and amortization.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2" w:name="page43"/>
    <w:bookmarkEnd w:id="42"/>
    <w:p>
      <w:pPr>
        <w:ind w:right="20"/>
        <w:spacing w:after="0" w:line="242" w:lineRule="auto"/>
        <w:rPr>
          <w:sz w:val="20"/>
          <w:szCs w:val="20"/>
          <w:color w:val="auto"/>
        </w:rPr>
      </w:pPr>
      <w:r>
        <w:rPr>
          <w:rFonts w:ascii="Times New Roman" w:cs="Times New Roman" w:eastAsia="Times New Roman" w:hAnsi="Times New Roman"/>
          <w:sz w:val="18"/>
          <w:szCs w:val="18"/>
          <w:color w:val="auto"/>
        </w:rPr>
        <w:t>For the nine months ended September 30, 2024, real estate segment operating income increased slightly to $3.2 million, compared to the same period in the prior year. This increase in operating income was due to lower depreciation and amortization expenses across all three countries and lower general and administrative expense in Australia.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Financing Strategy</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COVID-19 pandemic, we used cash generated from operations and other excess cash to the extent not needed to fund capital investments contemplated by our business plan,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However, disruptions to our cinema cash flow caused by the (i) COVID-19 pandemic and government efforts to address the pandemic, (ii) the lack of receiving any U.S. federal COVID-19 pandemic funding (i.e. Payroll Protection Program and Shutter Venue Program) due to our public company status,</w:t>
      </w:r>
    </w:p>
    <w:p>
      <w:pPr>
        <w:spacing w:after="0" w:line="1" w:lineRule="exact"/>
        <w:rPr>
          <w:sz w:val="20"/>
          <w:szCs w:val="20"/>
          <w:color w:val="auto"/>
        </w:rPr>
      </w:pPr>
    </w:p>
    <w:p>
      <w:pPr>
        <w:jc w:val="both"/>
        <w:ind w:firstLine="8"/>
        <w:spacing w:after="0" w:line="234" w:lineRule="auto"/>
        <w:tabs>
          <w:tab w:leader="none" w:pos="3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 rise in interest rates and inflation which occurred following the pandemic and (iv) the 2023 Hollywood Strikes, we have needed to defer capital expenditures and to rely on borrowings and the proceeds of asset monetizations to cover our costs of operations, pay interest expense and pay down debt. Since March 31, 2020, we have paid down our institutional debt by $48.0 million.</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bank loans with Bank of America, NAB, and Westpac require that our Company comply with certain covenants. Furthermore, our Company’s use of loan funds from NAB and Westpac is limited due to limitations on the expatriation of funds from Australia and New Zealand to the United States. We believe that our lenders understand that we are doing everything that can reasonably be done, and that, generally speaking, our relationships with our lenders are good.</w:t>
      </w:r>
    </w:p>
    <w:p>
      <w:pPr>
        <w:spacing w:after="0" w:line="15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While our Company believes that there will be recovery in the global cinema business, we still face macroeconomic headwinds such as increased interest rates, inflation, supply chain issues and increased film rent, labor and operating costs, many of which are beyond our control. We have taken a variety of steps across our various operating jurisdictions to reduce our spending, including, without limitation, deferring non-essential capital expenditures, deferring certain operational expenses, renegotiating occupancy arrangements, deferring compensation expense and eliminating certain T&amp;E expenses. We are closely monitoring our debt maturity dates to arrange necessary amendments. In this third quarter of 2024, we have drawn an additional NZD $5.0 million loan from Westpac and extended the Santander loan’s maturity to June 1, 2025. In October 2024, we executed an amendment to our Bank of America loan to defer the monthly principal payments of $500,000 in October, November and December 2024 to the end of December 2024. In October 2024, we obtained two further six-month extensions for the Valley National Bank loan, the first of which we exercised. As of September 30, 2024, we have debt of $52.6 million coming due in the next 12 months. Notably, we expect that the recent reductions of federal funds rate in September 2024 (50 bps) and November 2024 (25 bps) will help ease the pressure on our financing and have a favorable impact on our interest expense and financial results in the coming quarter.</w:t>
      </w:r>
    </w:p>
    <w:p>
      <w:pPr>
        <w:spacing w:after="0" w:line="15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discussed elsewhere in this Report, we believe that cinema cash flow for the fourth quarter of this year and for 2025 will be strong. However, if our Company is unable to generate sufficient cash flow in the upcoming months, we will be required to adopt one or more alternatives, such as reducing, delaying or eliminating planned capital expenditure, monetizing additional assets, restructuring our debt and/or our lease obligations or finding additional sources of liquidity. In February 2024, we sold our Culver City office building for $10.0 million. While we incurred a loss of $1.1 million on the transaction, we were able to reduce debt by $8.4 million and to free up cash in the amount of $1.2 million which was used to support operational activities. Further, due to the scope and extent of office vacancies in Los Angeles County, we anticipate that we will be able to save approximately $1.5 million between now and the end of 2025 by moving to other premises. We listed as an asset held for sale our Newberry Yard property in Williamsport, Pennsylvania. This property was historically used as a rail yard, and, accordingly, improved with tracks and switches and has direct access to the area’s rail system. We carry the property on our books at a book value (the lower of cost or market, as opposed to fair market value) of $0.5 million. This asset was selected since it is currently non-income producing. Certain issues as to the location of various railroad rights of way have now been resolved on what we believe to be favorable terms and terms which enhance the value of the property.</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order to further bolster our liquidity and capital resources, in the second quarter 2024, we classified our Cannon Park property in Townsville, Australia and our Wellington property assemblage in New Zealand, with book values of $19.5 million and $17.9 million, respectively, as properties held for sale. Our Wellington assemblage consists of five parcels aggregating 161,082 square feet located in the entertainment center of Wellington and within walking distance of Wellington harbor, we are currently conducting a controlled auction of the property through JLL. No assurances can be given that we will consummate a sale of such assets. We have also classified the land underlying our Rotorua, New Zealand as held for sale.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cannot obtain sufficient net proceeds from the disposition of these assets (or determine to defer disposition due to unfavorable market conditions), in addition to other strategies, we may look to monetize other real estate assets.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xml:space="preserve">For more information about our borrowings, please refer to </w:t>
      </w:r>
      <w:r>
        <w:rPr>
          <w:rFonts w:ascii="Times New Roman" w:cs="Times New Roman" w:eastAsia="Times New Roman" w:hAnsi="Times New Roman"/>
          <w:sz w:val="18"/>
          <w:szCs w:val="18"/>
          <w:i w:val="1"/>
          <w:iCs w:val="1"/>
          <w:color w:val="auto"/>
        </w:rPr>
        <w:t>Part I – Financial Information, Item 2 – Notes to Consolidated Financial Statements-- Note 13</w:t>
      </w:r>
    </w:p>
    <w:p>
      <w:pPr>
        <w:spacing w:after="0" w:line="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 Borrowings</w:t>
      </w:r>
      <w:r>
        <w:rPr>
          <w:rFonts w:ascii="Times New Roman" w:cs="Times New Roman" w:eastAsia="Times New Roman" w:hAnsi="Times New Roman"/>
          <w:sz w:val="18"/>
          <w:szCs w:val="18"/>
          <w:color w:val="auto"/>
        </w:rPr>
        <w:t>. For more information about our efforts to manage our liquidity issues, see</w:t>
      </w:r>
      <w:r>
        <w:rPr>
          <w:rFonts w:ascii="Times New Roman" w:cs="Times New Roman" w:eastAsia="Times New Roman" w:hAnsi="Times New Roman"/>
          <w:sz w:val="18"/>
          <w:szCs w:val="18"/>
          <w:i w:val="1"/>
          <w:iCs w:val="1"/>
          <w:color w:val="auto"/>
        </w:rPr>
        <w:t xml:space="preserve"> Part I- Financial Information, Item 1 – Notes to Consolidated Financial Statements – Note 4 – Liquidity and Impairment Assessment.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nine months ended September 30, 2024, and September 30, 2023, respectively, are discussed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(11,818)</w:t>
            </w: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(6,366)</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4,989</w:t>
            </w: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(6,191)</w:t>
            </w:r>
          </w:p>
        </w:tc>
        <w:tc>
          <w:tcPr>
            <w:tcW w:w="11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2,127</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(3,886)</w:t>
            </w:r>
          </w:p>
        </w:tc>
        <w:tc>
          <w:tcPr>
            <w:tcW w:w="114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Effect of exchange rate on cash and restricted cash</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744</w:t>
            </w: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(897)</w:t>
            </w:r>
          </w:p>
        </w:tc>
        <w:tc>
          <w:tcPr>
            <w:tcW w:w="11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&gt;100</w:t>
            </w:r>
          </w:p>
        </w:tc>
        <w:tc>
          <w:tcPr>
            <w:tcW w:w="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00" w:type="dxa"/>
            <w:vAlign w:val="bottom"/>
            <w:tcBorders>
              <w:top w:val="single" w:sz="8" w:color="auto"/>
              <w:bottom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(3,958)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(17,340)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2024, increased by $5.5 million, to $11.8 million compared to cash used in the same period of prior year of $6.4 million. This was primarily driven by an increase in Net Loss and offset by an increase in net payables.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Cash provided in investing activities during the nine months ended September 30, 2024 was $5.0 million compared to cash used in the same period of prior year of $6.2 million. This was due to $9.7 million proceeds from sale of the Culver City office building in February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Cash provided in financing activities for the nine months ended September 30, 2024, increased by $6.0 million, to $2.1 million compared to cash used in the same prior year period. This was primarily due to the new bridge loan of $13.9 million from NAB on April 10, 2024, and an increase of $3.2 million for Westpac loan on August 19, 2024. The increase was partially offset by the payoff of the Citizens loan of $8.4 million, following the sale of the Culver City office buildings, the scheduled repayments of $4.0 million on the Bank of America Credit Facility, and $0.3 million debt repayment to Santander on August 23, 2024.</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changes in our total available resources (cash and borrowings), debt-to-equity ratio, working capital, and other relevant information addressing our liquidity for the nine months ended September 30, 2024, and preceding four years: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and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the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9‎-Months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4"/>
        </w:trPr>
        <w:tc>
          <w:tcPr>
            <w:tcW w:w="5080" w:type="dxa"/>
            <w:vAlign w:val="bottom"/>
            <w:vMerge w:val="continue"/>
          </w:tcPr>
          <w:p>
            <w:pPr>
              <w:spacing w:after="0"/>
              <w:rPr>
                <w:sz w:val="16"/>
                <w:szCs w:val="16"/>
                <w:color w:val="auto"/>
              </w:rPr>
            </w:pPr>
          </w:p>
        </w:tc>
        <w:tc>
          <w:tcPr>
            <w:tcW w:w="130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Resources (cash and borrowings)</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(unrestricted)</w:t>
            </w:r>
          </w:p>
        </w:tc>
        <w:tc>
          <w:tcPr>
            <w:tcW w:w="7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Unused borrowing facility</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15,490</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for capital projects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0" w:type="dxa"/>
            <w:vAlign w:val="bottom"/>
          </w:tcPr>
          <w:p>
            <w:pPr>
              <w:spacing w:after="0"/>
              <w:rPr>
                <w:sz w:val="1"/>
                <w:szCs w:val="1"/>
                <w:color w:val="auto"/>
              </w:rPr>
            </w:pPr>
          </w:p>
        </w:tc>
      </w:tr>
      <w:tr>
        <w:trPr>
          <w:trHeight w:val="175"/>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Unrestricted capacity</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resources at period end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42,316</w:t>
            </w: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unrestricted resources at period end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Debt-to-Equity Ratio</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contractual facility</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222,876</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218,159</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227,633</w:t>
            </w:r>
          </w:p>
        </w:tc>
        <w:tc>
          <w:tcPr>
            <w:tcW w:w="4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248,948</w:t>
            </w:r>
          </w:p>
        </w:tc>
        <w:tc>
          <w:tcPr>
            <w:tcW w:w="100" w:type="dxa"/>
            <w:vAlign w:val="bottom"/>
          </w:tcPr>
          <w:p>
            <w:pPr>
              <w:spacing w:after="0"/>
              <w:rPr>
                <w:sz w:val="15"/>
                <w:szCs w:val="15"/>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300,449</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debt (gross of deferred financing costs)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284,959</w:t>
            </w:r>
          </w:p>
        </w:tc>
        <w:tc>
          <w:tcPr>
            <w:tcW w:w="0" w:type="dxa"/>
            <w:vAlign w:val="bottom"/>
          </w:tcPr>
          <w:p>
            <w:pPr>
              <w:spacing w:after="0"/>
              <w:rPr>
                <w:sz w:val="1"/>
                <w:szCs w:val="1"/>
                <w:color w:val="auto"/>
              </w:rPr>
            </w:pPr>
          </w:p>
        </w:tc>
      </w:tr>
      <w:tr>
        <w:trPr>
          <w:trHeight w:val="175"/>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42,299</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Non-current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177,607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242,660</w:t>
            </w:r>
          </w:p>
        </w:tc>
        <w:tc>
          <w:tcPr>
            <w:tcW w:w="0" w:type="dxa"/>
            <w:vAlign w:val="bottom"/>
          </w:tcPr>
          <w:p>
            <w:pPr>
              <w:spacing w:after="0"/>
              <w:rPr>
                <w:sz w:val="1"/>
                <w:szCs w:val="1"/>
                <w:color w:val="auto"/>
              </w:rPr>
            </w:pPr>
          </w:p>
        </w:tc>
      </w:tr>
      <w:tr>
        <w:trPr>
          <w:trHeight w:val="175"/>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book equity</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81,173</w:t>
            </w:r>
          </w:p>
        </w:tc>
        <w:tc>
          <w:tcPr>
            <w:tcW w:w="0" w:type="dxa"/>
            <w:vAlign w:val="bottom"/>
          </w:tcPr>
          <w:p>
            <w:pPr>
              <w:spacing w:after="0"/>
              <w:rPr>
                <w:sz w:val="1"/>
                <w:szCs w:val="1"/>
                <w:color w:val="auto"/>
              </w:rPr>
            </w:pPr>
          </w:p>
        </w:tc>
      </w:tr>
      <w:tr>
        <w:trPr>
          <w:trHeight w:val="17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Debt-to-equity ratio</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Working Capital</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line="216" w:lineRule="exact"/>
              <w:rPr>
                <w:sz w:val="20"/>
                <w:szCs w:val="20"/>
                <w:color w:val="auto"/>
              </w:rPr>
            </w:pPr>
            <w:r>
              <w:rPr>
                <w:rFonts w:ascii="Times New Roman" w:cs="Times New Roman" w:eastAsia="Times New Roman" w:hAnsi="Times New Roman"/>
                <w:sz w:val="14"/>
                <w:szCs w:val="14"/>
                <w:color w:val="auto"/>
              </w:rPr>
              <w:t>Working capital (deficit)</w:t>
            </w:r>
            <w:r>
              <w:rPr>
                <w:rFonts w:ascii="Times New Roman" w:cs="Times New Roman" w:eastAsia="Times New Roman" w:hAnsi="Times New Roman"/>
                <w:sz w:val="23"/>
                <w:szCs w:val="23"/>
                <w:color w:val="auto"/>
                <w:vertAlign w:val="superscript"/>
              </w:rPr>
              <w:t>(1)</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(84,067)</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(88,373)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(74,152)</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(6,673)</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(64,140)</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ratio</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 (including acquisitions)</w:t>
            </w:r>
          </w:p>
        </w:tc>
        <w:tc>
          <w:tcPr>
            <w:tcW w:w="7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40" w:type="dxa"/>
            <w:vAlign w:val="bottom"/>
          </w:tcPr>
          <w:p>
            <w:pPr>
              <w:spacing w:after="0"/>
              <w:rPr>
                <w:sz w:val="16"/>
                <w:szCs w:val="16"/>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14,428</w:t>
            </w:r>
          </w:p>
        </w:tc>
        <w:tc>
          <w:tcPr>
            <w:tcW w:w="100" w:type="dxa"/>
            <w:vAlign w:val="bottom"/>
          </w:tcPr>
          <w:p>
            <w:pPr>
              <w:spacing w:after="0"/>
              <w:rPr>
                <w:sz w:val="16"/>
                <w:szCs w:val="16"/>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16,759</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660" w:right="20" w:hanging="328"/>
        <w:spacing w:after="0" w:line="261" w:lineRule="auto"/>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working capital is reported as a deficit, as we receive revenue from our cinema business ahead of the time that we have to pay our associated liabilities. We use the money we receive to pay down our borrowings in the first instance.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we had $10.1 million in unrestricted cash and cash equivalents compared to $12.9 million on December 31, 2023. On September 30, 2024, our total outstanding borrowings were $215.0 million compared to $210.3 million on December 31, 2023.</w:t>
      </w:r>
    </w:p>
    <w:p>
      <w:pPr>
        <w:spacing w:after="0" w:line="20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maturities and scheduled principal repayments of our recorded contractual obligations and certain of our commitments and contingencies, either recorded or off-balance sheet, as of September 30,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3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Debt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22,303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99,622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65,179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187,104</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 including imputed interest</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30,862</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29,623</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27,239</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23,460</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21,834</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113,572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246,590</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 including imputed interest</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Subordinated debt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27,913</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27,913</w:t>
            </w:r>
          </w:p>
        </w:tc>
      </w:tr>
      <w:tr>
        <w:trPr>
          <w:trHeight w:val="16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liability</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638</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r>
      <w:tr>
        <w:trPr>
          <w:trHeight w:val="162"/>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pension liability</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Estimated interest on debt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4,650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11,060</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5,293</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22,320</w:t>
            </w:r>
          </w:p>
        </w:tc>
      </w:tr>
      <w:tr>
        <w:trPr>
          <w:trHeight w:val="203"/>
        </w:trPr>
        <w:tc>
          <w:tcPr>
            <w:tcW w:w="32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Village East purchase option</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5,900</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r>
      <w:tr>
        <w:trPr>
          <w:trHeight w:val="163"/>
        </w:trPr>
        <w:tc>
          <w:tcPr>
            <w:tcW w:w="320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63,930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141,000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98,395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53,374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22,517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114,026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493,242</w:t>
            </w:r>
          </w:p>
        </w:tc>
      </w:tr>
    </w:tbl>
    <w:p>
      <w:pPr>
        <w:spacing w:after="0" w:line="7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presented gross of deferred financing costs.</w:t>
      </w:r>
    </w:p>
    <w:p>
      <w:pPr>
        <w:spacing w:after="0" w:line="17"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on debt is based on the anticipated loan balances for future periods and current applicable interest rates.</w:t>
      </w:r>
    </w:p>
    <w:p>
      <w:pPr>
        <w:ind w:left="660" w:hanging="328"/>
        <w:spacing w:after="0" w:line="258" w:lineRule="auto"/>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lease liability of the option associated with the ground lease purchase of the Village East Cinema, which on August 12, 2024 was extended to November 30, 2024 and our sublease of the facility was extended until September 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certain legal proceedings and, as required, have accrued estimates of probable and estimable losses for the resolution of these claims.</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in our 2023 Form 10-K for more information. There have been no material changes to our litigation since our 2023 Form 10-K, except as set forth in </w:t>
      </w:r>
      <w:r>
        <w:rPr>
          <w:rFonts w:ascii="Times New Roman" w:cs="Times New Roman" w:eastAsia="Times New Roman" w:hAnsi="Times New Roman"/>
          <w:sz w:val="18"/>
          <w:szCs w:val="18"/>
          <w:i w:val="1"/>
          <w:iCs w:val="1"/>
          <w:color w:val="auto"/>
        </w:rPr>
        <w:t>Notes to Consolidated Financial Statements-- Note 16 – Commitments and Contingencies</w:t>
      </w:r>
      <w:r>
        <w:rPr>
          <w:rFonts w:ascii="Times New Roman" w:cs="Times New Roman" w:eastAsia="Times New Roman" w:hAnsi="Times New Roman"/>
          <w:sz w:val="18"/>
          <w:szCs w:val="18"/>
          <w:color w:val="auto"/>
        </w:rPr>
        <w:t xml:space="preserve"> included herein in </w:t>
      </w:r>
      <w:r>
        <w:rPr>
          <w:rFonts w:ascii="Times New Roman" w:cs="Times New Roman" w:eastAsia="Times New Roman" w:hAnsi="Times New Roman"/>
          <w:sz w:val="18"/>
          <w:szCs w:val="18"/>
          <w:i w:val="1"/>
          <w:iCs w:val="1"/>
          <w:color w:val="auto"/>
        </w:rPr>
        <w:t xml:space="preserve">Part I – Financial Information, Item 1 – Financial Statements </w:t>
      </w:r>
      <w:r>
        <w:rPr>
          <w:rFonts w:ascii="Times New Roman" w:cs="Times New Roman" w:eastAsia="Times New Roman" w:hAnsi="Times New Roman"/>
          <w:sz w:val="18"/>
          <w:szCs w:val="18"/>
          <w:color w:val="auto"/>
        </w:rPr>
        <w:t>on this Quarterly Report on Form 10-Q. This note sets out our litigation accounting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application of the following accounting policies requires significant judgments and estimates in the preparation of our Consolidated Financial Statements and hence, are critical to our business operations and the understanding of our financial results:</w:t>
      </w:r>
    </w:p>
    <w:p>
      <w:pPr>
        <w:spacing w:after="0" w:line="120" w:lineRule="exact"/>
        <w:rPr>
          <w:sz w:val="20"/>
          <w:szCs w:val="20"/>
          <w:color w:val="auto"/>
        </w:rPr>
      </w:pPr>
    </w:p>
    <w:p>
      <w:pPr>
        <w:jc w:val="both"/>
        <w:ind w:left="660" w:hanging="4"/>
        <w:spacing w:after="0" w:line="233" w:lineRule="auto"/>
        <w:tabs>
          <w:tab w:leader="none" w:pos="898"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Long-lived Assets (other than Goodwill and Intangible Assets with indefinite lives) – </w:t>
      </w:r>
      <w:r>
        <w:rPr>
          <w:rFonts w:ascii="Times New Roman" w:cs="Times New Roman" w:eastAsia="Times New Roman" w:hAnsi="Times New Roman"/>
          <w:sz w:val="18"/>
          <w:szCs w:val="18"/>
          <w:color w:val="auto"/>
        </w:rPr>
        <w:t>we evaluate our long-lived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were recorded for long-lived and finite-lived intangible assets for the quarter ended September 30, 2024.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5" w:name="page46"/>
    <w:bookmarkEnd w:id="45"/>
    <w:p>
      <w:pPr>
        <w:jc w:val="both"/>
        <w:ind w:left="4" w:hanging="4"/>
        <w:spacing w:after="0" w:line="236" w:lineRule="auto"/>
        <w:tabs>
          <w:tab w:leader="none" w:pos="302"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Goodwill and Intangible Assets with indefinite lives – </w:t>
      </w:r>
      <w:r>
        <w:rPr>
          <w:rFonts w:ascii="Times New Roman" w:cs="Times New Roman" w:eastAsia="Times New Roman" w:hAnsi="Times New Roman"/>
          <w:sz w:val="18"/>
          <w:szCs w:val="18"/>
          <w:color w:val="auto"/>
        </w:rPr>
        <w:t>goodwill and intangible assets with indefinite useful lives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impairment losses were recorded for goodwill and indefinite-lived intangible assets for the quarter ended September 30, 2024.</w:t>
      </w:r>
    </w:p>
    <w:p>
      <w:pPr>
        <w:spacing w:after="0" w:line="200" w:lineRule="exact"/>
        <w:rPr>
          <w:sz w:val="20"/>
          <w:szCs w:val="20"/>
          <w:color w:val="auto"/>
        </w:rPr>
      </w:pPr>
    </w:p>
    <w:p>
      <w:pPr>
        <w:spacing w:after="0" w:line="36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201930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2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beliefs regarding the future of the Reading Viaduct;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the effects of our enhanced F&amp;B offerings on our operating results; our expectations regarding credit facility covenant compliance and our ability to continue to obtain necessary covenant waivers and loan extensions on terms acceptable to us; and our expectations of our liquidity and capital requirements and the allocation of funds; our expectations regarding our ability timely monetize certain assets and to generate sufficient cash proceeds from such sales; and our expectations concerning our ability to negotiate arrangements with our landlords to abate and/or defer the payment of rent; and our expectations regarding the reduction of the federal funds rate on our liquidity.</w:t>
      </w:r>
    </w:p>
    <w:p>
      <w:pPr>
        <w:spacing w:after="0" w:line="16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our cinema and live theatre operations: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reduced consumer demand due to inflationary pressures;</w:t>
      </w:r>
    </w:p>
    <w:p>
      <w:pPr>
        <w:spacing w:after="0" w:line="7" w:lineRule="exact"/>
        <w:rPr>
          <w:sz w:val="20"/>
          <w:szCs w:val="20"/>
          <w:color w:val="auto"/>
        </w:rPr>
      </w:pPr>
    </w:p>
    <w:p>
      <w:pPr>
        <w:ind w:left="980" w:right="20"/>
        <w:spacing w:after="0" w:line="235" w:lineRule="auto"/>
        <w:rPr>
          <w:sz w:val="20"/>
          <w:szCs w:val="20"/>
          <w:color w:val="auto"/>
        </w:rPr>
      </w:pPr>
      <w:r>
        <w:rPr>
          <w:rFonts w:ascii="Times New Roman" w:cs="Times New Roman" w:eastAsia="Times New Roman" w:hAnsi="Times New Roman"/>
          <w:sz w:val="18"/>
          <w:szCs w:val="18"/>
          <w:color w:val="auto"/>
        </w:rPr>
        <w:t>the adverse continuing effects of external events of the past COVID-19 pandemic and Hollywood Strikes on our Company’s results from operations, liquidity, cash flows, financial condition, and access to credit markets;</w:t>
      </w:r>
    </w:p>
    <w:p>
      <w:pPr>
        <w:spacing w:after="0" w:line="1" w:lineRule="exact"/>
        <w:rPr>
          <w:sz w:val="20"/>
          <w:szCs w:val="20"/>
          <w:color w:val="auto"/>
        </w:rPr>
      </w:pPr>
    </w:p>
    <w:p>
      <w:pPr>
        <w:ind w:left="980"/>
        <w:spacing w:after="0" w:line="226" w:lineRule="auto"/>
        <w:rPr>
          <w:sz w:val="20"/>
          <w:szCs w:val="20"/>
          <w:color w:val="auto"/>
        </w:rPr>
      </w:pPr>
      <w:r>
        <w:rPr>
          <w:rFonts w:ascii="Times New Roman" w:cs="Times New Roman" w:eastAsia="Times New Roman" w:hAnsi="Times New Roman"/>
          <w:sz w:val="18"/>
          <w:szCs w:val="18"/>
          <w:color w:val="auto"/>
        </w:rPr>
        <w:t>the adverse continuing impact of the COVID-19 pandemic or other contagious diseases on short-term and/or long-term entertainment, leisure and discretionary spending habits and practices of our patrons;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decrease in attendance at our cinemas and theatres due to (i) increased ticket prices (ii) a change in consumer</w:t>
      </w:r>
    </w:p>
    <w:p>
      <w:pPr>
        <w:spacing w:after="0" w:line="7"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behavior in favor of alternative forms or mediums of entertainment, and (iii) limited availability of wide release content;</w:t>
      </w:r>
    </w:p>
    <w:p>
      <w:pPr>
        <w:ind w:left="980"/>
        <w:spacing w:after="0" w:line="234" w:lineRule="auto"/>
        <w:rPr>
          <w:sz w:val="20"/>
          <w:szCs w:val="20"/>
          <w:color w:val="auto"/>
        </w:rPr>
      </w:pPr>
      <w:r>
        <w:rPr>
          <w:rFonts w:ascii="Times New Roman" w:cs="Times New Roman" w:eastAsia="Times New Roman" w:hAnsi="Times New Roman"/>
          <w:sz w:val="18"/>
          <w:szCs w:val="18"/>
          <w:color w:val="auto"/>
        </w:rPr>
        <w:t>reduction in operating margins (or negative operating margins) due to (i) decreased attendance, (ii) limited availability of wide release content, and (iii.) increased operating expenses;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unwillingness of employees to report to work due to the adverse effects of contagious diseases or to otherwise conduct work under any revised work environment protocols;</w:t>
      </w:r>
    </w:p>
    <w:p>
      <w:pPr>
        <w:spacing w:after="0" w:line="1" w:lineRule="exact"/>
        <w:rPr>
          <w:sz w:val="20"/>
          <w:szCs w:val="20"/>
          <w:color w:val="auto"/>
        </w:rPr>
      </w:pPr>
    </w:p>
    <w:p>
      <w:pPr>
        <w:ind w:left="980" w:right="1800"/>
        <w:spacing w:after="0" w:line="248" w:lineRule="auto"/>
        <w:rPr>
          <w:sz w:val="20"/>
          <w:szCs w:val="20"/>
          <w:color w:val="auto"/>
        </w:rPr>
      </w:pPr>
      <w:r>
        <w:rPr>
          <w:rFonts w:ascii="Times New Roman" w:cs="Times New Roman" w:eastAsia="Times New Roman" w:hAnsi="Times New Roman"/>
          <w:sz w:val="17"/>
          <w:szCs w:val="17"/>
          <w:color w:val="auto"/>
        </w:rPr>
        <w:t>competition from cinema operators who have successfully used debtor laws to reduce their debt and/or rent exposure; the uncertainty as to the scope and extent of our government's responses to future outbreak of infectious diseases;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spacing w:after="0" w:line="1" w:lineRule="exact"/>
        <w:rPr>
          <w:sz w:val="20"/>
          <w:szCs w:val="20"/>
          <w:color w:val="auto"/>
        </w:rPr>
      </w:pPr>
    </w:p>
    <w:p>
      <w:pPr>
        <w:jc w:val="right"/>
        <w:ind w:left="980"/>
        <w:spacing w:after="0" w:line="234" w:lineRule="auto"/>
        <w:rPr>
          <w:sz w:val="20"/>
          <w:szCs w:val="20"/>
          <w:color w:val="auto"/>
        </w:rPr>
      </w:pPr>
      <w:r>
        <w:rPr>
          <w:rFonts w:ascii="Times New Roman" w:cs="Times New Roman" w:eastAsia="Times New Roman" w:hAnsi="Times New Roman"/>
          <w:sz w:val="18"/>
          <w:szCs w:val="18"/>
          <w:color w:val="auto"/>
        </w:rPr>
        <w:t>the number and attractiveness to moviegoers of the films released in future periods, and potential changes in release dates for motion pictures; the lack of availability of films in the short- or long-term as a result of (i) major film distributors releasing scheduled films on alternative channels or (ii) disruptions of film production or (iii) rescheduling of movie releases into later periods, as most currently experienced due to</w:t>
      </w:r>
    </w:p>
    <w:p>
      <w:pPr>
        <w:spacing w:after="0" w:line="2"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effects of the 2023 Hollywood Strikes;</w:t>
      </w:r>
    </w:p>
    <w:p>
      <w:pPr>
        <w:ind w:left="660"/>
        <w:spacing w:after="0" w:line="234" w:lineRule="auto"/>
        <w:rPr>
          <w:sz w:val="20"/>
          <w:szCs w:val="20"/>
          <w:color w:val="auto"/>
        </w:rPr>
      </w:pPr>
      <w:r>
        <w:rPr>
          <w:rFonts w:ascii="Times New Roman" w:cs="Times New Roman" w:eastAsia="Times New Roman" w:hAnsi="Times New Roman"/>
          <w:sz w:val="18"/>
          <w:szCs w:val="18"/>
          <w:color w:val="auto"/>
        </w:rPr>
        <w:t>the amount of money spent by film distributors to promote their motion pictures;</w:t>
      </w:r>
    </w:p>
    <w:p>
      <w:pPr>
        <w:ind w:left="660"/>
        <w:spacing w:after="0"/>
        <w:rPr>
          <w:sz w:val="20"/>
          <w:szCs w:val="20"/>
          <w:color w:val="auto"/>
        </w:rPr>
      </w:pPr>
      <w:r>
        <w:rPr>
          <w:rFonts w:ascii="Times New Roman" w:cs="Times New Roman" w:eastAsia="Times New Roman" w:hAnsi="Times New Roman"/>
          <w:sz w:val="18"/>
          <w:szCs w:val="18"/>
          <w:color w:val="auto"/>
        </w:rPr>
        <w:t>the licensing fees and terms required by film distributors from motion picture exhibitors in order to exhibit their films;</w:t>
      </w:r>
    </w:p>
    <w:p>
      <w:pPr>
        <w:spacing w:after="0" w:line="7" w:lineRule="exact"/>
        <w:rPr>
          <w:sz w:val="20"/>
          <w:szCs w:val="20"/>
          <w:color w:val="auto"/>
        </w:rPr>
      </w:pPr>
    </w:p>
    <w:p>
      <w:pPr>
        <w:ind w:left="980" w:right="20"/>
        <w:spacing w:after="0" w:line="227" w:lineRule="auto"/>
        <w:rPr>
          <w:sz w:val="20"/>
          <w:szCs w:val="20"/>
          <w:color w:val="auto"/>
        </w:rPr>
      </w:pPr>
      <w:r>
        <w:rPr>
          <w:rFonts w:ascii="Times New Roman" w:cs="Times New Roman" w:eastAsia="Times New Roman" w:hAnsi="Times New Roman"/>
          <w:sz w:val="18"/>
          <w:szCs w:val="18"/>
          <w:color w:val="auto"/>
        </w:rPr>
        <w:t>the comparative attractiveness of motion pictures as a source of entertainment and willingness and/or ability of consumers (i) to spend their dollars on entertainment and (ii) to spend their entertainment dollars on movies in an outside-the-home environment;</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continue to obtain, to the extent needed, waivers or other financial accommodations from our lenders and landlords;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7" w:name="page48"/>
    <w:bookmarkEnd w:id="47"/>
    <w:p>
      <w:pPr>
        <w:ind w:left="640" w:right="2540"/>
        <w:spacing w:after="0" w:line="253" w:lineRule="auto"/>
        <w:rPr>
          <w:sz w:val="20"/>
          <w:szCs w:val="20"/>
          <w:color w:val="auto"/>
        </w:rPr>
      </w:pPr>
      <w:r>
        <w:rPr>
          <w:rFonts w:ascii="Times New Roman" w:cs="Times New Roman" w:eastAsia="Times New Roman" w:hAnsi="Times New Roman"/>
          <w:sz w:val="18"/>
          <w:szCs w:val="18"/>
          <w:color w:val="auto"/>
        </w:rPr>
        <w:t>the impact of major movies being released directly to one of the multitudes of streaming services available; the impact of certain competitors’ subscription or advance pay programs;</w:t>
      </w:r>
    </w:p>
    <w:p>
      <w:pPr>
        <w:ind w:left="320"/>
        <w:spacing w:after="0" w:line="236" w:lineRule="auto"/>
        <w:rPr>
          <w:sz w:val="20"/>
          <w:szCs w:val="20"/>
          <w:color w:val="auto"/>
        </w:rPr>
      </w:pPr>
      <w:r>
        <w:rPr>
          <w:rFonts w:ascii="Times New Roman" w:cs="Times New Roman" w:eastAsia="Times New Roman" w:hAnsi="Times New Roman"/>
          <w:sz w:val="18"/>
          <w:szCs w:val="18"/>
          <w:color w:val="auto"/>
        </w:rPr>
        <w:t>the failure of our new initiatives to gain significant customer acceptance and use or to generate meaningful profits;</w:t>
      </w:r>
    </w:p>
    <w:p>
      <w:pPr>
        <w:ind w:left="320"/>
        <w:spacing w:after="0" w:line="234" w:lineRule="auto"/>
        <w:rPr>
          <w:sz w:val="20"/>
          <w:szCs w:val="20"/>
          <w:color w:val="auto"/>
        </w:rPr>
      </w:pPr>
      <w:r>
        <w:rPr>
          <w:rFonts w:ascii="Times New Roman" w:cs="Times New Roman" w:eastAsia="Times New Roman" w:hAnsi="Times New Roman"/>
          <w:sz w:val="18"/>
          <w:szCs w:val="18"/>
          <w:color w:val="auto"/>
        </w:rPr>
        <w:t>the cost and impact of improvements to our cinemas, such as improved seating, enhanced F&amp;B offerings, and other improvements;</w:t>
      </w:r>
    </w:p>
    <w:p>
      <w:pPr>
        <w:ind w:left="640"/>
        <w:spacing w:after="0" w:line="234" w:lineRule="auto"/>
        <w:rPr>
          <w:sz w:val="20"/>
          <w:szCs w:val="20"/>
          <w:color w:val="auto"/>
        </w:rPr>
      </w:pPr>
      <w:r>
        <w:rPr>
          <w:rFonts w:ascii="Times New Roman" w:cs="Times New Roman" w:eastAsia="Times New Roman" w:hAnsi="Times New Roman"/>
          <w:sz w:val="18"/>
          <w:szCs w:val="18"/>
          <w:color w:val="auto"/>
        </w:rPr>
        <w:t>the ability to negotiate favorable rent abatement, deferral and repayment terms with our landlords (which may include lenders who have foreclosed on the collateral held by our prior landlords);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disruptions during cinema improvements;</w:t>
      </w:r>
    </w:p>
    <w:p>
      <w:pPr>
        <w:spacing w:after="0" w:line="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in the U.S., the impact of the termination and phase-out of the so called “Paramount Decree;”</w:t>
      </w:r>
    </w:p>
    <w:p>
      <w:pPr>
        <w:ind w:left="320"/>
        <w:spacing w:after="0" w:line="234" w:lineRule="auto"/>
        <w:rPr>
          <w:sz w:val="20"/>
          <w:szCs w:val="20"/>
          <w:color w:val="auto"/>
        </w:rPr>
      </w:pPr>
      <w:r>
        <w:rPr>
          <w:rFonts w:ascii="Times New Roman" w:cs="Times New Roman" w:eastAsia="Times New Roman" w:hAnsi="Times New Roman"/>
          <w:sz w:val="18"/>
          <w:szCs w:val="18"/>
          <w:color w:val="auto"/>
        </w:rPr>
        <w:t>the risk of damage and/or disruption of cinema businesses from earthquakes as certain of our operations are in geologically active areas;</w:t>
      </w:r>
    </w:p>
    <w:p>
      <w:pPr>
        <w:jc w:val="both"/>
        <w:ind w:left="640" w:right="20"/>
        <w:spacing w:after="0" w:line="256" w:lineRule="auto"/>
        <w:rPr>
          <w:sz w:val="20"/>
          <w:szCs w:val="20"/>
          <w:color w:val="auto"/>
        </w:rPr>
      </w:pPr>
      <w:r>
        <w:rPr>
          <w:rFonts w:ascii="Times New Roman" w:cs="Times New Roman" w:eastAsia="Times New Roman" w:hAnsi="Times New Roman"/>
          <w:sz w:val="17"/>
          <w:szCs w:val="17"/>
          <w:color w:val="auto"/>
        </w:rPr>
        <w:t>the impact of protests, demonstrations, and civil unrest on, among other things, government policy, consumer willingness to go to the movies; labor shortages and increased labor costs related to such shortages and to increasingly costly labor laws and regulations applicable to part time</w:t>
      </w:r>
    </w:p>
    <w:p>
      <w:pPr>
        <w:spacing w:after="0" w:line="1" w:lineRule="exact"/>
        <w:rPr>
          <w:sz w:val="20"/>
          <w:szCs w:val="20"/>
          <w:color w:val="auto"/>
        </w:rPr>
      </w:pPr>
    </w:p>
    <w:p>
      <w:pPr>
        <w:ind w:left="640"/>
        <w:spacing w:after="0" w:line="219" w:lineRule="auto"/>
        <w:rPr>
          <w:sz w:val="20"/>
          <w:szCs w:val="20"/>
          <w:color w:val="auto"/>
        </w:rPr>
      </w:pPr>
      <w:r>
        <w:rPr>
          <w:rFonts w:ascii="Times New Roman" w:cs="Times New Roman" w:eastAsia="Times New Roman" w:hAnsi="Times New Roman"/>
          <w:sz w:val="18"/>
          <w:szCs w:val="18"/>
          <w:color w:val="auto"/>
        </w:rPr>
        <w:t>non-exempt workers. Disruptions in film supply and film marketing due to the 2023 Hollywood Strikes; and</w:t>
      </w:r>
    </w:p>
    <w:p>
      <w:pPr>
        <w:ind w:left="640" w:right="20"/>
        <w:spacing w:after="0" w:line="234" w:lineRule="auto"/>
        <w:rPr>
          <w:sz w:val="20"/>
          <w:szCs w:val="20"/>
          <w:color w:val="auto"/>
        </w:rPr>
      </w:pPr>
      <w:r>
        <w:rPr>
          <w:rFonts w:ascii="Times New Roman" w:cs="Times New Roman" w:eastAsia="Times New Roman" w:hAnsi="Times New Roman"/>
          <w:sz w:val="18"/>
          <w:szCs w:val="18"/>
          <w:color w:val="auto"/>
        </w:rPr>
        <w:t>the ability to negotiate terms and conditions, including price, for the asset monetization transactions for the assets we have held for sale as of June 30, 2024.</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with respect to our real estate development and operation activities:</w:t>
      </w:r>
    </w:p>
    <w:p>
      <w:pPr>
        <w:ind w:left="640" w:right="3380"/>
        <w:spacing w:after="0" w:line="234" w:lineRule="auto"/>
        <w:rPr>
          <w:sz w:val="20"/>
          <w:szCs w:val="20"/>
          <w:color w:val="auto"/>
        </w:rPr>
      </w:pPr>
      <w:r>
        <w:rPr>
          <w:rFonts w:ascii="Times New Roman" w:cs="Times New Roman" w:eastAsia="Times New Roman" w:hAnsi="Times New Roman"/>
          <w:sz w:val="18"/>
          <w:szCs w:val="18"/>
          <w:color w:val="auto"/>
        </w:rPr>
        <w:t>the increased costs of wages, supplies, services and other development expenses from inflation; the impact on tenants from inflationary pressures;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uncertainty as to governmental responses to infectious diseases;</w:t>
      </w:r>
    </w:p>
    <w:p>
      <w:pPr>
        <w:spacing w:after="0" w:line="7" w:lineRule="exact"/>
        <w:rPr>
          <w:sz w:val="20"/>
          <w:szCs w:val="20"/>
          <w:color w:val="auto"/>
        </w:rPr>
      </w:pPr>
    </w:p>
    <w:p>
      <w:pPr>
        <w:ind w:left="640" w:right="1100"/>
        <w:spacing w:after="0" w:line="242" w:lineRule="auto"/>
        <w:rPr>
          <w:sz w:val="20"/>
          <w:szCs w:val="20"/>
          <w:color w:val="auto"/>
        </w:rPr>
      </w:pPr>
      <w:r>
        <w:rPr>
          <w:rFonts w:ascii="Times New Roman" w:cs="Times New Roman" w:eastAsia="Times New Roman" w:hAnsi="Times New Roman"/>
          <w:sz w:val="18"/>
          <w:szCs w:val="18"/>
          <w:color w:val="auto"/>
        </w:rPr>
        <w:t>the rental rates and capitalization rates applicable to the markets in which we operate and the quality of properties that we own; the ability to negotiate and execute lease agreements with material tenants;</w:t>
      </w:r>
    </w:p>
    <w:p>
      <w:pPr>
        <w:spacing w:after="0" w:line="1" w:lineRule="exact"/>
        <w:rPr>
          <w:sz w:val="20"/>
          <w:szCs w:val="20"/>
          <w:color w:val="auto"/>
        </w:rPr>
      </w:pPr>
    </w:p>
    <w:p>
      <w:pPr>
        <w:ind w:left="640" w:right="680"/>
        <w:spacing w:after="0" w:line="235" w:lineRule="auto"/>
        <w:rPr>
          <w:sz w:val="20"/>
          <w:szCs w:val="20"/>
          <w:color w:val="auto"/>
        </w:rPr>
      </w:pPr>
      <w:r>
        <w:rPr>
          <w:rFonts w:ascii="Times New Roman" w:cs="Times New Roman" w:eastAsia="Times New Roman" w:hAnsi="Times New Roman"/>
          <w:sz w:val="18"/>
          <w:szCs w:val="18"/>
          <w:color w:val="auto"/>
        </w:rPr>
        <w:t>the extent to which we can obtain on a timely basis the various land use approvals and entitlements needed to develop our properties; the risks and uncertainties associated with real estate development;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availability and cost of labor and materials;</w:t>
      </w:r>
    </w:p>
    <w:p>
      <w:pPr>
        <w:spacing w:after="0" w:line="7"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the ability to obtain all permits to construct improvements;</w:t>
      </w:r>
    </w:p>
    <w:p>
      <w:pPr>
        <w:ind w:left="640" w:right="920"/>
        <w:spacing w:after="0" w:line="242" w:lineRule="auto"/>
        <w:rPr>
          <w:sz w:val="20"/>
          <w:szCs w:val="20"/>
          <w:color w:val="auto"/>
        </w:rPr>
      </w:pPr>
      <w:r>
        <w:rPr>
          <w:rFonts w:ascii="Times New Roman" w:cs="Times New Roman" w:eastAsia="Times New Roman" w:hAnsi="Times New Roman"/>
          <w:sz w:val="18"/>
          <w:szCs w:val="18"/>
          <w:color w:val="auto"/>
        </w:rPr>
        <w:t>the ability to finance improvements, including, but not limited to increased cost of borrowing and tightened lender credit policies; the disruptions to our business from construction and/or renovations;</w:t>
      </w:r>
    </w:p>
    <w:p>
      <w:pPr>
        <w:spacing w:after="0" w:line="1" w:lineRule="exact"/>
        <w:rPr>
          <w:sz w:val="20"/>
          <w:szCs w:val="20"/>
          <w:color w:val="auto"/>
        </w:rPr>
      </w:pPr>
    </w:p>
    <w:p>
      <w:pPr>
        <w:ind w:left="640" w:right="4780"/>
        <w:spacing w:after="0" w:line="241" w:lineRule="auto"/>
        <w:rPr>
          <w:sz w:val="20"/>
          <w:szCs w:val="20"/>
          <w:color w:val="auto"/>
        </w:rPr>
      </w:pPr>
      <w:r>
        <w:rPr>
          <w:rFonts w:ascii="Times New Roman" w:cs="Times New Roman" w:eastAsia="Times New Roman" w:hAnsi="Times New Roman"/>
          <w:sz w:val="18"/>
          <w:szCs w:val="18"/>
          <w:color w:val="auto"/>
        </w:rPr>
        <w:t>the possibility of construction delays, work stoppage, and material shortage; competition for development sites and tenants;</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environmental remediation issues;</w:t>
      </w:r>
    </w:p>
    <w:p>
      <w:pPr>
        <w:ind w:left="640"/>
        <w:spacing w:after="0" w:line="234" w:lineRule="auto"/>
        <w:rPr>
          <w:sz w:val="20"/>
          <w:szCs w:val="20"/>
          <w:color w:val="auto"/>
        </w:rPr>
      </w:pPr>
      <w:r>
        <w:rPr>
          <w:rFonts w:ascii="Times New Roman" w:cs="Times New Roman" w:eastAsia="Times New Roman" w:hAnsi="Times New Roman"/>
          <w:sz w:val="18"/>
          <w:szCs w:val="18"/>
          <w:color w:val="auto"/>
        </w:rPr>
        <w:t>the extent to which our cinemas can continue to serve as an anchor tenant that will, in turn, be influenced by the same factors as will influence generally the results of our cinema operations;</w:t>
      </w:r>
    </w:p>
    <w:p>
      <w:pPr>
        <w:spacing w:after="0" w:line="1" w:lineRule="exact"/>
        <w:rPr>
          <w:sz w:val="20"/>
          <w:szCs w:val="20"/>
          <w:color w:val="auto"/>
        </w:rPr>
      </w:pPr>
    </w:p>
    <w:p>
      <w:pPr>
        <w:ind w:left="640" w:right="2340"/>
        <w:spacing w:after="0" w:line="241" w:lineRule="auto"/>
        <w:rPr>
          <w:sz w:val="20"/>
          <w:szCs w:val="20"/>
          <w:color w:val="auto"/>
        </w:rPr>
      </w:pPr>
      <w:r>
        <w:rPr>
          <w:rFonts w:ascii="Times New Roman" w:cs="Times New Roman" w:eastAsia="Times New Roman" w:hAnsi="Times New Roman"/>
          <w:sz w:val="18"/>
          <w:szCs w:val="18"/>
          <w:color w:val="auto"/>
        </w:rPr>
        <w:t>the increased depreciation and amortization expense as construction projects transition to leased real property; the ability to negotiate and execute joint venture opportunities and relationships;</w:t>
      </w:r>
    </w:p>
    <w:p>
      <w:pPr>
        <w:spacing w:after="0" w:line="1" w:lineRule="exact"/>
        <w:rPr>
          <w:sz w:val="20"/>
          <w:szCs w:val="20"/>
          <w:color w:val="auto"/>
        </w:rPr>
      </w:pPr>
    </w:p>
    <w:p>
      <w:pPr>
        <w:ind w:left="320"/>
        <w:spacing w:after="0" w:line="236" w:lineRule="auto"/>
        <w:rPr>
          <w:sz w:val="20"/>
          <w:szCs w:val="20"/>
          <w:color w:val="auto"/>
        </w:rPr>
      </w:pPr>
      <w:r>
        <w:rPr>
          <w:rFonts w:ascii="Times New Roman" w:cs="Times New Roman" w:eastAsia="Times New Roman" w:hAnsi="Times New Roman"/>
          <w:sz w:val="18"/>
          <w:szCs w:val="18"/>
          <w:color w:val="auto"/>
        </w:rPr>
        <w:t>the risk of damage and/or disruption of real estate businesses from earthquakes as certain of our operations are in geologically active areas;</w:t>
      </w:r>
    </w:p>
    <w:p>
      <w:pPr>
        <w:ind w:left="320"/>
        <w:spacing w:after="0" w:line="234" w:lineRule="auto"/>
        <w:rPr>
          <w:sz w:val="20"/>
          <w:szCs w:val="20"/>
          <w:color w:val="auto"/>
        </w:rPr>
      </w:pPr>
      <w:r>
        <w:rPr>
          <w:rFonts w:ascii="Times New Roman" w:cs="Times New Roman" w:eastAsia="Times New Roman" w:hAnsi="Times New Roman"/>
          <w:sz w:val="18"/>
          <w:szCs w:val="18"/>
          <w:color w:val="auto"/>
        </w:rPr>
        <w:t>the disruptions or reductions in the utilization of entertainment, shopping and hospitality venues, as well as in our operations, due to</w:t>
      </w:r>
    </w:p>
    <w:p>
      <w:pPr>
        <w:ind w:left="640" w:right="320"/>
        <w:spacing w:after="0" w:line="234" w:lineRule="auto"/>
        <w:rPr>
          <w:sz w:val="20"/>
          <w:szCs w:val="20"/>
          <w:color w:val="auto"/>
        </w:rPr>
      </w:pPr>
      <w:r>
        <w:rPr>
          <w:rFonts w:ascii="Times New Roman" w:cs="Times New Roman" w:eastAsia="Times New Roman" w:hAnsi="Times New Roman"/>
          <w:sz w:val="18"/>
          <w:szCs w:val="18"/>
          <w:color w:val="auto"/>
        </w:rPr>
        <w:t>pandemics, epidemics, widespread health emergencies, or outbreaks of infectious diseases, or to changing consumer tastes and habits; and the impact of protests, demonstrations, and civil unrest on government policy, consumer willingness to visit shopping centers.</w:t>
      </w:r>
    </w:p>
    <w:p>
      <w:pPr>
        <w:spacing w:after="0" w:line="1" w:lineRule="exact"/>
        <w:rPr>
          <w:sz w:val="20"/>
          <w:szCs w:val="20"/>
          <w:color w:val="auto"/>
        </w:rPr>
      </w:pPr>
    </w:p>
    <w:p>
      <w:pPr>
        <w:ind w:left="320"/>
        <w:spacing w:after="0" w:line="226" w:lineRule="auto"/>
        <w:rPr>
          <w:sz w:val="20"/>
          <w:szCs w:val="20"/>
          <w:color w:val="auto"/>
        </w:rPr>
      </w:pPr>
      <w:r>
        <w:rPr>
          <w:rFonts w:ascii="Times New Roman" w:cs="Times New Roman" w:eastAsia="Times New Roman" w:hAnsi="Times New Roman"/>
          <w:sz w:val="18"/>
          <w:szCs w:val="18"/>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 w:lineRule="exact"/>
        <w:rPr>
          <w:sz w:val="20"/>
          <w:szCs w:val="20"/>
          <w:color w:val="auto"/>
        </w:rPr>
      </w:pPr>
    </w:p>
    <w:p>
      <w:pPr>
        <w:ind w:left="640" w:right="460"/>
        <w:spacing w:after="0" w:line="241" w:lineRule="auto"/>
        <w:rPr>
          <w:sz w:val="20"/>
          <w:szCs w:val="20"/>
          <w:color w:val="auto"/>
        </w:rPr>
      </w:pPr>
      <w:r>
        <w:rPr>
          <w:rFonts w:ascii="Times New Roman" w:cs="Times New Roman" w:eastAsia="Times New Roman" w:hAnsi="Times New Roman"/>
          <w:sz w:val="18"/>
          <w:szCs w:val="18"/>
          <w:color w:val="auto"/>
        </w:rPr>
        <w:t>our ability to renew, extend, renegotiate or replace our loans that mature in 2024 and beyond, and the impact of increasing interest rates; our ability to grow our Company and provide value to our stockholders;</w:t>
      </w:r>
    </w:p>
    <w:p>
      <w:pPr>
        <w:spacing w:after="0" w:line="1" w:lineRule="exact"/>
        <w:rPr>
          <w:sz w:val="20"/>
          <w:szCs w:val="20"/>
          <w:color w:val="auto"/>
        </w:rPr>
      </w:pPr>
    </w:p>
    <w:p>
      <w:pPr>
        <w:ind w:left="640" w:right="20"/>
        <w:spacing w:after="0" w:line="235" w:lineRule="auto"/>
        <w:rPr>
          <w:sz w:val="20"/>
          <w:szCs w:val="20"/>
          <w:color w:val="auto"/>
        </w:rPr>
      </w:pPr>
      <w:r>
        <w:rPr>
          <w:rFonts w:ascii="Times New Roman" w:cs="Times New Roman" w:eastAsia="Times New Roman" w:hAnsi="Times New Roman"/>
          <w:sz w:val="18"/>
          <w:szCs w:val="18"/>
          <w:color w:val="auto"/>
        </w:rPr>
        <w:t>our ongoing access to borrowed funds and capital and the interest that must be paid on that debt and the returns that must be paid on such capital, and our ability to borrow funds to help cover the cessation of cash flows we experienced during the COVID-19 pandemic;</w:t>
      </w:r>
    </w:p>
    <w:p>
      <w:pPr>
        <w:spacing w:after="0" w:line="1" w:lineRule="exact"/>
        <w:rPr>
          <w:sz w:val="20"/>
          <w:szCs w:val="20"/>
          <w:color w:val="auto"/>
        </w:rPr>
      </w:pPr>
    </w:p>
    <w:p>
      <w:pPr>
        <w:ind w:left="640" w:right="4140"/>
        <w:spacing w:after="0" w:line="243" w:lineRule="auto"/>
        <w:rPr>
          <w:sz w:val="20"/>
          <w:szCs w:val="20"/>
          <w:color w:val="auto"/>
        </w:rPr>
      </w:pPr>
      <w:r>
        <w:rPr>
          <w:rFonts w:ascii="Times New Roman" w:cs="Times New Roman" w:eastAsia="Times New Roman" w:hAnsi="Times New Roman"/>
          <w:sz w:val="18"/>
          <w:szCs w:val="18"/>
          <w:color w:val="auto"/>
        </w:rPr>
        <w:t>our ability to reallocate funds among jurisdictions to meet short-term liquidity needs; the relative values of the currency used in the countries in which we operate;</w:t>
      </w:r>
    </w:p>
    <w:p>
      <w:pPr>
        <w:spacing w:after="0" w:line="1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499" w:right="339" w:bottom="1440" w:gutter="0" w:footer="0" w:header="0"/>
        </w:sectPr>
      </w:pPr>
    </w:p>
    <w:bookmarkStart w:id="48" w:name="page49"/>
    <w:bookmarkEnd w:id="48"/>
    <w:p>
      <w:pPr>
        <w:ind w:left="980"/>
        <w:spacing w:after="0" w:line="246" w:lineRule="auto"/>
        <w:rPr>
          <w:sz w:val="20"/>
          <w:szCs w:val="20"/>
          <w:color w:val="auto"/>
        </w:rPr>
      </w:pPr>
      <w:r>
        <w:rPr>
          <w:rFonts w:ascii="Times New Roman" w:cs="Times New Roman" w:eastAsia="Times New Roman" w:hAnsi="Times New Roman"/>
          <w:sz w:val="18"/>
          <w:szCs w:val="18"/>
          <w:color w:val="auto"/>
        </w:rPr>
        <w:t>changes in government regulation, including by way of example, the costs resulting from the requirements of Sarbanes-Oxley and other increased regulatory requirements;</w:t>
      </w:r>
    </w:p>
    <w:p>
      <w:pPr>
        <w:ind w:left="980" w:right="20"/>
        <w:spacing w:after="0" w:line="226" w:lineRule="auto"/>
        <w:rPr>
          <w:sz w:val="20"/>
          <w:szCs w:val="20"/>
          <w:color w:val="auto"/>
        </w:rPr>
      </w:pPr>
      <w:r>
        <w:rPr>
          <w:rFonts w:ascii="Times New Roman" w:cs="Times New Roman" w:eastAsia="Times New Roman" w:hAnsi="Times New Roman"/>
          <w:sz w:val="18"/>
          <w:szCs w:val="18"/>
          <w:color w:val="auto"/>
        </w:rPr>
        <w:t>our labor relations and costs of labor (including future government requirements with respect to minimum wages, shift scheduling, the use of consultants, pension liabilities, disability insurance and health coverage, and vacations and leave);</w:t>
      </w:r>
    </w:p>
    <w:p>
      <w:pPr>
        <w:spacing w:after="0" w:line="1" w:lineRule="exact"/>
        <w:rPr>
          <w:sz w:val="20"/>
          <w:szCs w:val="20"/>
          <w:color w:val="auto"/>
        </w:rPr>
      </w:pPr>
    </w:p>
    <w:p>
      <w:pPr>
        <w:ind w:left="980"/>
        <w:spacing w:after="0" w:line="230" w:lineRule="auto"/>
        <w:rPr>
          <w:sz w:val="20"/>
          <w:szCs w:val="20"/>
          <w:color w:val="auto"/>
        </w:rPr>
      </w:pPr>
      <w:r>
        <w:rPr>
          <w:rFonts w:ascii="Times New Roman" w:cs="Times New Roman" w:eastAsia="Times New Roman" w:hAnsi="Times New Roman"/>
          <w:sz w:val="18"/>
          <w:szCs w:val="18"/>
          <w:color w:val="auto"/>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spacing w:after="0" w:line="3" w:lineRule="exact"/>
        <w:rPr>
          <w:sz w:val="20"/>
          <w:szCs w:val="20"/>
          <w:color w:val="auto"/>
        </w:rPr>
      </w:pPr>
    </w:p>
    <w:p>
      <w:pPr>
        <w:ind w:left="980" w:right="860"/>
        <w:spacing w:after="0" w:line="241" w:lineRule="auto"/>
        <w:rPr>
          <w:sz w:val="20"/>
          <w:szCs w:val="20"/>
          <w:color w:val="auto"/>
        </w:rPr>
      </w:pPr>
      <w:r>
        <w:rPr>
          <w:rFonts w:ascii="Times New Roman" w:cs="Times New Roman" w:eastAsia="Times New Roman" w:hAnsi="Times New Roman"/>
          <w:sz w:val="18"/>
          <w:szCs w:val="18"/>
          <w:color w:val="auto"/>
        </w:rPr>
        <w:t>our exposure to cybersecurity risks, including misappropriation of customer information or other breaches of information security; the impact of future major outbreaks of contagious diseases;</w:t>
      </w:r>
    </w:p>
    <w:p>
      <w:pPr>
        <w:spacing w:after="0" w:line="1"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8"/>
          <w:szCs w:val="18"/>
          <w:color w:val="auto"/>
        </w:rPr>
        <w:t>the availability of employees and/or their ability or willingness to conduct work under any revised work environment protocols;</w:t>
      </w:r>
    </w:p>
    <w:p>
      <w:pPr>
        <w:ind w:left="980"/>
        <w:spacing w:after="0" w:line="234" w:lineRule="auto"/>
        <w:rPr>
          <w:sz w:val="20"/>
          <w:szCs w:val="20"/>
          <w:color w:val="auto"/>
        </w:rPr>
      </w:pPr>
      <w:r>
        <w:rPr>
          <w:rFonts w:ascii="Times New Roman" w:cs="Times New Roman" w:eastAsia="Times New Roman" w:hAnsi="Times New Roman"/>
          <w:sz w:val="18"/>
          <w:szCs w:val="18"/>
          <w:color w:val="auto"/>
        </w:rPr>
        <w:t>the increased risks related to employee matters, including increased employment litigation and claims relating to terminations or furloughs caused by cinema and ETC closures;</w:t>
      </w:r>
    </w:p>
    <w:p>
      <w:pPr>
        <w:spacing w:after="0" w:line="1" w:lineRule="exact"/>
        <w:rPr>
          <w:sz w:val="20"/>
          <w:szCs w:val="20"/>
          <w:color w:val="auto"/>
        </w:rPr>
      </w:pPr>
    </w:p>
    <w:p>
      <w:pPr>
        <w:ind w:left="980"/>
        <w:spacing w:after="0" w:line="229" w:lineRule="auto"/>
        <w:rPr>
          <w:sz w:val="20"/>
          <w:szCs w:val="20"/>
          <w:color w:val="auto"/>
        </w:rPr>
      </w:pPr>
      <w:r>
        <w:rPr>
          <w:rFonts w:ascii="Times New Roman" w:cs="Times New Roman" w:eastAsia="Times New Roman" w:hAnsi="Times New Roman"/>
          <w:sz w:val="18"/>
          <w:szCs w:val="18"/>
          <w:color w:val="auto"/>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spacing w:after="0" w:line="1"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our ability to comply with credit facility covenants and our ability to obtain necessary covenant waivers and necessary credit facility amendments;</w:t>
      </w:r>
    </w:p>
    <w:p>
      <w:pPr>
        <w:spacing w:after="0" w:line="1" w:lineRule="exact"/>
        <w:rPr>
          <w:sz w:val="20"/>
          <w:szCs w:val="20"/>
          <w:color w:val="auto"/>
        </w:rPr>
      </w:pP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4920"/>
        <w:spacing w:after="0" w:line="234" w:lineRule="auto"/>
        <w:rPr>
          <w:sz w:val="20"/>
          <w:szCs w:val="20"/>
          <w:color w:val="auto"/>
        </w:rPr>
      </w:pPr>
      <w:r>
        <w:rPr>
          <w:rFonts w:ascii="Times New Roman" w:cs="Times New Roman" w:eastAsia="Times New Roman" w:hAnsi="Times New Roman"/>
          <w:sz w:val="18"/>
          <w:szCs w:val="18"/>
          <w:color w:val="auto"/>
        </w:rPr>
        <w:t>inflationary pressures on labor and supplies, and supply chain disruptions; changes in applicable accounting policies and practices;</w:t>
      </w:r>
    </w:p>
    <w:p>
      <w:pPr>
        <w:spacing w:after="0" w:line="1" w:lineRule="exact"/>
        <w:rPr>
          <w:sz w:val="20"/>
          <w:szCs w:val="20"/>
          <w:color w:val="auto"/>
        </w:rPr>
      </w:pPr>
    </w:p>
    <w:p>
      <w:pPr>
        <w:ind w:left="980" w:right="20"/>
        <w:spacing w:after="0" w:line="234" w:lineRule="auto"/>
        <w:rPr>
          <w:sz w:val="20"/>
          <w:szCs w:val="20"/>
          <w:color w:val="auto"/>
        </w:rPr>
      </w:pPr>
      <w:r>
        <w:rPr>
          <w:rFonts w:ascii="Times New Roman" w:cs="Times New Roman" w:eastAsia="Times New Roman" w:hAnsi="Times New Roman"/>
          <w:sz w:val="18"/>
          <w:szCs w:val="18"/>
          <w:color w:val="auto"/>
        </w:rPr>
        <w:t>changes in future effective tax rates and the results of currently ongoing and future potential audits by taxing authorities having jurisdiction over our various companies;</w:t>
      </w:r>
    </w:p>
    <w:p>
      <w:pPr>
        <w:spacing w:after="0" w:line="1" w:lineRule="exact"/>
        <w:rPr>
          <w:sz w:val="20"/>
          <w:szCs w:val="20"/>
          <w:color w:val="auto"/>
        </w:rPr>
      </w:pPr>
    </w:p>
    <w:p>
      <w:pPr>
        <w:ind w:left="980" w:right="1000"/>
        <w:spacing w:after="0" w:line="258" w:lineRule="auto"/>
        <w:rPr>
          <w:sz w:val="20"/>
          <w:szCs w:val="20"/>
          <w:color w:val="auto"/>
        </w:rPr>
      </w:pPr>
      <w:r>
        <w:rPr>
          <w:rFonts w:ascii="Times New Roman" w:cs="Times New Roman" w:eastAsia="Times New Roman" w:hAnsi="Times New Roman"/>
          <w:sz w:val="18"/>
          <w:szCs w:val="18"/>
          <w:color w:val="auto"/>
        </w:rPr>
        <w:t>the impact of the conflict events occurring in Eastern Europe and the threats of potential conflicts in the Asia-Pacific region; and the impact of the conflict events occurring in Israel and the threats of other potential conflicts in the Middle East.</w:t>
      </w:r>
    </w:p>
    <w:p>
      <w:pPr>
        <w:spacing w:after="0" w:line="1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as well as the risk factors set forth in any other filings made under the Securities Act of 1934, as amended, including any of our Quarterly Reports on Form 10-Q, for more information.</w:t>
      </w:r>
    </w:p>
    <w:p>
      <w:pPr>
        <w:spacing w:after="0" w:line="1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Forward-looking statements made by us in this quarter report are based only on information currently available to us and are current only as of the date of this Quarterly Report on Form 10-Q for the period ended September 30, 2024.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Quantitative and Qualitative Disclosure about Market Risk</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SEC requires that registrants include information about potential effects of changes in currency exchange and interest rates in their filings. Several alternatives, all with some limitations, have been offered. We base the following discussion on a sensitivity analysis that models the effects of fluctuations in currency exchange rates and interest rates. This analysis is constrained by several factors, including the following:</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based on a single point in time; and</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does not include the effects of other complex market reactions that would arise from the changes modeled.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results of such an analysis may be useful as a benchmark, they should not be viewed as forecasts.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However, we do have intercompany debt and our ability to service this debt could be adversely impacted by declines in the relative value of the Australian and New Zealand dollars compared to the U.S. dollar. Also, our use of local borrowings to mitigate the business risk of currency fluctuations has reduced our flexibility to move cash between jurisdictions. Set forth below is a chart of the exchange ratios between these two currencies in relation to US dollars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121285</wp:posOffset>
            </wp:positionV>
            <wp:extent cx="6155055" cy="4389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5055" cy="438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recent periods, we have paid material intercompany dividends and have repaid intercompany debt, using these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0" w:name="page51"/>
    <w:bookmarkEnd w:id="50"/>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Australian dollar and/or the New Zealand dollar would effectively raise the overall cost of our borrowing and capital and make it more expensive to return funds from the United States to Australia and New Zealand.</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Company transacts business in Australia and New Zealand and is subject to risks associated with fluctuating foreign currency exchange rates. During the third quarter of 2024, the average Australian dollar and New Zealand dollar strengthened against the U.S. dollar by 2.3% and 1.1%, respectively, compared to the same prior year period. However, on a year-to-date basis, the average Australian dollar and New Zealand dollar weakened against the U.S. Dollar by 1.0% and 1.3%, respectively.</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At September 30, 2024, approximately 38.1% and 9.3% of our assets were invested in assets denominated in Australian dollars (Reading Entertainment Australia) and New Zealand dollars (Reading New Zealand), respectively, including approximately $6.3 million in cash and cash equivalents. At December 31, 2023, approximately 36.4% and 8.9% of our assets were invested in assets denominated in Australian dollars (Reading Entertainment Australia) and New Zealand dollars (Reading New Zealand), respectively, including approximately $5.8 million in cash and cash equivalents.</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policy in Australia and New Zealand is to match revenues and expenses, whenever possible, in local currencies. As a result, we have procured a majority of our expenses in Australia and New Zealand in local currencies. Despite this natural hedge, recent movements in foreign currencies and the current holding of U.S. dollars by certain Australian and New Zealand subsidiaries have had an effect on our current earnings. The effect of the translation adjustment on our assets and liabilities noted in our other comprehensive income was an increase of $1.6 million for the quarter ended September 30, 2024. As we continue to progress our acquisition and development activities in Australia and New Zealand, no assurances can be given that the foreign currency effect on our earnings will not be material in the future.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We have also historically paid management fees to the U.S. to cover a portion of our domestic overhead. The fluctuations of the Australian and New Zealand currencies, however, may impact our ability to rely on such funding for ongoing support of our domestic overhead.</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record unrealized foreign currency translation gains or losses that could materially affect our financial position. As of September 30, 2024, and December 31, 2023, the balance of cumulative foreign currency translation adjustments were approximately a ($1.0) million loss and ($1.0) million loss,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exposure to interest rate risk arises out of our long-term floating-rate borrowings. To manage the risk, we utilize interest rate derivative contracts to convert certain 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we maintain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 combination of fixed and variable interest rate loans. In connection with our variable interest rate loans, a change of approximately 1% in short-term interest rates would have resulted in an approximate $518,000 increase or decrease in our quarterly interest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on market risks, please refer to </w:t>
      </w:r>
      <w:r>
        <w:rPr>
          <w:rFonts w:ascii="Times New Roman" w:cs="Times New Roman" w:eastAsia="Times New Roman" w:hAnsi="Times New Roman"/>
          <w:sz w:val="18"/>
          <w:szCs w:val="18"/>
          <w:i w:val="1"/>
          <w:iCs w:val="1"/>
          <w:color w:val="auto"/>
        </w:rPr>
        <w:t>Part I, Item 1A – Risk Factors</w:t>
      </w:r>
      <w:r>
        <w:rPr>
          <w:rFonts w:ascii="Times New Roman" w:cs="Times New Roman" w:eastAsia="Times New Roman" w:hAnsi="Times New Roman"/>
          <w:sz w:val="18"/>
          <w:szCs w:val="18"/>
          <w:color w:val="auto"/>
        </w:rPr>
        <w:t xml:space="preserve"> included on our 2023 Form 10-K.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Controls and Procedures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spacing w:after="0" w:line="1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connection with the preparation of this Amendment, our management, under the supervision and with the participation of our Chief Executive Officer and Chief Financial Officer, evaluated the effectiveness of our controls and procedures as of September 30, 2024. At the time of the Original Filing, our Chief Executive Officer and Chief Financial Officer concluded that, as of September 30, 2024, our disclosure controls and procedures were effective. In connection with this restatement, the Chief Executive Officer and Chief Financial Officer re-evaluated disclosure controls and procedures and concluded that as of September 30, 2024, our disclosure controls and procedures were not effective due to a material weakness in our internal control over financial reporting. This material weakness led to an error in an erroneous reversal and treatment of a liability in the quarter ended June 30, 2024, and subsequent treatment of that liability in the quarter ended September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 in Internal Control Over Financial Reporting</w:t>
      </w:r>
    </w:p>
    <w:p>
      <w:pPr>
        <w:spacing w:after="0" w:line="189"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Management is actively engaged in the implementation of remediation measures to address the internal control deficiencies that resulted in the material weakness in internal control over financial reporting as of September 30, 2024. The Company's remediation actions are being overseen by the Audit Committee of the Board of Directors. Management is in the process of developing a plan to address the deficiency identified.</w:t>
      </w:r>
    </w:p>
    <w:p>
      <w:pPr>
        <w:spacing w:after="0" w:line="157"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8"/>
          <w:szCs w:val="18"/>
          <w:color w:val="auto"/>
        </w:rPr>
        <w:t xml:space="preserve">We will continue to modify our remediation plan and may implement additional measures as we complete the redesign and operation of our internal controls in this area. We believe that, once implemented, these additional internal control activities will strengthen our internal control over financial reporting and remediate the material weakness. </w:t>
      </w:r>
      <w:r>
        <w:rPr>
          <w:rFonts w:ascii="Times New Roman" w:cs="Times New Roman" w:eastAsia="Times New Roman" w:hAnsi="Times New Roman"/>
          <w:sz w:val="18"/>
          <w:szCs w:val="18"/>
          <w:color w:val="212529"/>
        </w:rPr>
        <w:t>The material weakness will not be considered remediated until the controls are in place for a sufficient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period of time and management has concluded, through testing, that the controls are operating effectively</w:t>
      </w:r>
      <w:r>
        <w:rPr>
          <w:rFonts w:ascii="Times New Roman" w:cs="Times New Roman" w:eastAsia="Times New Roman" w:hAnsi="Times New Roman"/>
          <w:sz w:val="18"/>
          <w:szCs w:val="18"/>
          <w:color w:val="000000"/>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Other than as described above, there were no other changes in our internal control over financial reporting (as defined in Rule 13a-15(f) and 15d-15(f) under the Exchange Act) that occurred during the third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 Legal Proceedings</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information required under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is incorporated by reference to the information contained in </w:t>
      </w:r>
      <w:r>
        <w:rPr>
          <w:rFonts w:ascii="Times New Roman" w:cs="Times New Roman" w:eastAsia="Times New Roman" w:hAnsi="Times New Roman"/>
          <w:sz w:val="18"/>
          <w:szCs w:val="18"/>
          <w:i w:val="1"/>
          <w:iCs w:val="1"/>
          <w:color w:val="auto"/>
        </w:rPr>
        <w:t>Notes to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Note 16 – Commitments and Contingencies </w:t>
      </w:r>
      <w:r>
        <w:rPr>
          <w:rFonts w:ascii="Times New Roman" w:cs="Times New Roman" w:eastAsia="Times New Roman" w:hAnsi="Times New Roman"/>
          <w:sz w:val="18"/>
          <w:szCs w:val="18"/>
          <w:color w:val="auto"/>
        </w:rPr>
        <w:t>included herein in</w:t>
      </w:r>
      <w:r>
        <w:rPr>
          <w:rFonts w:ascii="Times New Roman" w:cs="Times New Roman" w:eastAsia="Times New Roman" w:hAnsi="Times New Roman"/>
          <w:sz w:val="18"/>
          <w:szCs w:val="18"/>
          <w:i w:val="1"/>
          <w:iCs w:val="1"/>
          <w:color w:val="auto"/>
        </w:rPr>
        <w:t xml:space="preserve"> Part I – Financial Information, Item 1 – Financial Statements </w:t>
      </w:r>
      <w:r>
        <w:rPr>
          <w:rFonts w:ascii="Times New Roman" w:cs="Times New Roman" w:eastAsia="Times New Roman" w:hAnsi="Times New Roman"/>
          <w:sz w:val="18"/>
          <w:szCs w:val="18"/>
          <w:color w:val="auto"/>
        </w:rPr>
        <w:t>on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details on our legal proceedings, please refer to </w:t>
      </w:r>
      <w:r>
        <w:rPr>
          <w:rFonts w:ascii="Times New Roman" w:cs="Times New Roman" w:eastAsia="Times New Roman" w:hAnsi="Times New Roman"/>
          <w:sz w:val="18"/>
          <w:szCs w:val="18"/>
          <w:i w:val="1"/>
          <w:iCs w:val="1"/>
          <w:color w:val="auto"/>
        </w:rPr>
        <w:t>Part I, Item 3 – Legal Proceedings,</w:t>
      </w:r>
      <w:r>
        <w:rPr>
          <w:rFonts w:ascii="Times New Roman" w:cs="Times New Roman" w:eastAsia="Times New Roman" w:hAnsi="Times New Roman"/>
          <w:sz w:val="18"/>
          <w:szCs w:val="18"/>
          <w:color w:val="auto"/>
        </w:rPr>
        <w:t xml:space="preserve"> contained in our 2023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Item 1A of our 2023 Form 10-K.</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encourage investors to review the risks and uncertainties relating to our business disclosed under the heading Risk Factors or otherwise in the 2023 Form 10-K, as well as those contained in Part I – Forward-Looking Statements thereof, as revised or supplemented by our Quarterly Reports filed with the SEC since the filing of the 2023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 Mine Safety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 Other Information</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of the Company adopted or terminated a “Rule 10b5-1 trading arrangement” or a “non-Rule 10b5-1 trading arrangement” (in each case, as defined in Item 408 of Regulation S-K).</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6 – Exhibits</w:t>
            </w:r>
          </w:p>
        </w:tc>
        <w:tc>
          <w:tcPr>
            <w:tcW w:w="5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63"/>
        </w:trPr>
        <w:tc>
          <w:tcPr>
            <w:tcW w:w="1340" w:type="dxa"/>
            <w:vAlign w:val="bottom"/>
            <w:tcBorders>
              <w:top w:val="single" w:sz="8" w:color="auto"/>
            </w:tcBorders>
          </w:tcPr>
          <w:p>
            <w:pPr>
              <w:spacing w:after="0"/>
              <w:rPr>
                <w:sz w:val="22"/>
                <w:szCs w:val="22"/>
                <w:color w:val="auto"/>
              </w:rPr>
            </w:pPr>
          </w:p>
        </w:tc>
        <w:tc>
          <w:tcPr>
            <w:tcW w:w="53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2"/>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6"/>
            <w:shd w:val="clear" w:color="auto" w:fill="CCEEFF"/>
          </w:tcPr>
          <w:p>
            <w:pPr>
              <w:spacing w:after="0" w:line="16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 xml:space="preserve">Letter of Variation dated August 09, 2024, between Westpac New Zealand Limited and Reading Courtenay Central Limited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p>
        </w:tc>
      </w:tr>
      <w:tr>
        <w:trPr>
          <w:trHeight w:val="164"/>
        </w:trPr>
        <w:tc>
          <w:tcPr>
            <w:tcW w:w="1340" w:type="dxa"/>
            <w:vAlign w:val="bottom"/>
            <w:tcBorders>
              <w:top w:val="single" w:sz="8" w:color="CCEEFF"/>
              <w:right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4"/>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w w:val="98"/>
              </w:rPr>
              <w:t>Exhibit 10.1 to the Company’s Quarterly Report on Form 10-Q for the quarter ended September 30, 2024 filed on November</w:t>
            </w:r>
          </w:p>
        </w:tc>
        <w:tc>
          <w:tcPr>
            <w:tcW w:w="20" w:type="dxa"/>
            <w:vAlign w:val="bottom"/>
            <w:tcBorders>
              <w:top w:val="single" w:sz="8" w:color="0000EE"/>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jc w:val="right"/>
              <w:ind w:right="150"/>
              <w:spacing w:after="0" w:line="164" w:lineRule="exact"/>
              <w:rPr>
                <w:sz w:val="20"/>
                <w:szCs w:val="20"/>
                <w:color w:val="auto"/>
              </w:rPr>
            </w:pPr>
            <w:r>
              <w:rPr>
                <w:rFonts w:ascii="Times New Roman" w:cs="Times New Roman" w:eastAsia="Times New Roman" w:hAnsi="Times New Roman"/>
                <w:sz w:val="18"/>
                <w:szCs w:val="18"/>
                <w:color w:val="auto"/>
              </w:rPr>
              <w:t>14, 2024</w:t>
            </w:r>
          </w:p>
        </w:tc>
      </w:tr>
      <w:tr>
        <w:trPr>
          <w:trHeight w:val="234"/>
        </w:trPr>
        <w:tc>
          <w:tcPr>
            <w:tcW w:w="1340" w:type="dxa"/>
            <w:vAlign w:val="bottom"/>
            <w:tcBorders>
              <w:right w:val="single" w:sz="8" w:color="CCEEFF"/>
            </w:tcBorders>
            <w:shd w:val="clear" w:color="auto" w:fill="CCEEFF"/>
          </w:tcPr>
          <w:p>
            <w:pPr>
              <w:spacing w:after="0"/>
              <w:rPr>
                <w:sz w:val="20"/>
                <w:szCs w:val="20"/>
                <w:color w:val="auto"/>
              </w:rPr>
            </w:pPr>
          </w:p>
        </w:tc>
        <w:tc>
          <w:tcPr>
            <w:tcW w:w="9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169"/>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7760" w:type="dxa"/>
            <w:vAlign w:val="bottom"/>
            <w:tcBorders>
              <w:bottom w:val="single" w:sz="8" w:color="0000FF"/>
            </w:tcBorders>
            <w:gridSpan w:val="3"/>
          </w:tcPr>
          <w:p>
            <w:pPr>
              <w:spacing w:after="0" w:line="162"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Certification of the Principal Executive Officer Pursuant to Section 302 of the Sarbanes-Oxley Act of 2002.</w:t>
              </w:r>
            </w:hyperlink>
          </w:p>
        </w:tc>
        <w:tc>
          <w:tcPr>
            <w:tcW w:w="2140" w:type="dxa"/>
            <w:vAlign w:val="bottom"/>
            <w:gridSpan w:val="3"/>
          </w:tcPr>
          <w:p>
            <w:pPr>
              <w:spacing w:after="0"/>
              <w:rPr>
                <w:sz w:val="14"/>
                <w:szCs w:val="14"/>
                <w:color w:val="auto"/>
              </w:rPr>
            </w:pPr>
          </w:p>
        </w:tc>
      </w:tr>
      <w:tr>
        <w:trPr>
          <w:trHeight w:val="169"/>
        </w:trPr>
        <w:tc>
          <w:tcPr>
            <w:tcW w:w="1340" w:type="dxa"/>
            <w:vAlign w:val="bottom"/>
            <w:tcBorders>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6"/>
            <w:shd w:val="clear" w:color="auto" w:fill="CCEEFF"/>
          </w:tcPr>
          <w:p>
            <w:pPr>
              <w:spacing w:after="0" w:line="16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Certification of the Principal Financial Officer Pursuant to Section 302 of the Sarbanes-Oxley Act of 2002.</w:t>
              </w:r>
            </w:hyperlink>
          </w:p>
        </w:tc>
      </w:tr>
      <w:tr>
        <w:trPr>
          <w:trHeight w:val="162"/>
        </w:trPr>
        <w:tc>
          <w:tcPr>
            <w:tcW w:w="134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7700" w:type="dxa"/>
            <w:vAlign w:val="bottom"/>
            <w:tcBorders>
              <w:top w:val="single" w:sz="8" w:color="0000FF"/>
            </w:tcBorders>
            <w:gridSpan w:val="2"/>
          </w:tcPr>
          <w:p>
            <w:pPr>
              <w:spacing w:after="0" w:line="16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Certifications Pursuant to Section 906 of the Sarbanes-Oxley Act of 2002.</w:t>
              </w:r>
            </w:hyperlink>
          </w:p>
        </w:tc>
        <w:tc>
          <w:tcPr>
            <w:tcW w:w="2200" w:type="dxa"/>
            <w:vAlign w:val="bottom"/>
            <w:tcBorders>
              <w:top w:val="single" w:sz="8" w:color="CCEEFF"/>
            </w:tcBorders>
            <w:gridSpan w:val="4"/>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536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ind w:left="1340" w:right="100" w:hanging="1319"/>
        <w:spacing w:after="0" w:line="227"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our Company’s Quarterly Report on Form 10-Q for the quarter ended September 30, 2024,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4972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34" w:lineRule="auto"/>
        <w:rPr>
          <w:sz w:val="20"/>
          <w:szCs w:val="20"/>
          <w:color w:val="auto"/>
        </w:rPr>
      </w:pPr>
      <w:r>
        <w:rPr>
          <w:rFonts w:ascii="Times New Roman" w:cs="Times New Roman" w:eastAsia="Times New Roman" w:hAnsi="Times New Roman"/>
          <w:sz w:val="16"/>
          <w:szCs w:val="16"/>
          <w:color w:val="auto"/>
        </w:rPr>
        <w:t>*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4" w:name="page55"/>
    <w:bookmarkEnd w:id="54"/>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READING INTERNATIONAL,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Ellen M. Cotter</w:t>
      </w:r>
    </w:p>
    <w:p>
      <w:pPr>
        <w:spacing w:after="0" w:line="221" w:lineRule="auto"/>
        <w:rPr>
          <w:sz w:val="20"/>
          <w:szCs w:val="20"/>
          <w:color w:val="auto"/>
        </w:rPr>
      </w:pPr>
      <w:r>
        <w:rPr>
          <w:rFonts w:ascii="Times New Roman" w:cs="Times New Roman" w:eastAsia="Times New Roman" w:hAnsi="Times New Roman"/>
          <w:sz w:val="18"/>
          <w:szCs w:val="18"/>
          <w:color w:val="auto"/>
        </w:rPr>
        <w:t>Ellen M. Cotter</w:t>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Gilbert Avanes</w:t>
      </w:r>
    </w:p>
    <w:p>
      <w:pPr>
        <w:spacing w:after="0" w:line="237" w:lineRule="auto"/>
        <w:rPr>
          <w:sz w:val="20"/>
          <w:szCs w:val="20"/>
          <w:color w:val="auto"/>
        </w:rPr>
      </w:pPr>
      <w:r>
        <w:rPr>
          <w:rFonts w:ascii="Times New Roman" w:cs="Times New Roman" w:eastAsia="Times New Roman" w:hAnsi="Times New Roman"/>
          <w:sz w:val="18"/>
          <w:szCs w:val="18"/>
          <w:color w:val="auto"/>
        </w:rPr>
        <w:t>Gilbert Avanes</w:t>
      </w: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sectPr>
      <w:pgSz w:w="11900" w:h="16838" w:orient="portrait"/>
      <w:cols w:equalWidth="0" w:num="1">
        <w:col w:w="10340"/>
      </w:cols>
      <w:pgMar w:left="320" w:top="29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lowerRoman"/>
      <w:start w:val="1"/>
    </w:lvl>
  </w:abstractNum>
  <w:abstractNum w:abstractNumId="8">
    <w:nsid w:val="8EDBDAB"/>
    <w:multiLevelType w:val="hybridMultilevel"/>
    <w:lvl w:ilvl="0">
      <w:lvlJc w:val="left"/>
      <w:lvlText w:val=" "/>
      <w:numFmt w:val="bullet"/>
      <w:start w:val="1"/>
    </w:lvl>
  </w:abstractNum>
  <w:abstractNum w:abstractNumId="9">
    <w:nsid w:val="79838CB2"/>
    <w:multiLevelType w:val="hybridMultilevel"/>
    <w:lvl w:ilvl="0">
      <w:lvlJc w:val="left"/>
      <w:lvlText w:val=" "/>
      <w:numFmt w:val="bullet"/>
      <w:start w:val="1"/>
    </w:lvl>
  </w:abstractNum>
  <w:abstractNum w:abstractNumId="10">
    <w:nsid w:val="4353D0CD"/>
    <w:multiLevelType w:val="hybridMultilevel"/>
    <w:lvl w:ilvl="0">
      <w:lvlJc w:val="left"/>
      <w:lvlText w:val=" "/>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
      <w:numFmt w:val="bullet"/>
      <w:start w:val="1"/>
    </w:lvl>
  </w:abstractNum>
  <w:abstractNum w:abstractNumId="13">
    <w:nsid w:val="54E49EB4"/>
    <w:multiLevelType w:val="hybridMultilevel"/>
    <w:lvl w:ilvl="0">
      <w:lvlJc w:val="left"/>
      <w:lvlText w:val="(%1)"/>
      <w:numFmt w:val="lowerRoman"/>
      <w:start w:val="1"/>
    </w:lvl>
  </w:abstractNum>
  <w:abstractNum w:abstractNumId="14">
    <w:nsid w:val="71F32454"/>
    <w:multiLevelType w:val="hybridMultilevel"/>
    <w:lvl w:ilvl="0">
      <w:lvlJc w:val="left"/>
      <w:lvlText w:val=" "/>
      <w:numFmt w:val="bullet"/>
      <w:start w:val="1"/>
    </w:lvl>
  </w:abstractNum>
  <w:abstractNum w:abstractNumId="15">
    <w:nsid w:val="2CA88611"/>
    <w:multiLevelType w:val="hybridMultilevel"/>
    <w:lvl w:ilvl="0">
      <w:lvlJc w:val="left"/>
      <w:lvlText w:val=" "/>
      <w:numFmt w:val="bullet"/>
      <w:start w:val="1"/>
    </w:lvl>
  </w:abstractNum>
  <w:abstractNum w:abstractNumId="16">
    <w:nsid w:val="836C40E"/>
    <w:multiLevelType w:val="hybridMultilevel"/>
    <w:lvl w:ilvl="0">
      <w:lvlJc w:val="left"/>
      <w:lvlText w:val=" "/>
      <w:numFmt w:val="bullet"/>
      <w:start w:val="1"/>
    </w:lvl>
  </w:abstractNum>
  <w:abstractNum w:abstractNumId="17">
    <w:nsid w:val="2901D82"/>
    <w:multiLevelType w:val="hybridMultilevel"/>
    <w:lvl w:ilvl="0">
      <w:lvlJc w:val="left"/>
      <w:lvlText w:val=" "/>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
      <w:numFmt w:val="bullet"/>
      <w:start w:val="1"/>
    </w:lvl>
  </w:abstractNum>
  <w:abstractNum w:abstractNumId="22">
    <w:nsid w:val="737B8DDC"/>
    <w:multiLevelType w:val="hybridMultilevel"/>
    <w:lvl w:ilvl="0">
      <w:lvlJc w:val="left"/>
      <w:lvlText w:val=" "/>
      <w:numFmt w:val="bullet"/>
      <w:start w:val="1"/>
    </w:lvl>
  </w:abstractNum>
  <w:abstractNum w:abstractNumId="23">
    <w:nsid w:val="6CEAF087"/>
    <w:multiLevelType w:val="hybridMultilevel"/>
    <w:lvl w:ilvl="0">
      <w:lvlJc w:val="left"/>
      <w:lvlText w:val=" "/>
      <w:numFmt w:val="bullet"/>
      <w:start w:val="1"/>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 "/>
      <w:numFmt w:val="bullet"/>
      <w:start w:val="1"/>
    </w:lvl>
    <w:lvl w:ilvl="1">
      <w:lvlJc w:val="left"/>
      <w:lvlText w:val=" "/>
      <w:numFmt w:val="bullet"/>
      <w:start w:val="1"/>
    </w:lvl>
  </w:abstractNum>
  <w:abstractNum w:abstractNumId="27">
    <w:nsid w:val="614FD4A1"/>
    <w:multiLevelType w:val="hybridMultilevel"/>
    <w:lvl w:ilvl="0">
      <w:lvlJc w:val="left"/>
      <w:lvlText w:val=" "/>
      <w:numFmt w:val="bullet"/>
      <w:start w:val="1"/>
    </w:lvl>
  </w:abstractNum>
  <w:abstractNum w:abstractNumId="28">
    <w:nsid w:val="419AC241"/>
    <w:multiLevelType w:val="hybridMultilevel"/>
    <w:lvl w:ilvl="0">
      <w:lvlJc w:val="left"/>
      <w:lvlText w:val=" "/>
      <w:numFmt w:val="bullet"/>
      <w:start w:val="1"/>
    </w:lvl>
  </w:abstractNum>
  <w:abstractNum w:abstractNumId="29">
    <w:nsid w:val="5577F8E1"/>
    <w:multiLevelType w:val="hybridMultilevel"/>
    <w:lvl w:ilvl="0">
      <w:lvlJc w:val="left"/>
      <w:lvlText w:val="(%1)"/>
      <w:numFmt w:val="lowerRoman"/>
      <w:start w:val="3"/>
    </w:lvl>
  </w:abstractNum>
  <w:abstractNum w:abstractNumId="30">
    <w:nsid w:val="440BADFC"/>
    <w:multiLevelType w:val="hybridMultilevel"/>
    <w:lvl w:ilvl="0">
      <w:lvlJc w:val="left"/>
      <w:lvlText w:val="\endash "/>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1)"/>
      <w:numFmt w:val="lowerRoman"/>
      <w:start w:val="2"/>
    </w:lvl>
  </w:abstractNum>
  <w:abstractNum w:abstractNumId="35">
    <w:nsid w:val="5C482A97"/>
    <w:multiLevelType w:val="hybridMultilevel"/>
    <w:lvl w:ilvl="0">
      <w:lvlJc w:val="left"/>
      <w:lvlText w:val=" "/>
      <w:numFmt w:val="bullet"/>
      <w:start w:val="1"/>
    </w:lvl>
  </w:abstractNum>
  <w:abstractNum w:abstractNumId="36">
    <w:nsid w:val="2463B9EA"/>
    <w:multiLevelType w:val="hybridMultilevel"/>
    <w:lvl w:ilvl="0">
      <w:lvlJc w:val="left"/>
      <w:lvlText w:val=" "/>
      <w:numFmt w:val="bullet"/>
      <w:start w:val="1"/>
    </w:lvl>
  </w:abstractNum>
  <w:abstractNum w:abstractNumId="37">
    <w:nsid w:val="5E884ADC"/>
    <w:multiLevelType w:val="hybridMultilevel"/>
    <w:lvl w:ilvl="0">
      <w:lvlJc w:val="left"/>
      <w:lvlText w:val=" "/>
      <w:numFmt w:val="bullet"/>
      <w:start w:val="1"/>
    </w:lvl>
  </w:abstractNum>
  <w:abstractNum w:abstractNumId="38">
    <w:nsid w:val="51EAD36B"/>
    <w:multiLevelType w:val="hybridMultilevel"/>
    <w:lvl w:ilvl="0">
      <w:lvlJc w:val="left"/>
      <w:lvlText w:val=" "/>
      <w:numFmt w:val="bullet"/>
      <w:start w:val="1"/>
    </w:lvl>
  </w:abstractNum>
  <w:abstractNum w:abstractNumId="39">
    <w:nsid w:val="2D517796"/>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74" Type="http://schemas.openxmlformats.org/officeDocument/2006/relationships/hyperlink" Target="http://www.sec.gov/Archives/edgar/data/716634/000071663424000035/rdi-20240930xex10_1.htm" TargetMode="External"/><Relationship Id="rId75" Type="http://schemas.openxmlformats.org/officeDocument/2006/relationships/hyperlink" Target="http://www.sec.gov/Archives/edgar/data/716634/000071663424000035/rdi-20240930xex31_1.htm" TargetMode="External"/><Relationship Id="rId76" Type="http://schemas.openxmlformats.org/officeDocument/2006/relationships/hyperlink" Target="http://www.sec.gov/Archives/edgar/data/716634/000071663424000035/rdi-20240930xex31_2.htm" TargetMode="External"/><Relationship Id="rId77" Type="http://schemas.openxmlformats.org/officeDocument/2006/relationships/hyperlink" Target="http://www.sec.gov/Archives/edgar/data/716634/000071663424000035/rdi-20240930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2025-03-31T13:45:36Z</dcterms:created>
  <dcterms:modified xsi:type="dcterms:W3CDTF">2025-03-31T13:45:36Z</dcterms:modified>
</cp:coreProperties>
</file>