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jc w:val="center"/>
        <w:ind w:right="-19"/>
        <w:spacing w:after="0" w:line="220" w:lineRule="auto"/>
        <w:rPr>
          <w:sz w:val="20"/>
          <w:szCs w:val="20"/>
          <w:color w:val="auto"/>
        </w:rPr>
      </w:pPr>
      <w:r>
        <w:rPr>
          <w:rFonts w:ascii="Times New Roman" w:cs="Times New Roman" w:eastAsia="Times New Roman" w:hAnsi="Times New Roman"/>
          <w:sz w:val="25"/>
          <w:szCs w:val="25"/>
          <w:b w:val="1"/>
          <w:bCs w:val="1"/>
          <w:color w:val="auto"/>
        </w:rPr>
        <w:t>Form 10-K/A</w:t>
      </w:r>
    </w:p>
    <w:p>
      <w:pPr>
        <w:jc w:val="center"/>
        <w:ind w:right="-19"/>
        <w:spacing w:after="0" w:line="228" w:lineRule="auto"/>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ind w:left="1840" w:hanging="719"/>
        <w:spacing w:after="0" w:line="229" w:lineRule="auto"/>
        <w:tabs>
          <w:tab w:leader="none" w:pos="18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ANNUAL REPORT PURSUANT TO SECTION 13 OR 15(d) OF THE SECURITIES EXCHANGE ACT OF 1934</w:t>
      </w:r>
    </w:p>
    <w:p>
      <w:pPr>
        <w:ind w:left="3920"/>
        <w:spacing w:after="0" w:line="219"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For the fiscal year ended December 31, 2025</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7" w:lineRule="exact"/>
        <w:rPr>
          <w:sz w:val="24"/>
          <w:szCs w:val="24"/>
          <w:color w:val="auto"/>
        </w:rPr>
      </w:pPr>
    </w:p>
    <w:p>
      <w:pPr>
        <w:ind w:left="3460" w:right="880" w:hanging="2332"/>
        <w:spacing w:after="0" w:line="227" w:lineRule="auto"/>
        <w:tabs>
          <w:tab w:leader="none" w:pos="16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transaction period from __________ to __________</w:t>
      </w:r>
    </w:p>
    <w:p>
      <w:pPr>
        <w:spacing w:after="0" w:line="1" w:lineRule="exact"/>
        <w:rPr>
          <w:rFonts w:ascii="MS PGothic" w:cs="MS PGothic" w:eastAsia="MS PGothic" w:hAnsi="MS PGothic"/>
          <w:sz w:val="18"/>
          <w:szCs w:val="18"/>
          <w:color w:val="auto"/>
        </w:rPr>
      </w:pPr>
    </w:p>
    <w:p>
      <w:pPr>
        <w:ind w:left="4400"/>
        <w:spacing w:after="0" w:line="217"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1-8625</w:t>
      </w:r>
    </w:p>
    <w:p>
      <w:pPr>
        <w:jc w:val="center"/>
        <w:ind w:right="-19"/>
        <w:spacing w:after="0" w:line="234" w:lineRule="auto"/>
        <w:rPr>
          <w:sz w:val="20"/>
          <w:szCs w:val="20"/>
          <w:color w:val="auto"/>
        </w:rPr>
      </w:pPr>
      <w:r>
        <w:rPr>
          <w:rFonts w:ascii="Times New Roman" w:cs="Times New Roman" w:eastAsia="Times New Roman" w:hAnsi="Times New Roman"/>
          <w:sz w:val="29"/>
          <w:szCs w:val="29"/>
          <w:b w:val="1"/>
          <w:bCs w:val="1"/>
          <w:color w:val="auto"/>
        </w:rPr>
        <w:t>Reading International, Inc.</w:t>
      </w:r>
    </w:p>
    <w:p>
      <w:pPr>
        <w:jc w:val="center"/>
        <w:ind w:right="-19"/>
        <w:spacing w:after="0" w:line="235"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tbl>
      <w:tblPr>
        <w:tblLayout w:type="fixed"/>
        <w:tblInd w:w="480" w:type="dxa"/>
        <w:tblCellMar>
          <w:top w:w="0" w:type="dxa"/>
          <w:left w:w="0" w:type="dxa"/>
          <w:bottom w:w="0" w:type="dxa"/>
          <w:right w:w="0" w:type="dxa"/>
        </w:tblCellMar>
      </w:tblPr>
      <w:tr>
        <w:trPr>
          <w:trHeight w:val="170"/>
        </w:trPr>
        <w:tc>
          <w:tcPr>
            <w:tcW w:w="450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Nevada</w:t>
            </w:r>
          </w:p>
        </w:tc>
        <w:tc>
          <w:tcPr>
            <w:tcW w:w="1660" w:type="dxa"/>
            <w:vAlign w:val="bottom"/>
          </w:tcPr>
          <w:p>
            <w:pPr>
              <w:spacing w:after="0"/>
              <w:rPr>
                <w:sz w:val="14"/>
                <w:szCs w:val="14"/>
                <w:color w:val="auto"/>
              </w:rPr>
            </w:pPr>
          </w:p>
        </w:tc>
        <w:tc>
          <w:tcPr>
            <w:tcW w:w="3840" w:type="dxa"/>
            <w:vAlign w:val="bottom"/>
          </w:tcPr>
          <w:p>
            <w:pPr>
              <w:jc w:val="right"/>
              <w:ind w:right="1534"/>
              <w:spacing w:after="0" w:line="170" w:lineRule="exact"/>
              <w:rPr>
                <w:sz w:val="20"/>
                <w:szCs w:val="20"/>
                <w:color w:val="auto"/>
              </w:rPr>
            </w:pPr>
            <w:r>
              <w:rPr>
                <w:rFonts w:ascii="Times New Roman" w:cs="Times New Roman" w:eastAsia="Times New Roman" w:hAnsi="Times New Roman"/>
                <w:sz w:val="18"/>
                <w:szCs w:val="18"/>
                <w:b w:val="1"/>
                <w:bCs w:val="1"/>
                <w:color w:val="auto"/>
              </w:rPr>
              <w:t>95-3885184</w:t>
            </w:r>
          </w:p>
        </w:tc>
        <w:tc>
          <w:tcPr>
            <w:tcW w:w="0" w:type="dxa"/>
            <w:vAlign w:val="bottom"/>
          </w:tcPr>
          <w:p>
            <w:pPr>
              <w:spacing w:after="0"/>
              <w:rPr>
                <w:sz w:val="1"/>
                <w:szCs w:val="1"/>
                <w:color w:val="auto"/>
              </w:rPr>
            </w:pPr>
          </w:p>
        </w:tc>
      </w:tr>
      <w:tr>
        <w:trPr>
          <w:trHeight w:val="185"/>
        </w:trPr>
        <w:tc>
          <w:tcPr>
            <w:tcW w:w="4500" w:type="dxa"/>
            <w:vAlign w:val="bottom"/>
          </w:tcPr>
          <w:p>
            <w:pPr>
              <w:jc w:val="center"/>
              <w:ind w:right="13"/>
              <w:spacing w:after="0" w:line="185" w:lineRule="exact"/>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660" w:type="dxa"/>
            <w:vAlign w:val="bottom"/>
          </w:tcPr>
          <w:p>
            <w:pPr>
              <w:spacing w:after="0"/>
              <w:rPr>
                <w:sz w:val="16"/>
                <w:szCs w:val="16"/>
                <w:color w:val="auto"/>
              </w:rPr>
            </w:pPr>
          </w:p>
        </w:tc>
        <w:tc>
          <w:tcPr>
            <w:tcW w:w="3840" w:type="dxa"/>
            <w:vAlign w:val="bottom"/>
          </w:tcPr>
          <w:p>
            <w:pPr>
              <w:jc w:val="center"/>
              <w:ind w:right="174"/>
              <w:spacing w:after="0" w:line="185"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193"/>
        </w:trPr>
        <w:tc>
          <w:tcPr>
            <w:tcW w:w="450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189 Second Avenue, Suite 2S, New York, New York</w:t>
            </w:r>
          </w:p>
        </w:tc>
        <w:tc>
          <w:tcPr>
            <w:tcW w:w="1660" w:type="dxa"/>
            <w:vAlign w:val="bottom"/>
          </w:tcPr>
          <w:p>
            <w:pPr>
              <w:spacing w:after="0"/>
              <w:rPr>
                <w:sz w:val="16"/>
                <w:szCs w:val="16"/>
                <w:color w:val="auto"/>
              </w:rPr>
            </w:pPr>
          </w:p>
        </w:tc>
        <w:tc>
          <w:tcPr>
            <w:tcW w:w="3840" w:type="dxa"/>
            <w:vAlign w:val="bottom"/>
          </w:tcPr>
          <w:p>
            <w:pPr>
              <w:jc w:val="right"/>
              <w:ind w:right="1734"/>
              <w:spacing w:after="0" w:line="193" w:lineRule="exact"/>
              <w:rPr>
                <w:sz w:val="20"/>
                <w:szCs w:val="20"/>
                <w:color w:val="auto"/>
              </w:rPr>
            </w:pPr>
            <w:r>
              <w:rPr>
                <w:rFonts w:ascii="Times New Roman" w:cs="Times New Roman" w:eastAsia="Times New Roman" w:hAnsi="Times New Roman"/>
                <w:sz w:val="18"/>
                <w:szCs w:val="18"/>
                <w:b w:val="1"/>
                <w:bCs w:val="1"/>
                <w:color w:val="auto"/>
              </w:rPr>
              <w:t>10003</w:t>
            </w:r>
          </w:p>
        </w:tc>
        <w:tc>
          <w:tcPr>
            <w:tcW w:w="0" w:type="dxa"/>
            <w:vAlign w:val="bottom"/>
          </w:tcPr>
          <w:p>
            <w:pPr>
              <w:spacing w:after="0"/>
              <w:rPr>
                <w:sz w:val="1"/>
                <w:szCs w:val="1"/>
                <w:color w:val="auto"/>
              </w:rPr>
            </w:pPr>
          </w:p>
        </w:tc>
      </w:tr>
      <w:tr>
        <w:trPr>
          <w:trHeight w:val="234"/>
        </w:trPr>
        <w:tc>
          <w:tcPr>
            <w:tcW w:w="45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60" w:type="dxa"/>
            <w:vAlign w:val="bottom"/>
            <w:vMerge w:val="restart"/>
          </w:tcPr>
          <w:p>
            <w:pPr>
              <w:jc w:val="center"/>
              <w:ind w:right="297"/>
              <w:spacing w:after="0"/>
              <w:rPr>
                <w:sz w:val="20"/>
                <w:szCs w:val="20"/>
                <w:color w:val="auto"/>
              </w:rPr>
            </w:pPr>
            <w:r>
              <w:rPr>
                <w:rFonts w:ascii="Times New Roman" w:cs="Times New Roman" w:eastAsia="Times New Roman" w:hAnsi="Times New Roman"/>
                <w:sz w:val="18"/>
                <w:szCs w:val="18"/>
                <w:b w:val="1"/>
                <w:bCs w:val="1"/>
                <w:color w:val="auto"/>
                <w:w w:val="99"/>
              </w:rPr>
              <w:t>(213) 235-2240</w:t>
            </w:r>
          </w:p>
        </w:tc>
        <w:tc>
          <w:tcPr>
            <w:tcW w:w="3840" w:type="dxa"/>
            <w:vAlign w:val="bottom"/>
          </w:tcPr>
          <w:p>
            <w:pPr>
              <w:jc w:val="center"/>
              <w:ind w:right="174"/>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10000" w:type="dxa"/>
            <w:vAlign w:val="bottom"/>
            <w:gridSpan w:val="3"/>
          </w:tcPr>
          <w:p>
            <w:pPr>
              <w:jc w:val="center"/>
              <w:ind w:left="213"/>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257"/>
        </w:trPr>
        <w:tc>
          <w:tcPr>
            <w:tcW w:w="10000" w:type="dxa"/>
            <w:vAlign w:val="bottom"/>
            <w:gridSpan w:val="3"/>
          </w:tcPr>
          <w:p>
            <w:pPr>
              <w:jc w:val="center"/>
              <w:ind w:left="213"/>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00"/>
        </w:trPr>
        <w:tc>
          <w:tcPr>
            <w:tcW w:w="4500" w:type="dxa"/>
            <w:vAlign w:val="bottom"/>
          </w:tcPr>
          <w:p>
            <w:pPr>
              <w:jc w:val="center"/>
              <w:ind w:right="773"/>
              <w:spacing w:after="0"/>
              <w:rPr>
                <w:sz w:val="20"/>
                <w:szCs w:val="20"/>
                <w:color w:val="auto"/>
              </w:rPr>
            </w:pPr>
            <w:r>
              <w:rPr>
                <w:rFonts w:ascii="Times New Roman" w:cs="Times New Roman" w:eastAsia="Times New Roman" w:hAnsi="Times New Roman"/>
                <w:sz w:val="16"/>
                <w:szCs w:val="16"/>
                <w:color w:val="auto"/>
              </w:rPr>
              <w:t>Title of Each Class</w:t>
            </w:r>
          </w:p>
        </w:tc>
        <w:tc>
          <w:tcPr>
            <w:tcW w:w="1660" w:type="dxa"/>
            <w:vAlign w:val="bottom"/>
          </w:tcPr>
          <w:p>
            <w:pPr>
              <w:jc w:val="center"/>
              <w:ind w:right="317"/>
              <w:spacing w:after="0"/>
              <w:rPr>
                <w:sz w:val="20"/>
                <w:szCs w:val="20"/>
                <w:color w:val="auto"/>
              </w:rPr>
            </w:pPr>
            <w:r>
              <w:rPr>
                <w:rFonts w:ascii="Times New Roman" w:cs="Times New Roman" w:eastAsia="Times New Roman" w:hAnsi="Times New Roman"/>
                <w:sz w:val="16"/>
                <w:szCs w:val="16"/>
                <w:color w:val="auto"/>
              </w:rPr>
              <w:t>Trading Symbol</w:t>
            </w:r>
          </w:p>
        </w:tc>
        <w:tc>
          <w:tcPr>
            <w:tcW w:w="3840" w:type="dxa"/>
            <w:vAlign w:val="bottom"/>
          </w:tcPr>
          <w:p>
            <w:pPr>
              <w:jc w:val="center"/>
              <w:ind w:left="674"/>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76"/>
        </w:trPr>
        <w:tc>
          <w:tcPr>
            <w:tcW w:w="4500" w:type="dxa"/>
            <w:vAlign w:val="bottom"/>
          </w:tcPr>
          <w:p>
            <w:pPr>
              <w:jc w:val="center"/>
              <w:ind w:right="773"/>
              <w:spacing w:after="0" w:line="175" w:lineRule="exact"/>
              <w:rPr>
                <w:sz w:val="20"/>
                <w:szCs w:val="20"/>
                <w:color w:val="auto"/>
              </w:rPr>
            </w:pPr>
            <w:r>
              <w:rPr>
                <w:rFonts w:ascii="Times New Roman" w:cs="Times New Roman" w:eastAsia="Times New Roman" w:hAnsi="Times New Roman"/>
                <w:sz w:val="16"/>
                <w:szCs w:val="16"/>
                <w:b w:val="1"/>
                <w:bCs w:val="1"/>
                <w:color w:val="auto"/>
              </w:rPr>
              <w:t>Class A Non-Voting Common Stock, $0.01 Par Value</w:t>
            </w:r>
          </w:p>
        </w:tc>
        <w:tc>
          <w:tcPr>
            <w:tcW w:w="1660" w:type="dxa"/>
            <w:vAlign w:val="bottom"/>
          </w:tcPr>
          <w:p>
            <w:pPr>
              <w:jc w:val="center"/>
              <w:ind w:right="317"/>
              <w:spacing w:after="0" w:line="175" w:lineRule="exact"/>
              <w:rPr>
                <w:sz w:val="20"/>
                <w:szCs w:val="20"/>
                <w:color w:val="auto"/>
              </w:rPr>
            </w:pPr>
            <w:r>
              <w:rPr>
                <w:rFonts w:ascii="Times New Roman" w:cs="Times New Roman" w:eastAsia="Times New Roman" w:hAnsi="Times New Roman"/>
                <w:sz w:val="16"/>
                <w:szCs w:val="16"/>
                <w:b w:val="1"/>
                <w:bCs w:val="1"/>
                <w:color w:val="auto"/>
              </w:rPr>
              <w:t>RDI</w:t>
            </w:r>
          </w:p>
        </w:tc>
        <w:tc>
          <w:tcPr>
            <w:tcW w:w="3840" w:type="dxa"/>
            <w:vAlign w:val="bottom"/>
          </w:tcPr>
          <w:p>
            <w:pPr>
              <w:jc w:val="center"/>
              <w:ind w:left="674"/>
              <w:spacing w:after="0" w:line="175" w:lineRule="exact"/>
              <w:rPr>
                <w:sz w:val="20"/>
                <w:szCs w:val="20"/>
                <w:color w:val="auto"/>
              </w:rPr>
            </w:pPr>
            <w:r>
              <w:rPr>
                <w:rFonts w:ascii="Times New Roman" w:cs="Times New Roman" w:eastAsia="Times New Roman" w:hAnsi="Times New Roman"/>
                <w:sz w:val="16"/>
                <w:szCs w:val="16"/>
                <w:b w:val="1"/>
                <w:bCs w:val="1"/>
                <w:color w:val="auto"/>
              </w:rPr>
              <w:t>NASDAQ</w:t>
            </w:r>
          </w:p>
        </w:tc>
        <w:tc>
          <w:tcPr>
            <w:tcW w:w="0" w:type="dxa"/>
            <w:vAlign w:val="bottom"/>
          </w:tcPr>
          <w:p>
            <w:pPr>
              <w:spacing w:after="0"/>
              <w:rPr>
                <w:sz w:val="1"/>
                <w:szCs w:val="1"/>
                <w:color w:val="auto"/>
              </w:rPr>
            </w:pPr>
          </w:p>
        </w:tc>
      </w:tr>
      <w:tr>
        <w:trPr>
          <w:trHeight w:val="212"/>
        </w:trPr>
        <w:tc>
          <w:tcPr>
            <w:tcW w:w="4500" w:type="dxa"/>
            <w:vAlign w:val="bottom"/>
          </w:tcPr>
          <w:p>
            <w:pPr>
              <w:jc w:val="center"/>
              <w:ind w:right="773"/>
              <w:spacing w:after="0"/>
              <w:rPr>
                <w:sz w:val="20"/>
                <w:szCs w:val="20"/>
                <w:color w:val="auto"/>
              </w:rPr>
            </w:pPr>
            <w:r>
              <w:rPr>
                <w:rFonts w:ascii="Times New Roman" w:cs="Times New Roman" w:eastAsia="Times New Roman" w:hAnsi="Times New Roman"/>
                <w:sz w:val="16"/>
                <w:szCs w:val="16"/>
                <w:b w:val="1"/>
                <w:bCs w:val="1"/>
                <w:color w:val="auto"/>
              </w:rPr>
              <w:t>Class B Voting Common Stock, $0.01 Par Value</w:t>
            </w:r>
          </w:p>
        </w:tc>
        <w:tc>
          <w:tcPr>
            <w:tcW w:w="1660" w:type="dxa"/>
            <w:vAlign w:val="bottom"/>
          </w:tcPr>
          <w:p>
            <w:pPr>
              <w:jc w:val="center"/>
              <w:ind w:right="317"/>
              <w:spacing w:after="0"/>
              <w:rPr>
                <w:sz w:val="20"/>
                <w:szCs w:val="20"/>
                <w:color w:val="auto"/>
              </w:rPr>
            </w:pPr>
            <w:r>
              <w:rPr>
                <w:rFonts w:ascii="Times New Roman" w:cs="Times New Roman" w:eastAsia="Times New Roman" w:hAnsi="Times New Roman"/>
                <w:sz w:val="16"/>
                <w:szCs w:val="16"/>
                <w:b w:val="1"/>
                <w:bCs w:val="1"/>
                <w:color w:val="auto"/>
              </w:rPr>
              <w:t>RDIB</w:t>
            </w:r>
          </w:p>
        </w:tc>
        <w:tc>
          <w:tcPr>
            <w:tcW w:w="3840" w:type="dxa"/>
            <w:vAlign w:val="bottom"/>
          </w:tcPr>
          <w:p>
            <w:pPr>
              <w:jc w:val="center"/>
              <w:ind w:left="674"/>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jc w:val="center"/>
        <w:ind w:right="-19"/>
        <w:spacing w:after="0" w:line="233" w:lineRule="auto"/>
        <w:rPr>
          <w:sz w:val="20"/>
          <w:szCs w:val="20"/>
          <w:color w:val="auto"/>
        </w:rPr>
      </w:pPr>
      <w:r>
        <w:rPr>
          <w:rFonts w:ascii="Times New Roman" w:cs="Times New Roman" w:eastAsia="Times New Roman" w:hAnsi="Times New Roman"/>
          <w:sz w:val="18"/>
          <w:szCs w:val="18"/>
          <w:b w:val="1"/>
          <w:bCs w:val="1"/>
          <w:color w:val="auto"/>
        </w:rPr>
        <w:t>None</w:t>
      </w:r>
    </w:p>
    <w:p>
      <w:pPr>
        <w:ind w:right="2480"/>
        <w:spacing w:after="0" w:line="27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89"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05" w:right="339" w:bottom="1440" w:gutter="0" w:footer="0" w:header="0"/>
        </w:sectPr>
      </w:pPr>
    </w:p>
    <w:p>
      <w:pPr>
        <w:spacing w:after="0" w:line="87" w:lineRule="exact"/>
        <w:rPr>
          <w:sz w:val="24"/>
          <w:szCs w:val="24"/>
          <w:color w:val="auto"/>
        </w:rPr>
      </w:pPr>
    </w:p>
    <w:p>
      <w:pPr>
        <w:ind w:left="140"/>
        <w:spacing w:after="0" w:line="184" w:lineRule="exact"/>
        <w:rPr>
          <w:sz w:val="20"/>
          <w:szCs w:val="20"/>
          <w:color w:val="auto"/>
        </w:rPr>
      </w:pPr>
      <w:r>
        <w:rPr>
          <w:rFonts w:ascii="Times New Roman" w:cs="Times New Roman" w:eastAsia="Times New Roman" w:hAnsi="Times New Roman"/>
          <w:sz w:val="16"/>
          <w:szCs w:val="16"/>
          <w:color w:val="auto"/>
        </w:rPr>
        <w:t>Large accelerated filer</w:t>
      </w:r>
      <w:r>
        <w:rPr>
          <w:rFonts w:ascii="MS PGothic" w:cs="MS PGothic" w:eastAsia="MS PGothic" w:hAnsi="MS PGothic"/>
          <w:sz w:val="16"/>
          <w:szCs w:val="16"/>
          <w:color w:val="auto"/>
        </w:rPr>
        <w: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x</w:t>
      </w:r>
    </w:p>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Smaller reporting company </w:t>
      </w:r>
      <w:r>
        <w:rPr>
          <w:rFonts w:ascii="Wingdings" w:cs="Wingdings" w:eastAsia="Wingdings" w:hAnsi="Wingdings"/>
          <w:sz w:val="16"/>
          <w:szCs w:val="16"/>
          <w:b w:val="1"/>
          <w:bCs w:val="1"/>
          <w:color w:val="auto"/>
        </w:rPr>
        <w:t>x</w:t>
      </w:r>
    </w:p>
    <w:p>
      <w:pPr>
        <w:spacing w:after="0" w:line="209" w:lineRule="exact"/>
        <w:rPr>
          <w:sz w:val="24"/>
          <w:szCs w:val="24"/>
          <w:color w:val="auto"/>
        </w:rPr>
      </w:pPr>
    </w:p>
    <w:p>
      <w:pPr>
        <w:sectPr>
          <w:pgSz w:w="11900" w:h="16838" w:orient="portrait"/>
          <w:cols w:equalWidth="0" w:num="2">
            <w:col w:w="7040" w:space="720"/>
            <w:col w:w="3480"/>
          </w:cols>
          <w:pgMar w:left="320" w:top="205" w:right="339" w:bottom="1440" w:gutter="0" w:footer="0" w:header="0"/>
          <w:type w:val="continuous"/>
        </w:sectPr>
      </w:pPr>
    </w:p>
    <w:p>
      <w:pPr>
        <w:ind w:left="140" w:right="460"/>
        <w:spacing w:after="0" w:line="17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5" w:lineRule="exact"/>
        <w:rPr>
          <w:sz w:val="24"/>
          <w:szCs w:val="24"/>
          <w:color w:val="auto"/>
        </w:rPr>
      </w:pPr>
    </w:p>
    <w:p>
      <w:pPr>
        <w:ind w:right="20"/>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00" w:lineRule="exact"/>
        <w:rPr>
          <w:sz w:val="20"/>
          <w:szCs w:val="20"/>
          <w:color w:val="auto"/>
        </w:rPr>
      </w:pPr>
    </w:p>
    <w:p>
      <w:pPr>
        <w:spacing w:after="0" w:line="21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voting and non-voting common equity held by non-affiliates based on the closing price on that date as reported by the Nasdaq Stock Market was $26,804,265.</w:t>
      </w:r>
    </w:p>
    <w:p>
      <w:pPr>
        <w:spacing w:after="0" w:line="366"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As of March 30, 2026, there were 21,036,670 shares of class A non-voting common stock, par value $0.01 per share and 1,680,590 shares of class B voting common stock, par value $0.01 per share, outstanding.</w:t>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This Amendment No. 1 on Form 10-K/A (this “Form 10-K/A”) amends our Annual Report on Form 10-K for the fiscal year ended December 31, 2025, originally filed with the U.S. Securities and Exchange Commission (the “SEC”) on March 31, 2026 (the “2025 Form 10-K”). We are filing this Form 10-K/A to amend and restate the Exhibit Index (including the filing of new certifications as required by Section 302 of the Sarbanes-Oxley Act of 2002, as amended, in accordance with Rule 13a-14(a) under the Securities Exchange Act of 1934, as amended) in Item 15 of Part IV of the 2025 Form 10-K to include new Exhibit 97.1.</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Except as otherwise expressly noted above, this Form 10-K/A does not amend any other information set forth in the 2025 Form 10-K. This Form 10-K/A continues to speak as of the date of the 2025 Form 10-K and, except where expressly noted, we have not updated disclosures contained herein or therein to reflect any events that occurred at a date subsequent to the date of the 2025 Form 10- K. Accordingly, this Form 10-K/A should be read in conjunction with the 2025 Form 10-K and our other filings with the SEC.</w:t>
      </w:r>
    </w:p>
    <w:p>
      <w:pPr>
        <w:spacing w:after="0" w:line="14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Because no financial statements have been included in this Form 10-K/A and this Form 10-K/A does not contain or amend any disclosure with respect to Item 307 or Item 308 of Regulation S-K, paragraphs 3, 4 and 5 of the certifications required by Section 302 of the Sarbanes-Oxley Act have been omitted.</w:t>
      </w:r>
    </w:p>
    <w:p>
      <w:pPr>
        <w:spacing w:after="0" w:line="15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Unless the context requires otherwise, all references to the “Company”, “Reading”, “we”, “our” or “us” means Reading International, Inc., a Nevada corporation, and its consolidated subsidiaries.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 15 – Exhibits and Financial Statement Schedules</w:t>
      </w:r>
    </w:p>
    <w:p>
      <w:pPr>
        <w:spacing w:after="0" w:line="206" w:lineRule="exact"/>
        <w:rPr>
          <w:sz w:val="20"/>
          <w:szCs w:val="20"/>
          <w:color w:val="auto"/>
        </w:rPr>
      </w:pPr>
    </w:p>
    <w:p>
      <w:pPr>
        <w:ind w:right="2620"/>
        <w:spacing w:after="0"/>
        <w:rPr>
          <w:sz w:val="20"/>
          <w:szCs w:val="20"/>
          <w:color w:val="auto"/>
        </w:rPr>
      </w:pPr>
      <w:r>
        <w:rPr>
          <w:rFonts w:ascii="Times New Roman" w:cs="Times New Roman" w:eastAsia="Times New Roman" w:hAnsi="Times New Roman"/>
          <w:sz w:val="20"/>
          <w:szCs w:val="20"/>
          <w:color w:val="auto"/>
        </w:rPr>
        <w:t>The information required by this Item is set forth in the Exhibit Index that precedes the signature page to this Form 10-K/A.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7"/>
        </w:trPr>
        <w:tc>
          <w:tcPr>
            <w:tcW w:w="1100" w:type="dxa"/>
            <w:vAlign w:val="bottom"/>
            <w:tcBorders>
              <w:bottom w:val="single" w:sz="8" w:color="auto"/>
            </w:tcBorders>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5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Links for Exhibits Incorporated by Reference</w:t>
            </w:r>
          </w:p>
        </w:tc>
      </w:tr>
      <w:tr>
        <w:trPr>
          <w:trHeight w:val="149"/>
        </w:trPr>
        <w:tc>
          <w:tcPr>
            <w:tcW w:w="1100" w:type="dxa"/>
            <w:vAlign w:val="bottom"/>
          </w:tcPr>
          <w:p>
            <w:pPr>
              <w:jc w:val="center"/>
              <w:ind w:left="145"/>
              <w:spacing w:after="0" w:line="148" w:lineRule="exact"/>
              <w:rPr>
                <w:sz w:val="20"/>
                <w:szCs w:val="20"/>
                <w:color w:val="auto"/>
              </w:rPr>
            </w:pPr>
            <w:r>
              <w:rPr>
                <w:rFonts w:ascii="Times New Roman" w:cs="Times New Roman" w:eastAsia="Times New Roman" w:hAnsi="Times New Roman"/>
                <w:sz w:val="16"/>
                <w:szCs w:val="16"/>
                <w:color w:val="auto"/>
                <w:w w:val="99"/>
              </w:rPr>
              <w:t>3.1</w:t>
            </w:r>
          </w:p>
        </w:tc>
        <w:tc>
          <w:tcPr>
            <w:tcW w:w="450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Amended and Restated Articles of Incorporation of Reading</w:t>
            </w:r>
          </w:p>
        </w:tc>
        <w:tc>
          <w:tcPr>
            <w:tcW w:w="5640" w:type="dxa"/>
            <w:vAlign w:val="bottom"/>
            <w:gridSpan w:val="3"/>
          </w:tcPr>
          <w:p>
            <w:pPr>
              <w:ind w:left="380"/>
              <w:spacing w:after="0" w:line="148" w:lineRule="exact"/>
              <w:rPr>
                <w:rFonts w:ascii="Times New Roman" w:cs="Times New Roman" w:eastAsia="Times New Roman" w:hAnsi="Times New Roman"/>
                <w:sz w:val="16"/>
                <w:szCs w:val="16"/>
                <w:color w:val="auto"/>
              </w:rPr>
            </w:pPr>
            <w:hyperlink r:id="rId1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3.1 to the Company’s Annual Report on Form 10-K for the</w:t>
              </w:r>
            </w:hyperlink>
          </w:p>
        </w:tc>
      </w:tr>
      <w:tr>
        <w:trPr>
          <w:trHeight w:val="20"/>
        </w:trPr>
        <w:tc>
          <w:tcPr>
            <w:tcW w:w="1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jc w:val="right"/>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Inc., a Nevada corporation, effective as of August 6, 2014</w:t>
      </w:r>
      <w:hyperlink r:id="rId10">
        <w:r>
          <w:rPr>
            <w:rFonts w:ascii="Times New Roman" w:cs="Times New Roman" w:eastAsia="Times New Roman" w:hAnsi="Times New Roman"/>
            <w:sz w:val="16"/>
            <w:szCs w:val="16"/>
            <w:b w:val="1"/>
            <w:bCs w:val="1"/>
            <w:u w:val="single" w:color="auto"/>
            <w:color w:val="0000FF"/>
          </w:rPr>
          <w:t>year ended December 31, 2015</w:t>
        </w:r>
        <w:r>
          <w:rPr>
            <w:rFonts w:ascii="Times New Roman" w:cs="Times New Roman" w:eastAsia="Times New Roman" w:hAnsi="Times New Roman"/>
            <w:sz w:val="16"/>
            <w:szCs w:val="16"/>
            <w:u w:val="single" w:color="auto"/>
            <w:color w:val="auto"/>
          </w:rPr>
          <w:t>, filed on April 29, 2016 and incorporated herein</w:t>
        </w:r>
      </w:hyperlink>
    </w:p>
    <w:p>
      <w:pPr>
        <w:sectPr>
          <w:pgSz w:w="11900" w:h="16838" w:orient="portrait"/>
          <w:cols w:equalWidth="0" w:num="1">
            <w:col w:w="11240"/>
          </w:cols>
          <w:pgMar w:left="320" w:top="504" w:right="339" w:bottom="1440" w:gutter="0" w:footer="0" w:header="0"/>
        </w:sectPr>
      </w:pPr>
    </w:p>
    <w:p>
      <w:pPr>
        <w:spacing w:after="0" w:line="180" w:lineRule="exact"/>
        <w:rPr>
          <w:sz w:val="20"/>
          <w:szCs w:val="20"/>
          <w:color w:val="auto"/>
        </w:rPr>
      </w:pPr>
    </w:p>
    <w:p>
      <w:pPr>
        <w:ind w:left="1320" w:hanging="762"/>
        <w:spacing w:after="0" w:line="283" w:lineRule="auto"/>
        <w:tabs>
          <w:tab w:leader="none" w:pos="130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Amended and Restated Bylaws of Reading International, Inc., a Nevada corporation, effective as of November 7, 2017</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by reference.</w:t>
      </w:r>
    </w:p>
    <w:p>
      <w:pPr>
        <w:spacing w:after="0"/>
        <w:rPr>
          <w:rFonts w:ascii="Times New Roman" w:cs="Times New Roman" w:eastAsia="Times New Roman" w:hAnsi="Times New Roman"/>
          <w:sz w:val="16"/>
          <w:szCs w:val="16"/>
          <w:color w:val="auto"/>
        </w:rPr>
      </w:pPr>
      <w:hyperlink r:id="rId1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3.2 to the Company’s Annual Report on Form 10-K for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-15875</wp:posOffset>
            </wp:positionV>
            <wp:extent cx="29591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59100" cy="8255"/>
                    </a:xfrm>
                    <a:prstGeom prst="rect">
                      <a:avLst/>
                    </a:prstGeom>
                    <a:noFill/>
                  </pic:spPr>
                </pic:pic>
              </a:graphicData>
            </a:graphic>
          </wp:anchor>
        </w:drawing>
      </w:r>
    </w:p>
    <w:p>
      <w:pPr>
        <w:ind w:right="360"/>
        <w:spacing w:after="0" w:line="237" w:lineRule="auto"/>
        <w:rPr>
          <w:rFonts w:ascii="Times New Roman" w:cs="Times New Roman" w:eastAsia="Times New Roman" w:hAnsi="Times New Roman"/>
          <w:sz w:val="16"/>
          <w:szCs w:val="16"/>
          <w:b w:val="1"/>
          <w:bCs w:val="1"/>
          <w:color w:val="0000FF"/>
        </w:rPr>
      </w:pPr>
      <w:hyperlink r:id="rId12">
        <w:r>
          <w:rPr>
            <w:rFonts w:ascii="Times New Roman" w:cs="Times New Roman" w:eastAsia="Times New Roman" w:hAnsi="Times New Roman"/>
            <w:sz w:val="16"/>
            <w:szCs w:val="16"/>
            <w:b w:val="1"/>
            <w:bCs w:val="1"/>
            <w:u w:val="single" w:color="auto"/>
            <w:color w:val="0000FF"/>
          </w:rPr>
          <w:t>year ended December 31, 2017</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filed on March 16, 2018 and incorporated</w:t>
        </w:r>
      </w:hyperlink>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60" w:space="520"/>
            <w:col w:w="5260"/>
          </w:cols>
          <w:pgMar w:left="320" w:top="504" w:right="33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1040" w:type="dxa"/>
            <w:vAlign w:val="bottom"/>
            <w:shd w:val="clear" w:color="auto" w:fill="BDE1E9"/>
          </w:tcPr>
          <w:p>
            <w:pPr>
              <w:jc w:val="right"/>
              <w:ind w:right="199"/>
              <w:spacing w:after="0" w:line="159" w:lineRule="exact"/>
              <w:rPr>
                <w:sz w:val="20"/>
                <w:szCs w:val="20"/>
                <w:color w:val="auto"/>
              </w:rPr>
            </w:pPr>
            <w:r>
              <w:rPr>
                <w:rFonts w:ascii="Times New Roman" w:cs="Times New Roman" w:eastAsia="Times New Roman" w:hAnsi="Times New Roman"/>
                <w:sz w:val="16"/>
                <w:szCs w:val="16"/>
                <w:color w:val="auto"/>
              </w:rPr>
              <w:t>4.1</w:t>
            </w:r>
          </w:p>
        </w:tc>
        <w:tc>
          <w:tcPr>
            <w:tcW w:w="4900" w:type="dxa"/>
            <w:vAlign w:val="bottom"/>
            <w:shd w:val="clear" w:color="auto" w:fill="BDE1E9"/>
          </w:tcPr>
          <w:p>
            <w:pPr>
              <w:ind w:left="280"/>
              <w:spacing w:after="0" w:line="159" w:lineRule="exact"/>
              <w:rPr>
                <w:sz w:val="20"/>
                <w:szCs w:val="20"/>
                <w:color w:val="auto"/>
              </w:rPr>
            </w:pPr>
            <w:r>
              <w:rPr>
                <w:rFonts w:ascii="Times New Roman" w:cs="Times New Roman" w:eastAsia="Times New Roman" w:hAnsi="Times New Roman"/>
                <w:sz w:val="16"/>
                <w:szCs w:val="16"/>
                <w:color w:val="auto"/>
              </w:rPr>
              <w:t>Form of Preferred Securities Certificate evidencing the preferred</w:t>
            </w:r>
          </w:p>
        </w:tc>
        <w:tc>
          <w:tcPr>
            <w:tcW w:w="5300" w:type="dxa"/>
            <w:vAlign w:val="bottom"/>
            <w:gridSpan w:val="6"/>
            <w:shd w:val="clear" w:color="auto" w:fill="BDE1E9"/>
          </w:tcPr>
          <w:p>
            <w:pPr>
              <w:ind w:left="40"/>
              <w:spacing w:after="0" w:line="159" w:lineRule="exact"/>
              <w:rPr>
                <w:rFonts w:ascii="Times New Roman" w:cs="Times New Roman" w:eastAsia="Times New Roman" w:hAnsi="Times New Roman"/>
                <w:sz w:val="16"/>
                <w:szCs w:val="16"/>
                <w:color w:val="auto"/>
              </w:rPr>
            </w:pPr>
            <w:hyperlink r:id="rId1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4.1 to the Company’s report on Form 8-K filed on</w:t>
              </w:r>
            </w:hyperlink>
          </w:p>
        </w:tc>
      </w:tr>
      <w:tr>
        <w:trPr>
          <w:trHeight w:val="169"/>
        </w:trPr>
        <w:tc>
          <w:tcPr>
            <w:tcW w:w="1040" w:type="dxa"/>
            <w:vAlign w:val="bottom"/>
            <w:tcBorders>
              <w:top w:val="single" w:sz="8" w:color="BDE1E9"/>
            </w:tcBorders>
            <w:shd w:val="clear" w:color="auto" w:fill="BDE1E9"/>
          </w:tcPr>
          <w:p>
            <w:pPr>
              <w:spacing w:after="0"/>
              <w:rPr>
                <w:sz w:val="14"/>
                <w:szCs w:val="14"/>
                <w:color w:val="auto"/>
              </w:rPr>
            </w:pPr>
          </w:p>
        </w:tc>
        <w:tc>
          <w:tcPr>
            <w:tcW w:w="4900" w:type="dxa"/>
            <w:vAlign w:val="bottom"/>
            <w:tcBorders>
              <w:top w:val="single" w:sz="8" w:color="BDE1E9"/>
            </w:tcBorders>
            <w:shd w:val="clear" w:color="auto" w:fill="BDE1E9"/>
          </w:tcPr>
          <w:p>
            <w:pPr>
              <w:ind w:left="280"/>
              <w:spacing w:after="0" w:line="169" w:lineRule="exact"/>
              <w:rPr>
                <w:sz w:val="20"/>
                <w:szCs w:val="20"/>
                <w:color w:val="auto"/>
              </w:rPr>
            </w:pPr>
            <w:r>
              <w:rPr>
                <w:rFonts w:ascii="Times New Roman" w:cs="Times New Roman" w:eastAsia="Times New Roman" w:hAnsi="Times New Roman"/>
                <w:sz w:val="16"/>
                <w:szCs w:val="16"/>
                <w:color w:val="auto"/>
              </w:rPr>
              <w:t>securities of Reading International Trust I</w:t>
            </w:r>
          </w:p>
        </w:tc>
        <w:tc>
          <w:tcPr>
            <w:tcW w:w="40" w:type="dxa"/>
            <w:vAlign w:val="bottom"/>
            <w:tcBorders>
              <w:top w:val="single" w:sz="8" w:color="BDE1E9"/>
            </w:tcBorders>
            <w:shd w:val="clear" w:color="auto" w:fill="BDE1E9"/>
          </w:tcPr>
          <w:p>
            <w:pPr>
              <w:spacing w:after="0"/>
              <w:rPr>
                <w:sz w:val="14"/>
                <w:szCs w:val="14"/>
                <w:color w:val="auto"/>
              </w:rPr>
            </w:pPr>
          </w:p>
        </w:tc>
        <w:tc>
          <w:tcPr>
            <w:tcW w:w="560" w:type="dxa"/>
            <w:vAlign w:val="bottom"/>
            <w:tcBorders>
              <w:top w:val="single" w:sz="8" w:color="BDE1E9"/>
            </w:tcBorders>
            <w:shd w:val="clear" w:color="auto" w:fill="BDE1E9"/>
          </w:tcPr>
          <w:p>
            <w:pPr>
              <w:spacing w:after="0" w:line="169" w:lineRule="exact"/>
              <w:rPr>
                <w:rFonts w:ascii="Times New Roman" w:cs="Times New Roman" w:eastAsia="Times New Roman" w:hAnsi="Times New Roman"/>
                <w:sz w:val="16"/>
                <w:szCs w:val="16"/>
                <w:b w:val="1"/>
                <w:bCs w:val="1"/>
                <w:color w:val="0000FF"/>
                <w:w w:val="83"/>
              </w:rPr>
            </w:pPr>
            <w:hyperlink r:id="rId15">
              <w:r>
                <w:rPr>
                  <w:rFonts w:ascii="Times New Roman" w:cs="Times New Roman" w:eastAsia="Times New Roman" w:hAnsi="Times New Roman"/>
                  <w:sz w:val="16"/>
                  <w:szCs w:val="16"/>
                  <w:b w:val="1"/>
                  <w:bCs w:val="1"/>
                  <w:color w:val="0000FF"/>
                  <w:w w:val="83"/>
                </w:rPr>
                <w:t>February</w:t>
              </w:r>
            </w:hyperlink>
          </w:p>
        </w:tc>
        <w:tc>
          <w:tcPr>
            <w:tcW w:w="4020" w:type="dxa"/>
            <w:vAlign w:val="bottom"/>
            <w:tcBorders>
              <w:top w:val="single" w:sz="8" w:color="0000FF"/>
            </w:tcBorders>
            <w:gridSpan w:val="3"/>
            <w:shd w:val="clear" w:color="auto" w:fill="BDE1E9"/>
          </w:tcPr>
          <w:p>
            <w:pPr>
              <w:ind w:left="140"/>
              <w:spacing w:after="0" w:line="169" w:lineRule="exact"/>
              <w:rPr>
                <w:rFonts w:ascii="Times New Roman" w:cs="Times New Roman" w:eastAsia="Times New Roman" w:hAnsi="Times New Roman"/>
                <w:sz w:val="16"/>
                <w:szCs w:val="16"/>
                <w:b w:val="1"/>
                <w:bCs w:val="1"/>
                <w:color w:val="0000FF"/>
              </w:rPr>
            </w:pPr>
            <w:hyperlink r:id="rId15">
              <w:r>
                <w:rPr>
                  <w:rFonts w:ascii="Times New Roman" w:cs="Times New Roman" w:eastAsia="Times New Roman" w:hAnsi="Times New Roman"/>
                  <w:sz w:val="16"/>
                  <w:szCs w:val="16"/>
                  <w:b w:val="1"/>
                  <w:bCs w:val="1"/>
                  <w:color w:val="0000FF"/>
                </w:rPr>
                <w:t>9, 2007</w:t>
              </w:r>
              <w:r>
                <w:rPr>
                  <w:rFonts w:ascii="Times New Roman" w:cs="Times New Roman" w:eastAsia="Times New Roman" w:hAnsi="Times New Roman"/>
                  <w:sz w:val="16"/>
                  <w:szCs w:val="16"/>
                  <w:color w:val="000000"/>
                </w:rPr>
                <w:t>, and incorporated herein by reference.</w:t>
              </w:r>
            </w:hyperlink>
          </w:p>
        </w:tc>
        <w:tc>
          <w:tcPr>
            <w:tcW w:w="680" w:type="dxa"/>
            <w:vAlign w:val="bottom"/>
            <w:tcBorders>
              <w:top w:val="single" w:sz="8" w:color="BDE1E9"/>
            </w:tcBorders>
            <w:shd w:val="clear" w:color="auto" w:fill="BDE1E9"/>
          </w:tcPr>
          <w:p>
            <w:pPr>
              <w:spacing w:after="0"/>
              <w:rPr>
                <w:sz w:val="14"/>
                <w:szCs w:val="14"/>
                <w:color w:val="auto"/>
              </w:rPr>
            </w:pPr>
          </w:p>
        </w:tc>
      </w:tr>
      <w:tr>
        <w:trPr>
          <w:trHeight w:val="20"/>
        </w:trPr>
        <w:tc>
          <w:tcPr>
            <w:tcW w:w="1040" w:type="dxa"/>
            <w:vAlign w:val="bottom"/>
            <w:tcBorders>
              <w:top w:val="single" w:sz="8" w:color="BDE1E9"/>
            </w:tcBorders>
            <w:shd w:val="clear" w:color="auto" w:fill="BDE1E9"/>
          </w:tcPr>
          <w:p>
            <w:pPr>
              <w:spacing w:after="0" w:line="20" w:lineRule="exact"/>
              <w:rPr>
                <w:sz w:val="1"/>
                <w:szCs w:val="1"/>
                <w:color w:val="auto"/>
              </w:rPr>
            </w:pPr>
          </w:p>
        </w:tc>
        <w:tc>
          <w:tcPr>
            <w:tcW w:w="4900" w:type="dxa"/>
            <w:vAlign w:val="bottom"/>
            <w:tcBorders>
              <w:top w:val="single" w:sz="8" w:color="BDE1E9"/>
            </w:tcBorders>
            <w:shd w:val="clear" w:color="auto" w:fill="BDE1E9"/>
          </w:tcPr>
          <w:p>
            <w:pPr>
              <w:spacing w:after="0" w:line="20" w:lineRule="exact"/>
              <w:rPr>
                <w:sz w:val="1"/>
                <w:szCs w:val="1"/>
                <w:color w:val="auto"/>
              </w:rPr>
            </w:pPr>
          </w:p>
        </w:tc>
        <w:tc>
          <w:tcPr>
            <w:tcW w:w="40" w:type="dxa"/>
            <w:vAlign w:val="bottom"/>
            <w:tcBorders>
              <w:top w:val="single" w:sz="8" w:color="BDE1E9"/>
            </w:tcBorders>
            <w:shd w:val="clear" w:color="auto" w:fill="BDE1E9"/>
          </w:tcPr>
          <w:p>
            <w:pPr>
              <w:spacing w:after="0" w:line="20" w:lineRule="exact"/>
              <w:rPr>
                <w:sz w:val="1"/>
                <w:szCs w:val="1"/>
                <w:color w:val="auto"/>
              </w:rPr>
            </w:pPr>
          </w:p>
        </w:tc>
        <w:tc>
          <w:tcPr>
            <w:tcW w:w="560" w:type="dxa"/>
            <w:vAlign w:val="bottom"/>
            <w:tcBorders>
              <w:top w:val="single" w:sz="8" w:color="0000FF"/>
            </w:tcBorders>
            <w:shd w:val="clear" w:color="auto" w:fill="BDE1E9"/>
          </w:tcPr>
          <w:p>
            <w:pPr>
              <w:spacing w:after="0" w:line="20" w:lineRule="exact"/>
              <w:rPr>
                <w:sz w:val="1"/>
                <w:szCs w:val="1"/>
                <w:color w:val="auto"/>
              </w:rPr>
            </w:pPr>
          </w:p>
        </w:tc>
        <w:tc>
          <w:tcPr>
            <w:tcW w:w="660" w:type="dxa"/>
            <w:vAlign w:val="bottom"/>
            <w:tcBorders>
              <w:top w:val="single" w:sz="8" w:color="0000FF"/>
              <w:right w:val="single" w:sz="8" w:color="BDE1E9"/>
            </w:tcBorders>
            <w:shd w:val="clear" w:color="auto" w:fill="BDE1E9"/>
          </w:tcPr>
          <w:p>
            <w:pPr>
              <w:spacing w:after="0" w:line="20" w:lineRule="exact"/>
              <w:rPr>
                <w:sz w:val="1"/>
                <w:szCs w:val="1"/>
                <w:color w:val="auto"/>
              </w:rPr>
            </w:pPr>
          </w:p>
        </w:tc>
        <w:tc>
          <w:tcPr>
            <w:tcW w:w="3320" w:type="dxa"/>
            <w:vAlign w:val="bottom"/>
            <w:tcBorders>
              <w:top w:val="single" w:sz="8" w:color="BDE1E9"/>
            </w:tcBorders>
            <w:shd w:val="clear" w:color="auto" w:fill="BDE1E9"/>
          </w:tcPr>
          <w:p>
            <w:pPr>
              <w:spacing w:after="0" w:line="20" w:lineRule="exact"/>
              <w:rPr>
                <w:sz w:val="1"/>
                <w:szCs w:val="1"/>
                <w:color w:val="auto"/>
              </w:rPr>
            </w:pPr>
          </w:p>
        </w:tc>
        <w:tc>
          <w:tcPr>
            <w:tcW w:w="40" w:type="dxa"/>
            <w:vAlign w:val="bottom"/>
            <w:tcBorders>
              <w:top w:val="single" w:sz="8" w:color="BDE1E9"/>
            </w:tcBorders>
            <w:shd w:val="clear" w:color="auto" w:fill="BDE1E9"/>
          </w:tcPr>
          <w:p>
            <w:pPr>
              <w:spacing w:after="0" w:line="20" w:lineRule="exact"/>
              <w:rPr>
                <w:sz w:val="1"/>
                <w:szCs w:val="1"/>
                <w:color w:val="auto"/>
              </w:rPr>
            </w:pPr>
          </w:p>
        </w:tc>
        <w:tc>
          <w:tcPr>
            <w:tcW w:w="680" w:type="dxa"/>
            <w:vAlign w:val="bottom"/>
            <w:tcBorders>
              <w:top w:val="single" w:sz="8" w:color="BDE1E9"/>
            </w:tcBorders>
            <w:shd w:val="clear" w:color="auto" w:fill="BDE1E9"/>
          </w:tcPr>
          <w:p>
            <w:pPr>
              <w:spacing w:after="0" w:line="20" w:lineRule="exact"/>
              <w:rPr>
                <w:sz w:val="1"/>
                <w:szCs w:val="1"/>
                <w:color w:val="auto"/>
              </w:rPr>
            </w:pPr>
          </w:p>
        </w:tc>
      </w:tr>
      <w:tr>
        <w:trPr>
          <w:trHeight w:val="148"/>
        </w:trPr>
        <w:tc>
          <w:tcPr>
            <w:tcW w:w="1040" w:type="dxa"/>
            <w:vAlign w:val="bottom"/>
          </w:tcPr>
          <w:p>
            <w:pPr>
              <w:jc w:val="right"/>
              <w:ind w:right="199"/>
              <w:spacing w:after="0" w:line="148" w:lineRule="exact"/>
              <w:rPr>
                <w:sz w:val="20"/>
                <w:szCs w:val="20"/>
                <w:color w:val="auto"/>
              </w:rPr>
            </w:pPr>
            <w:r>
              <w:rPr>
                <w:rFonts w:ascii="Times New Roman" w:cs="Times New Roman" w:eastAsia="Times New Roman" w:hAnsi="Times New Roman"/>
                <w:sz w:val="16"/>
                <w:szCs w:val="16"/>
                <w:color w:val="auto"/>
              </w:rPr>
              <w:t>4.2</w:t>
            </w:r>
          </w:p>
        </w:tc>
        <w:tc>
          <w:tcPr>
            <w:tcW w:w="4900" w:type="dxa"/>
            <w:vAlign w:val="bottom"/>
          </w:tcPr>
          <w:p>
            <w:pPr>
              <w:ind w:left="280"/>
              <w:spacing w:after="0" w:line="148" w:lineRule="exact"/>
              <w:rPr>
                <w:sz w:val="20"/>
                <w:szCs w:val="20"/>
                <w:color w:val="auto"/>
              </w:rPr>
            </w:pPr>
            <w:r>
              <w:rPr>
                <w:rFonts w:ascii="Times New Roman" w:cs="Times New Roman" w:eastAsia="Times New Roman" w:hAnsi="Times New Roman"/>
                <w:sz w:val="16"/>
                <w:szCs w:val="16"/>
                <w:color w:val="auto"/>
              </w:rPr>
              <w:t>Form of Common Securities Certificate evidencing common securities</w:t>
            </w:r>
          </w:p>
        </w:tc>
        <w:tc>
          <w:tcPr>
            <w:tcW w:w="40" w:type="dxa"/>
            <w:vAlign w:val="bottom"/>
          </w:tcPr>
          <w:p>
            <w:pPr>
              <w:spacing w:after="0"/>
              <w:rPr>
                <w:sz w:val="12"/>
                <w:szCs w:val="12"/>
                <w:color w:val="auto"/>
              </w:rPr>
            </w:pPr>
          </w:p>
        </w:tc>
        <w:tc>
          <w:tcPr>
            <w:tcW w:w="5260" w:type="dxa"/>
            <w:vAlign w:val="bottom"/>
            <w:gridSpan w:val="5"/>
          </w:tcPr>
          <w:p>
            <w:pPr>
              <w:spacing w:after="0" w:line="148" w:lineRule="exact"/>
              <w:rPr>
                <w:rFonts w:ascii="Times New Roman" w:cs="Times New Roman" w:eastAsia="Times New Roman" w:hAnsi="Times New Roman"/>
                <w:sz w:val="16"/>
                <w:szCs w:val="16"/>
                <w:color w:val="auto"/>
              </w:rPr>
            </w:pPr>
            <w:hyperlink r:id="rId1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4.2 to the Company’s report on Form 8-K filed on</w:t>
              </w:r>
            </w:hyperlink>
          </w:p>
        </w:tc>
      </w:tr>
      <w:tr>
        <w:trPr>
          <w:trHeight w:val="169"/>
        </w:trPr>
        <w:tc>
          <w:tcPr>
            <w:tcW w:w="1040" w:type="dxa"/>
            <w:vAlign w:val="bottom"/>
          </w:tcPr>
          <w:p>
            <w:pPr>
              <w:spacing w:after="0"/>
              <w:rPr>
                <w:sz w:val="14"/>
                <w:szCs w:val="14"/>
                <w:color w:val="auto"/>
              </w:rPr>
            </w:pPr>
          </w:p>
        </w:tc>
        <w:tc>
          <w:tcPr>
            <w:tcW w:w="4900" w:type="dxa"/>
            <w:vAlign w:val="bottom"/>
          </w:tcPr>
          <w:p>
            <w:pPr>
              <w:ind w:left="280"/>
              <w:spacing w:after="0" w:line="169" w:lineRule="exact"/>
              <w:rPr>
                <w:sz w:val="20"/>
                <w:szCs w:val="20"/>
                <w:color w:val="auto"/>
              </w:rPr>
            </w:pPr>
            <w:r>
              <w:rPr>
                <w:rFonts w:ascii="Times New Roman" w:cs="Times New Roman" w:eastAsia="Times New Roman" w:hAnsi="Times New Roman"/>
                <w:sz w:val="16"/>
                <w:szCs w:val="16"/>
                <w:color w:val="auto"/>
              </w:rPr>
              <w:t>of Reading International Trust I</w:t>
            </w:r>
          </w:p>
        </w:tc>
        <w:tc>
          <w:tcPr>
            <w:tcW w:w="600" w:type="dxa"/>
            <w:vAlign w:val="bottom"/>
            <w:gridSpan w:val="2"/>
          </w:tcPr>
          <w:p>
            <w:pPr>
              <w:ind w:left="40"/>
              <w:spacing w:after="0" w:line="169" w:lineRule="exact"/>
              <w:rPr>
                <w:rFonts w:ascii="Times New Roman" w:cs="Times New Roman" w:eastAsia="Times New Roman" w:hAnsi="Times New Roman"/>
                <w:sz w:val="16"/>
                <w:szCs w:val="16"/>
                <w:b w:val="1"/>
                <w:bCs w:val="1"/>
                <w:color w:val="0000FF"/>
                <w:w w:val="83"/>
              </w:rPr>
            </w:pPr>
            <w:hyperlink r:id="rId16">
              <w:r>
                <w:rPr>
                  <w:rFonts w:ascii="Times New Roman" w:cs="Times New Roman" w:eastAsia="Times New Roman" w:hAnsi="Times New Roman"/>
                  <w:sz w:val="16"/>
                  <w:szCs w:val="16"/>
                  <w:b w:val="1"/>
                  <w:bCs w:val="1"/>
                  <w:color w:val="0000FF"/>
                  <w:w w:val="83"/>
                </w:rPr>
                <w:t>February</w:t>
              </w:r>
            </w:hyperlink>
          </w:p>
        </w:tc>
        <w:tc>
          <w:tcPr>
            <w:tcW w:w="4020" w:type="dxa"/>
            <w:vAlign w:val="bottom"/>
            <w:tcBorders>
              <w:top w:val="single" w:sz="8" w:color="0000FF"/>
            </w:tcBorders>
            <w:gridSpan w:val="3"/>
          </w:tcPr>
          <w:p>
            <w:pPr>
              <w:ind w:left="140"/>
              <w:spacing w:after="0" w:line="169" w:lineRule="exact"/>
              <w:rPr>
                <w:rFonts w:ascii="Times New Roman" w:cs="Times New Roman" w:eastAsia="Times New Roman" w:hAnsi="Times New Roman"/>
                <w:sz w:val="16"/>
                <w:szCs w:val="16"/>
                <w:b w:val="1"/>
                <w:bCs w:val="1"/>
                <w:color w:val="0000FF"/>
              </w:rPr>
            </w:pPr>
            <w:hyperlink r:id="rId16">
              <w:r>
                <w:rPr>
                  <w:rFonts w:ascii="Times New Roman" w:cs="Times New Roman" w:eastAsia="Times New Roman" w:hAnsi="Times New Roman"/>
                  <w:sz w:val="16"/>
                  <w:szCs w:val="16"/>
                  <w:b w:val="1"/>
                  <w:bCs w:val="1"/>
                  <w:color w:val="0000FF"/>
                </w:rPr>
                <w:t>9, 2007</w:t>
              </w:r>
              <w:r>
                <w:rPr>
                  <w:rFonts w:ascii="Times New Roman" w:cs="Times New Roman" w:eastAsia="Times New Roman" w:hAnsi="Times New Roman"/>
                  <w:sz w:val="16"/>
                  <w:szCs w:val="16"/>
                  <w:color w:val="000000"/>
                </w:rPr>
                <w:t>, and incorporated herein by reference.</w:t>
              </w:r>
            </w:hyperlink>
          </w:p>
        </w:tc>
        <w:tc>
          <w:tcPr>
            <w:tcW w:w="680" w:type="dxa"/>
            <w:vAlign w:val="bottom"/>
          </w:tcPr>
          <w:p>
            <w:pPr>
              <w:spacing w:after="0"/>
              <w:rPr>
                <w:sz w:val="14"/>
                <w:szCs w:val="14"/>
                <w:color w:val="auto"/>
              </w:rPr>
            </w:pPr>
          </w:p>
        </w:tc>
      </w:tr>
      <w:tr>
        <w:trPr>
          <w:trHeight w:val="21"/>
        </w:trPr>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8"/>
        </w:trPr>
        <w:tc>
          <w:tcPr>
            <w:tcW w:w="1040" w:type="dxa"/>
            <w:vAlign w:val="bottom"/>
            <w:shd w:val="clear" w:color="auto" w:fill="BDE1E9"/>
          </w:tcPr>
          <w:p>
            <w:pPr>
              <w:jc w:val="right"/>
              <w:ind w:right="199"/>
              <w:spacing w:after="0" w:line="148" w:lineRule="exact"/>
              <w:rPr>
                <w:sz w:val="20"/>
                <w:szCs w:val="20"/>
                <w:color w:val="auto"/>
              </w:rPr>
            </w:pPr>
            <w:r>
              <w:rPr>
                <w:rFonts w:ascii="Times New Roman" w:cs="Times New Roman" w:eastAsia="Times New Roman" w:hAnsi="Times New Roman"/>
                <w:sz w:val="16"/>
                <w:szCs w:val="16"/>
                <w:color w:val="auto"/>
              </w:rPr>
              <w:t>4.3</w:t>
            </w:r>
          </w:p>
        </w:tc>
        <w:tc>
          <w:tcPr>
            <w:tcW w:w="4900" w:type="dxa"/>
            <w:vAlign w:val="bottom"/>
            <w:shd w:val="clear" w:color="auto" w:fill="BDE1E9"/>
          </w:tcPr>
          <w:p>
            <w:pPr>
              <w:ind w:left="280"/>
              <w:spacing w:after="0" w:line="148" w:lineRule="exact"/>
              <w:rPr>
                <w:sz w:val="20"/>
                <w:szCs w:val="20"/>
                <w:color w:val="auto"/>
              </w:rPr>
            </w:pPr>
            <w:r>
              <w:rPr>
                <w:rFonts w:ascii="Times New Roman" w:cs="Times New Roman" w:eastAsia="Times New Roman" w:hAnsi="Times New Roman"/>
                <w:sz w:val="16"/>
                <w:szCs w:val="16"/>
                <w:color w:val="auto"/>
              </w:rPr>
              <w:t>Form of Reading International, Inc. and Reading New Zealand,</w:t>
            </w:r>
          </w:p>
        </w:tc>
        <w:tc>
          <w:tcPr>
            <w:tcW w:w="5300" w:type="dxa"/>
            <w:vAlign w:val="bottom"/>
            <w:gridSpan w:val="6"/>
            <w:shd w:val="clear" w:color="auto" w:fill="BDE1E9"/>
          </w:tcPr>
          <w:p>
            <w:pPr>
              <w:ind w:left="40"/>
              <w:spacing w:after="0" w:line="148" w:lineRule="exact"/>
              <w:rPr>
                <w:rFonts w:ascii="Times New Roman" w:cs="Times New Roman" w:eastAsia="Times New Roman" w:hAnsi="Times New Roman"/>
                <w:sz w:val="16"/>
                <w:szCs w:val="16"/>
                <w:color w:val="auto"/>
              </w:rPr>
            </w:pPr>
            <w:hyperlink r:id="rId1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4.3 to the Company’s report on Form 8-K filed on</w:t>
              </w:r>
            </w:hyperlink>
          </w:p>
        </w:tc>
      </w:tr>
      <w:tr>
        <w:trPr>
          <w:trHeight w:val="169"/>
        </w:trPr>
        <w:tc>
          <w:tcPr>
            <w:tcW w:w="1040" w:type="dxa"/>
            <w:vAlign w:val="bottom"/>
            <w:tcBorders>
              <w:top w:val="single" w:sz="8" w:color="BDE1E9"/>
            </w:tcBorders>
            <w:shd w:val="clear" w:color="auto" w:fill="BDE1E9"/>
          </w:tcPr>
          <w:p>
            <w:pPr>
              <w:spacing w:after="0"/>
              <w:rPr>
                <w:sz w:val="14"/>
                <w:szCs w:val="14"/>
                <w:color w:val="auto"/>
              </w:rPr>
            </w:pPr>
          </w:p>
        </w:tc>
        <w:tc>
          <w:tcPr>
            <w:tcW w:w="4900" w:type="dxa"/>
            <w:vAlign w:val="bottom"/>
            <w:tcBorders>
              <w:top w:val="single" w:sz="8" w:color="BDE1E9"/>
            </w:tcBorders>
            <w:shd w:val="clear" w:color="auto" w:fill="BDE1E9"/>
          </w:tcPr>
          <w:p>
            <w:pPr>
              <w:ind w:left="280"/>
              <w:spacing w:after="0" w:line="169" w:lineRule="exact"/>
              <w:rPr>
                <w:sz w:val="20"/>
                <w:szCs w:val="20"/>
                <w:color w:val="auto"/>
              </w:rPr>
            </w:pPr>
            <w:r>
              <w:rPr>
                <w:rFonts w:ascii="Times New Roman" w:cs="Times New Roman" w:eastAsia="Times New Roman" w:hAnsi="Times New Roman"/>
                <w:sz w:val="16"/>
                <w:szCs w:val="16"/>
                <w:color w:val="auto"/>
              </w:rPr>
              <w:t>Limited, Junior Subordinated Note due 2027</w:t>
            </w:r>
          </w:p>
        </w:tc>
        <w:tc>
          <w:tcPr>
            <w:tcW w:w="40" w:type="dxa"/>
            <w:vAlign w:val="bottom"/>
            <w:tcBorders>
              <w:top w:val="single" w:sz="8" w:color="BDE1E9"/>
            </w:tcBorders>
            <w:shd w:val="clear" w:color="auto" w:fill="BDE1E9"/>
          </w:tcPr>
          <w:p>
            <w:pPr>
              <w:spacing w:after="0"/>
              <w:rPr>
                <w:sz w:val="14"/>
                <w:szCs w:val="14"/>
                <w:color w:val="auto"/>
              </w:rPr>
            </w:pPr>
          </w:p>
        </w:tc>
        <w:tc>
          <w:tcPr>
            <w:tcW w:w="560" w:type="dxa"/>
            <w:vAlign w:val="bottom"/>
            <w:tcBorders>
              <w:top w:val="single" w:sz="8" w:color="BDE1E9"/>
            </w:tcBorders>
            <w:shd w:val="clear" w:color="auto" w:fill="BDE1E9"/>
          </w:tcPr>
          <w:p>
            <w:pPr>
              <w:spacing w:after="0" w:line="169" w:lineRule="exact"/>
              <w:rPr>
                <w:rFonts w:ascii="Times New Roman" w:cs="Times New Roman" w:eastAsia="Times New Roman" w:hAnsi="Times New Roman"/>
                <w:sz w:val="16"/>
                <w:szCs w:val="16"/>
                <w:b w:val="1"/>
                <w:bCs w:val="1"/>
                <w:color w:val="0000FF"/>
                <w:w w:val="83"/>
              </w:rPr>
            </w:pPr>
            <w:hyperlink r:id="rId17">
              <w:r>
                <w:rPr>
                  <w:rFonts w:ascii="Times New Roman" w:cs="Times New Roman" w:eastAsia="Times New Roman" w:hAnsi="Times New Roman"/>
                  <w:sz w:val="16"/>
                  <w:szCs w:val="16"/>
                  <w:b w:val="1"/>
                  <w:bCs w:val="1"/>
                  <w:color w:val="0000FF"/>
                  <w:w w:val="83"/>
                </w:rPr>
                <w:t>February</w:t>
              </w:r>
            </w:hyperlink>
          </w:p>
        </w:tc>
        <w:tc>
          <w:tcPr>
            <w:tcW w:w="4020" w:type="dxa"/>
            <w:vAlign w:val="bottom"/>
            <w:tcBorders>
              <w:top w:val="single" w:sz="8" w:color="0000FF"/>
            </w:tcBorders>
            <w:gridSpan w:val="3"/>
            <w:shd w:val="clear" w:color="auto" w:fill="BDE1E9"/>
          </w:tcPr>
          <w:p>
            <w:pPr>
              <w:ind w:left="140"/>
              <w:spacing w:after="0" w:line="169" w:lineRule="exact"/>
              <w:rPr>
                <w:rFonts w:ascii="Times New Roman" w:cs="Times New Roman" w:eastAsia="Times New Roman" w:hAnsi="Times New Roman"/>
                <w:sz w:val="16"/>
                <w:szCs w:val="16"/>
                <w:b w:val="1"/>
                <w:bCs w:val="1"/>
                <w:color w:val="0000FF"/>
              </w:rPr>
            </w:pPr>
            <w:hyperlink r:id="rId17">
              <w:r>
                <w:rPr>
                  <w:rFonts w:ascii="Times New Roman" w:cs="Times New Roman" w:eastAsia="Times New Roman" w:hAnsi="Times New Roman"/>
                  <w:sz w:val="16"/>
                  <w:szCs w:val="16"/>
                  <w:b w:val="1"/>
                  <w:bCs w:val="1"/>
                  <w:color w:val="0000FF"/>
                </w:rPr>
                <w:t>9, 2007</w:t>
              </w:r>
              <w:r>
                <w:rPr>
                  <w:rFonts w:ascii="Times New Roman" w:cs="Times New Roman" w:eastAsia="Times New Roman" w:hAnsi="Times New Roman"/>
                  <w:sz w:val="16"/>
                  <w:szCs w:val="16"/>
                  <w:color w:val="000000"/>
                </w:rPr>
                <w:t>, and incorporated herein by reference.</w:t>
              </w:r>
            </w:hyperlink>
          </w:p>
        </w:tc>
        <w:tc>
          <w:tcPr>
            <w:tcW w:w="680" w:type="dxa"/>
            <w:vAlign w:val="bottom"/>
            <w:tcBorders>
              <w:top w:val="single" w:sz="8" w:color="BDE1E9"/>
            </w:tcBorders>
            <w:shd w:val="clear" w:color="auto" w:fill="BDE1E9"/>
          </w:tcPr>
          <w:p>
            <w:pPr>
              <w:spacing w:after="0"/>
              <w:rPr>
                <w:sz w:val="14"/>
                <w:szCs w:val="14"/>
                <w:color w:val="auto"/>
              </w:rPr>
            </w:pPr>
          </w:p>
        </w:tc>
      </w:tr>
      <w:tr>
        <w:trPr>
          <w:trHeight w:val="20"/>
        </w:trPr>
        <w:tc>
          <w:tcPr>
            <w:tcW w:w="1040" w:type="dxa"/>
            <w:vAlign w:val="bottom"/>
            <w:tcBorders>
              <w:top w:val="single" w:sz="8" w:color="BDE1E9"/>
            </w:tcBorders>
            <w:shd w:val="clear" w:color="auto" w:fill="BDE1E9"/>
          </w:tcPr>
          <w:p>
            <w:pPr>
              <w:spacing w:after="0" w:line="20" w:lineRule="exact"/>
              <w:rPr>
                <w:sz w:val="1"/>
                <w:szCs w:val="1"/>
                <w:color w:val="auto"/>
              </w:rPr>
            </w:pPr>
          </w:p>
        </w:tc>
        <w:tc>
          <w:tcPr>
            <w:tcW w:w="4900" w:type="dxa"/>
            <w:vAlign w:val="bottom"/>
            <w:tcBorders>
              <w:top w:val="single" w:sz="8" w:color="BDE1E9"/>
            </w:tcBorders>
            <w:shd w:val="clear" w:color="auto" w:fill="BDE1E9"/>
          </w:tcPr>
          <w:p>
            <w:pPr>
              <w:spacing w:after="0" w:line="20" w:lineRule="exact"/>
              <w:rPr>
                <w:sz w:val="1"/>
                <w:szCs w:val="1"/>
                <w:color w:val="auto"/>
              </w:rPr>
            </w:pPr>
          </w:p>
        </w:tc>
        <w:tc>
          <w:tcPr>
            <w:tcW w:w="40" w:type="dxa"/>
            <w:vAlign w:val="bottom"/>
            <w:tcBorders>
              <w:top w:val="single" w:sz="8" w:color="BDE1E9"/>
            </w:tcBorders>
            <w:shd w:val="clear" w:color="auto" w:fill="BDE1E9"/>
          </w:tcPr>
          <w:p>
            <w:pPr>
              <w:spacing w:after="0" w:line="20" w:lineRule="exact"/>
              <w:rPr>
                <w:sz w:val="1"/>
                <w:szCs w:val="1"/>
                <w:color w:val="auto"/>
              </w:rPr>
            </w:pPr>
          </w:p>
        </w:tc>
        <w:tc>
          <w:tcPr>
            <w:tcW w:w="560" w:type="dxa"/>
            <w:vAlign w:val="bottom"/>
            <w:tcBorders>
              <w:top w:val="single" w:sz="8" w:color="0000FF"/>
            </w:tcBorders>
            <w:shd w:val="clear" w:color="auto" w:fill="BDE1E9"/>
          </w:tcPr>
          <w:p>
            <w:pPr>
              <w:spacing w:after="0" w:line="20" w:lineRule="exact"/>
              <w:rPr>
                <w:sz w:val="1"/>
                <w:szCs w:val="1"/>
                <w:color w:val="auto"/>
              </w:rPr>
            </w:pPr>
          </w:p>
        </w:tc>
        <w:tc>
          <w:tcPr>
            <w:tcW w:w="660" w:type="dxa"/>
            <w:vAlign w:val="bottom"/>
            <w:tcBorders>
              <w:top w:val="single" w:sz="8" w:color="0000FF"/>
              <w:right w:val="single" w:sz="8" w:color="BDE1E9"/>
            </w:tcBorders>
            <w:shd w:val="clear" w:color="auto" w:fill="BDE1E9"/>
          </w:tcPr>
          <w:p>
            <w:pPr>
              <w:spacing w:after="0" w:line="20" w:lineRule="exact"/>
              <w:rPr>
                <w:sz w:val="1"/>
                <w:szCs w:val="1"/>
                <w:color w:val="auto"/>
              </w:rPr>
            </w:pPr>
          </w:p>
        </w:tc>
        <w:tc>
          <w:tcPr>
            <w:tcW w:w="3320" w:type="dxa"/>
            <w:vAlign w:val="bottom"/>
            <w:tcBorders>
              <w:top w:val="single" w:sz="8" w:color="BDE1E9"/>
            </w:tcBorders>
            <w:shd w:val="clear" w:color="auto" w:fill="BDE1E9"/>
          </w:tcPr>
          <w:p>
            <w:pPr>
              <w:spacing w:after="0" w:line="20" w:lineRule="exact"/>
              <w:rPr>
                <w:sz w:val="1"/>
                <w:szCs w:val="1"/>
                <w:color w:val="auto"/>
              </w:rPr>
            </w:pPr>
          </w:p>
        </w:tc>
        <w:tc>
          <w:tcPr>
            <w:tcW w:w="40" w:type="dxa"/>
            <w:vAlign w:val="bottom"/>
            <w:tcBorders>
              <w:top w:val="single" w:sz="8" w:color="BDE1E9"/>
            </w:tcBorders>
            <w:shd w:val="clear" w:color="auto" w:fill="BDE1E9"/>
          </w:tcPr>
          <w:p>
            <w:pPr>
              <w:spacing w:after="0" w:line="20" w:lineRule="exact"/>
              <w:rPr>
                <w:sz w:val="1"/>
                <w:szCs w:val="1"/>
                <w:color w:val="auto"/>
              </w:rPr>
            </w:pPr>
          </w:p>
        </w:tc>
        <w:tc>
          <w:tcPr>
            <w:tcW w:w="680" w:type="dxa"/>
            <w:vAlign w:val="bottom"/>
            <w:tcBorders>
              <w:top w:val="single" w:sz="8" w:color="BDE1E9"/>
            </w:tcBorders>
            <w:shd w:val="clear" w:color="auto" w:fill="BDE1E9"/>
          </w:tcPr>
          <w:p>
            <w:pPr>
              <w:spacing w:after="0" w:line="20" w:lineRule="exact"/>
              <w:rPr>
                <w:sz w:val="1"/>
                <w:szCs w:val="1"/>
                <w:color w:val="auto"/>
              </w:rPr>
            </w:pPr>
          </w:p>
        </w:tc>
      </w:tr>
      <w:tr>
        <w:trPr>
          <w:trHeight w:val="149"/>
        </w:trPr>
        <w:tc>
          <w:tcPr>
            <w:tcW w:w="1040" w:type="dxa"/>
            <w:vAlign w:val="bottom"/>
          </w:tcPr>
          <w:p>
            <w:pPr>
              <w:jc w:val="right"/>
              <w:ind w:right="199"/>
              <w:spacing w:after="0" w:line="148" w:lineRule="exact"/>
              <w:rPr>
                <w:sz w:val="20"/>
                <w:szCs w:val="20"/>
                <w:color w:val="auto"/>
              </w:rPr>
            </w:pPr>
            <w:r>
              <w:rPr>
                <w:rFonts w:ascii="Times New Roman" w:cs="Times New Roman" w:eastAsia="Times New Roman" w:hAnsi="Times New Roman"/>
                <w:sz w:val="16"/>
                <w:szCs w:val="16"/>
                <w:color w:val="auto"/>
              </w:rPr>
              <w:t>4.4</w:t>
            </w:r>
          </w:p>
        </w:tc>
        <w:tc>
          <w:tcPr>
            <w:tcW w:w="4900" w:type="dxa"/>
            <w:vAlign w:val="bottom"/>
          </w:tcPr>
          <w:p>
            <w:pPr>
              <w:ind w:left="280"/>
              <w:spacing w:after="0" w:line="148" w:lineRule="exact"/>
              <w:rPr>
                <w:sz w:val="20"/>
                <w:szCs w:val="20"/>
                <w:color w:val="auto"/>
              </w:rPr>
            </w:pPr>
            <w:r>
              <w:rPr>
                <w:rFonts w:ascii="Times New Roman" w:cs="Times New Roman" w:eastAsia="Times New Roman" w:hAnsi="Times New Roman"/>
                <w:sz w:val="16"/>
                <w:szCs w:val="16"/>
                <w:color w:val="auto"/>
              </w:rPr>
              <w:t>Indenture among Reading International, Inc., Reading New Zealand</w:t>
            </w:r>
          </w:p>
        </w:tc>
        <w:tc>
          <w:tcPr>
            <w:tcW w:w="40" w:type="dxa"/>
            <w:vAlign w:val="bottom"/>
          </w:tcPr>
          <w:p>
            <w:pPr>
              <w:spacing w:after="0"/>
              <w:rPr>
                <w:sz w:val="12"/>
                <w:szCs w:val="12"/>
                <w:color w:val="auto"/>
              </w:rPr>
            </w:pPr>
          </w:p>
        </w:tc>
        <w:tc>
          <w:tcPr>
            <w:tcW w:w="5260" w:type="dxa"/>
            <w:vAlign w:val="bottom"/>
            <w:gridSpan w:val="5"/>
          </w:tcPr>
          <w:p>
            <w:pPr>
              <w:spacing w:after="0" w:line="148" w:lineRule="exact"/>
              <w:rPr>
                <w:rFonts w:ascii="Times New Roman" w:cs="Times New Roman" w:eastAsia="Times New Roman" w:hAnsi="Times New Roman"/>
                <w:sz w:val="16"/>
                <w:szCs w:val="16"/>
                <w:color w:val="auto"/>
              </w:rPr>
            </w:pPr>
            <w:hyperlink r:id="rId1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10.4 to the Company’s report on Form 8-K dated</w:t>
              </w:r>
            </w:hyperlink>
          </w:p>
        </w:tc>
      </w:tr>
      <w:tr>
        <w:trPr>
          <w:trHeight w:val="169"/>
        </w:trPr>
        <w:tc>
          <w:tcPr>
            <w:tcW w:w="1040" w:type="dxa"/>
            <w:vAlign w:val="bottom"/>
          </w:tcPr>
          <w:p>
            <w:pPr>
              <w:spacing w:after="0"/>
              <w:rPr>
                <w:sz w:val="14"/>
                <w:szCs w:val="14"/>
                <w:color w:val="auto"/>
              </w:rPr>
            </w:pPr>
          </w:p>
        </w:tc>
        <w:tc>
          <w:tcPr>
            <w:tcW w:w="4900" w:type="dxa"/>
            <w:vAlign w:val="bottom"/>
          </w:tcPr>
          <w:p>
            <w:pPr>
              <w:ind w:left="280"/>
              <w:spacing w:after="0" w:line="169" w:lineRule="exact"/>
              <w:rPr>
                <w:sz w:val="20"/>
                <w:szCs w:val="20"/>
                <w:color w:val="auto"/>
              </w:rPr>
            </w:pPr>
            <w:r>
              <w:rPr>
                <w:rFonts w:ascii="Times New Roman" w:cs="Times New Roman" w:eastAsia="Times New Roman" w:hAnsi="Times New Roman"/>
                <w:sz w:val="16"/>
                <w:szCs w:val="16"/>
                <w:color w:val="auto"/>
              </w:rPr>
              <w:t>Limited, and Wells Fargo Bank, N.A., as indenture trustee.</w:t>
            </w:r>
          </w:p>
        </w:tc>
        <w:tc>
          <w:tcPr>
            <w:tcW w:w="40" w:type="dxa"/>
            <w:vAlign w:val="bottom"/>
          </w:tcPr>
          <w:p>
            <w:pPr>
              <w:spacing w:after="0"/>
              <w:rPr>
                <w:sz w:val="14"/>
                <w:szCs w:val="14"/>
                <w:color w:val="auto"/>
              </w:rPr>
            </w:pPr>
          </w:p>
        </w:tc>
        <w:tc>
          <w:tcPr>
            <w:tcW w:w="560" w:type="dxa"/>
            <w:vAlign w:val="bottom"/>
          </w:tcPr>
          <w:p>
            <w:pPr>
              <w:spacing w:after="0" w:line="169" w:lineRule="exact"/>
              <w:rPr>
                <w:rFonts w:ascii="Times New Roman" w:cs="Times New Roman" w:eastAsia="Times New Roman" w:hAnsi="Times New Roman"/>
                <w:sz w:val="16"/>
                <w:szCs w:val="16"/>
                <w:b w:val="1"/>
                <w:bCs w:val="1"/>
                <w:color w:val="0000FF"/>
                <w:w w:val="83"/>
              </w:rPr>
            </w:pPr>
            <w:hyperlink r:id="rId18">
              <w:r>
                <w:rPr>
                  <w:rFonts w:ascii="Times New Roman" w:cs="Times New Roman" w:eastAsia="Times New Roman" w:hAnsi="Times New Roman"/>
                  <w:sz w:val="16"/>
                  <w:szCs w:val="16"/>
                  <w:b w:val="1"/>
                  <w:bCs w:val="1"/>
                  <w:color w:val="0000FF"/>
                  <w:w w:val="83"/>
                </w:rPr>
                <w:t>February</w:t>
              </w:r>
            </w:hyperlink>
          </w:p>
        </w:tc>
        <w:tc>
          <w:tcPr>
            <w:tcW w:w="3980" w:type="dxa"/>
            <w:vAlign w:val="bottom"/>
            <w:tcBorders>
              <w:top w:val="single" w:sz="8" w:color="0000FF"/>
            </w:tcBorders>
            <w:gridSpan w:val="2"/>
          </w:tcPr>
          <w:p>
            <w:pPr>
              <w:ind w:left="140"/>
              <w:spacing w:after="0" w:line="169" w:lineRule="exact"/>
              <w:rPr>
                <w:rFonts w:ascii="Times New Roman" w:cs="Times New Roman" w:eastAsia="Times New Roman" w:hAnsi="Times New Roman"/>
                <w:sz w:val="16"/>
                <w:szCs w:val="16"/>
                <w:b w:val="1"/>
                <w:bCs w:val="1"/>
                <w:color w:val="0000FF"/>
              </w:rPr>
            </w:pPr>
            <w:hyperlink r:id="rId18">
              <w:r>
                <w:rPr>
                  <w:rFonts w:ascii="Times New Roman" w:cs="Times New Roman" w:eastAsia="Times New Roman" w:hAnsi="Times New Roman"/>
                  <w:sz w:val="16"/>
                  <w:szCs w:val="16"/>
                  <w:b w:val="1"/>
                  <w:bCs w:val="1"/>
                  <w:color w:val="0000FF"/>
                </w:rPr>
                <w:t>5, 2007</w:t>
              </w:r>
              <w:r>
                <w:rPr>
                  <w:rFonts w:ascii="Times New Roman" w:cs="Times New Roman" w:eastAsia="Times New Roman" w:hAnsi="Times New Roman"/>
                  <w:sz w:val="16"/>
                  <w:szCs w:val="16"/>
                  <w:color w:val="000000"/>
                </w:rPr>
                <w:t>, and incorporated herein by reference.</w:t>
              </w:r>
            </w:hyperlink>
          </w:p>
        </w:tc>
        <w:tc>
          <w:tcPr>
            <w:tcW w:w="72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04" w:right="339" w:bottom="1440" w:gutter="0" w:footer="0" w:header="0"/>
          <w:type w:val="continuous"/>
        </w:sectPr>
      </w:pPr>
    </w:p>
    <w:tbl>
      <w:tblPr>
        <w:tblLayout w:type="fixed"/>
        <w:tblInd w:w="480" w:type="dxa"/>
        <w:tblCellMar>
          <w:top w:w="0" w:type="dxa"/>
          <w:left w:w="0" w:type="dxa"/>
          <w:bottom w:w="0" w:type="dxa"/>
          <w:right w:w="0" w:type="dxa"/>
        </w:tblCellMar>
      </w:tblPr>
      <w:tr>
        <w:trPr>
          <w:trHeight w:val="210"/>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4.5</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 of Indenture</w:t>
            </w:r>
          </w:p>
        </w:tc>
      </w:tr>
      <w:tr>
        <w:trPr>
          <w:trHeight w:val="356"/>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4.6</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Description of Registrant’s Securities Registered Pursuant to Section</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12 of the Securities Exchange Act of 1934</w:t>
            </w:r>
          </w:p>
        </w:tc>
      </w:tr>
      <w:tr>
        <w:trPr>
          <w:trHeight w:val="210"/>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10.1*</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Reading International, Inc. 2020 Stock Incentive Plan</w:t>
            </w:r>
          </w:p>
        </w:tc>
      </w:tr>
      <w:tr>
        <w:trPr>
          <w:trHeight w:val="411"/>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10.2*</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 Amendment to Reading International, Inc. 2020 Stock Incentive</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Plan</w:t>
            </w:r>
          </w:p>
        </w:tc>
      </w:tr>
      <w:tr>
        <w:trPr>
          <w:trHeight w:val="189"/>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10.3*</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Second Amendment to Reading International, Inc. 2020 Stock</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Incentive Plan</w:t>
            </w:r>
          </w:p>
        </w:tc>
      </w:tr>
      <w:tr>
        <w:trPr>
          <w:trHeight w:val="189"/>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10.4*</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 of Restricted Stock Unit Agreement (with Grant Notice) (Non-</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Directors) under the 2020 Stock Incentive Plan</w:t>
            </w:r>
          </w:p>
        </w:tc>
      </w:tr>
      <w:tr>
        <w:trPr>
          <w:trHeight w:val="189"/>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10.5*</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 of Restricted Stock Unit Agreement (with Grant Notice)</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(Executive Officer) under the 2020 Stock Incentive Plan</w:t>
            </w:r>
          </w:p>
        </w:tc>
      </w:tr>
      <w:tr>
        <w:trPr>
          <w:trHeight w:val="189"/>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10.6*</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 of Stock Option Agreement (Employee/Executive Officer) under</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the 2020 Stock Incentive Plan</w:t>
            </w:r>
          </w:p>
        </w:tc>
      </w:tr>
      <w:tr>
        <w:trPr>
          <w:trHeight w:val="189"/>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10.7*</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Form of Stock Option Agreement (Directors) under the 2020 Stock</w:t>
            </w:r>
          </w:p>
        </w:tc>
      </w:tr>
      <w:tr>
        <w:trPr>
          <w:trHeight w:val="189"/>
        </w:trPr>
        <w:tc>
          <w:tcPr>
            <w:tcW w:w="60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Incentive Plan</w:t>
            </w:r>
          </w:p>
        </w:tc>
      </w:tr>
      <w:tr>
        <w:trPr>
          <w:trHeight w:val="210"/>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10.8*</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highlight w:val="white"/>
              </w:rPr>
              <w:t>2023 Reading International, Inc. Executive Incentive Plan</w:t>
            </w:r>
          </w:p>
        </w:tc>
      </w:tr>
      <w:tr>
        <w:trPr>
          <w:trHeight w:val="357"/>
        </w:trPr>
        <w:tc>
          <w:tcPr>
            <w:tcW w:w="6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10.9</w:t>
            </w: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Amended and Restated Lease Agreement, dated as of July 28, 2000, as</w:t>
            </w:r>
          </w:p>
        </w:tc>
      </w:tr>
      <w:tr>
        <w:trPr>
          <w:trHeight w:val="207"/>
        </w:trPr>
        <w:tc>
          <w:tcPr>
            <w:tcW w:w="600" w:type="dxa"/>
            <w:vAlign w:val="bottom"/>
          </w:tcPr>
          <w:p>
            <w:pPr>
              <w:spacing w:after="0"/>
              <w:rPr>
                <w:sz w:val="18"/>
                <w:szCs w:val="18"/>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amended and restated as of January 29, 2002, between Sutton Hill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-2668270</wp:posOffset>
            </wp:positionV>
            <wp:extent cx="71323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-2188210</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-1673860</wp:posOffset>
            </wp:positionV>
            <wp:extent cx="71323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-1193800</wp:posOffset>
            </wp:positionV>
            <wp:extent cx="713232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-713740</wp:posOffset>
            </wp:positionV>
            <wp:extent cx="713232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ind w:left="1320"/>
        <w:spacing w:after="0" w:line="225" w:lineRule="auto"/>
        <w:rPr>
          <w:sz w:val="20"/>
          <w:szCs w:val="20"/>
          <w:color w:val="auto"/>
        </w:rPr>
      </w:pPr>
      <w:r>
        <w:rPr>
          <w:rFonts w:ascii="Times New Roman" w:cs="Times New Roman" w:eastAsia="Times New Roman" w:hAnsi="Times New Roman"/>
          <w:sz w:val="16"/>
          <w:szCs w:val="16"/>
          <w:color w:val="auto"/>
        </w:rPr>
        <w:t>Capital, L.L.C. and Citadel Cinemas, Inc.</w:t>
      </w:r>
    </w:p>
    <w:p>
      <w:pPr>
        <w:spacing w:after="0" w:line="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58" w:lineRule="auto"/>
        <w:rPr>
          <w:rFonts w:ascii="Times New Roman" w:cs="Times New Roman" w:eastAsia="Times New Roman" w:hAnsi="Times New Roman"/>
          <w:sz w:val="16"/>
          <w:szCs w:val="16"/>
          <w:b w:val="1"/>
          <w:bCs w:val="1"/>
          <w:color w:val="0000FF"/>
        </w:rPr>
      </w:pPr>
      <w:hyperlink r:id="rId2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4.4 to the Company’s report on Form S-3 on October 20,</w:t>
        </w:r>
      </w:hyperlink>
      <w:r>
        <w:rPr>
          <w:rFonts w:ascii="Times New Roman" w:cs="Times New Roman" w:eastAsia="Times New Roman" w:hAnsi="Times New Roman"/>
          <w:sz w:val="16"/>
          <w:szCs w:val="16"/>
          <w:color w:val="auto"/>
        </w:rPr>
        <w:t xml:space="preserve"> </w:t>
      </w:r>
      <w:hyperlink r:id="rId26">
        <w:r>
          <w:rPr>
            <w:rFonts w:ascii="Times New Roman" w:cs="Times New Roman" w:eastAsia="Times New Roman" w:hAnsi="Times New Roman"/>
            <w:sz w:val="16"/>
            <w:szCs w:val="16"/>
            <w:b w:val="1"/>
            <w:bCs w:val="1"/>
            <w:u w:val="single" w:color="auto"/>
            <w:color w:val="0000FF"/>
          </w:rPr>
          <w:t>2009</w:t>
        </w:r>
        <w:r>
          <w:rPr>
            <w:rFonts w:ascii="Times New Roman" w:cs="Times New Roman" w:eastAsia="Times New Roman" w:hAnsi="Times New Roman"/>
            <w:sz w:val="16"/>
            <w:szCs w:val="16"/>
            <w:color w:val="000000"/>
          </w:rPr>
          <w:t>, and incorporated herein by reference.</w:t>
        </w:r>
      </w:hyperlink>
    </w:p>
    <w:p>
      <w:pPr>
        <w:ind w:right="80"/>
        <w:spacing w:after="0" w:line="251" w:lineRule="auto"/>
        <w:rPr>
          <w:rFonts w:ascii="Times New Roman" w:cs="Times New Roman" w:eastAsia="Times New Roman" w:hAnsi="Times New Roman"/>
          <w:sz w:val="16"/>
          <w:szCs w:val="16"/>
          <w:b w:val="1"/>
          <w:bCs w:val="1"/>
          <w:color w:val="0000FF"/>
        </w:rPr>
      </w:pPr>
      <w:hyperlink r:id="rId2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4.6 to the Company’s Annual Report on Form 10-K for the</w:t>
        </w:r>
      </w:hyperlink>
      <w:r>
        <w:rPr>
          <w:rFonts w:ascii="Times New Roman" w:cs="Times New Roman" w:eastAsia="Times New Roman" w:hAnsi="Times New Roman"/>
          <w:sz w:val="16"/>
          <w:szCs w:val="16"/>
          <w:color w:val="auto"/>
        </w:rPr>
        <w:t xml:space="preserve"> </w:t>
      </w:r>
      <w:hyperlink r:id="rId27">
        <w:r>
          <w:rPr>
            <w:rFonts w:ascii="Times New Roman" w:cs="Times New Roman" w:eastAsia="Times New Roman" w:hAnsi="Times New Roman"/>
            <w:sz w:val="16"/>
            <w:szCs w:val="16"/>
            <w:b w:val="1"/>
            <w:bCs w:val="1"/>
            <w:u w:val="single" w:color="auto"/>
            <w:color w:val="0000FF"/>
          </w:rPr>
          <w:t>year ended December 31, 2021</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-143510</wp:posOffset>
            </wp:positionV>
            <wp:extent cx="29591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959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1339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rPr>
          <w:rFonts w:ascii="Times New Roman" w:cs="Times New Roman" w:eastAsia="Times New Roman" w:hAnsi="Times New Roman"/>
          <w:sz w:val="16"/>
          <w:szCs w:val="16"/>
          <w:color w:val="auto"/>
        </w:rPr>
      </w:pPr>
      <w:hyperlink r:id="rId3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Appendix A to the Company’s Proxy Statement filed on November</w:t>
        </w:r>
      </w:hyperlink>
    </w:p>
    <w:p>
      <w:pPr>
        <w:spacing w:after="0" w:line="28" w:lineRule="exact"/>
        <w:rPr>
          <w:sz w:val="20"/>
          <w:szCs w:val="20"/>
          <w:color w:val="auto"/>
        </w:rPr>
      </w:pPr>
    </w:p>
    <w:p>
      <w:pPr>
        <w:spacing w:after="0"/>
        <w:rPr>
          <w:rFonts w:ascii="Times New Roman" w:cs="Times New Roman" w:eastAsia="Times New Roman" w:hAnsi="Times New Roman"/>
          <w:sz w:val="16"/>
          <w:szCs w:val="16"/>
          <w:b w:val="1"/>
          <w:bCs w:val="1"/>
          <w:color w:val="0000FF"/>
        </w:rPr>
      </w:pPr>
      <w:hyperlink r:id="rId30">
        <w:r>
          <w:rPr>
            <w:rFonts w:ascii="Times New Roman" w:cs="Times New Roman" w:eastAsia="Times New Roman" w:hAnsi="Times New Roman"/>
            <w:sz w:val="16"/>
            <w:szCs w:val="16"/>
            <w:b w:val="1"/>
            <w:bCs w:val="1"/>
            <w:u w:val="single" w:color="auto"/>
            <w:color w:val="0000FF"/>
          </w:rPr>
          <w:t>6, 2020</w:t>
        </w:r>
        <w:r>
          <w:rPr>
            <w:rFonts w:ascii="Times New Roman" w:cs="Times New Roman" w:eastAsia="Times New Roman" w:hAnsi="Times New Roman"/>
            <w:sz w:val="16"/>
            <w:szCs w:val="16"/>
            <w:color w:val="000000"/>
          </w:rPr>
          <w:t>, and incorporated herein by reference.</w:t>
        </w:r>
      </w:hyperlink>
    </w:p>
    <w:p>
      <w:pPr>
        <w:spacing w:after="0" w:line="19" w:lineRule="exact"/>
        <w:rPr>
          <w:sz w:val="20"/>
          <w:szCs w:val="20"/>
          <w:color w:val="auto"/>
        </w:rPr>
      </w:pPr>
    </w:p>
    <w:p>
      <w:pPr>
        <w:ind w:right="260"/>
        <w:spacing w:after="0" w:line="253" w:lineRule="auto"/>
        <w:rPr>
          <w:rFonts w:ascii="Times New Roman" w:cs="Times New Roman" w:eastAsia="Times New Roman" w:hAnsi="Times New Roman"/>
          <w:sz w:val="16"/>
          <w:szCs w:val="16"/>
          <w:b w:val="1"/>
          <w:bCs w:val="1"/>
          <w:color w:val="0000FF"/>
        </w:rPr>
      </w:pPr>
      <w:hyperlink r:id="rId3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Appendix A to the Company’s Proxy Statement filed on October</w:t>
        </w:r>
      </w:hyperlink>
      <w:r>
        <w:rPr>
          <w:rFonts w:ascii="Times New Roman" w:cs="Times New Roman" w:eastAsia="Times New Roman" w:hAnsi="Times New Roman"/>
          <w:sz w:val="16"/>
          <w:szCs w:val="16"/>
          <w:color w:val="auto"/>
        </w:rPr>
        <w:t xml:space="preserve"> </w:t>
      </w:r>
      <w:hyperlink r:id="rId31">
        <w:r>
          <w:rPr>
            <w:rFonts w:ascii="Times New Roman" w:cs="Times New Roman" w:eastAsia="Times New Roman" w:hAnsi="Times New Roman"/>
            <w:sz w:val="16"/>
            <w:szCs w:val="16"/>
            <w:b w:val="1"/>
            <w:bCs w:val="1"/>
            <w:u w:val="single" w:color="auto"/>
            <w:color w:val="0000FF"/>
          </w:rPr>
          <w:t>27, 2023</w:t>
        </w:r>
        <w:r>
          <w:rPr>
            <w:rFonts w:ascii="Times New Roman" w:cs="Times New Roman" w:eastAsia="Times New Roman" w:hAnsi="Times New Roman"/>
            <w:sz w:val="16"/>
            <w:szCs w:val="16"/>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-139065</wp:posOffset>
            </wp:positionV>
            <wp:extent cx="2851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8517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360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right="260"/>
        <w:spacing w:after="0" w:line="246" w:lineRule="auto"/>
        <w:rPr>
          <w:rFonts w:ascii="Times New Roman" w:cs="Times New Roman" w:eastAsia="Times New Roman" w:hAnsi="Times New Roman"/>
          <w:sz w:val="16"/>
          <w:szCs w:val="16"/>
          <w:b w:val="1"/>
          <w:bCs w:val="1"/>
          <w:color w:val="0000FF"/>
        </w:rPr>
      </w:pPr>
      <w:hyperlink r:id="rId3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Appendix A to the Company’s Proxy Statement filed on October</w:t>
        </w:r>
      </w:hyperlink>
      <w:r>
        <w:rPr>
          <w:rFonts w:ascii="Times New Roman" w:cs="Times New Roman" w:eastAsia="Times New Roman" w:hAnsi="Times New Roman"/>
          <w:sz w:val="16"/>
          <w:szCs w:val="16"/>
          <w:color w:val="auto"/>
        </w:rPr>
        <w:t xml:space="preserve"> </w:t>
      </w:r>
      <w:hyperlink r:id="rId34">
        <w:r>
          <w:rPr>
            <w:rFonts w:ascii="Times New Roman" w:cs="Times New Roman" w:eastAsia="Times New Roman" w:hAnsi="Times New Roman"/>
            <w:sz w:val="16"/>
            <w:szCs w:val="16"/>
            <w:b w:val="1"/>
            <w:bCs w:val="1"/>
            <w:u w:val="single" w:color="auto"/>
            <w:color w:val="0000FF"/>
          </w:rPr>
          <w:t>25, 2024</w:t>
        </w:r>
        <w:r>
          <w:rPr>
            <w:rFonts w:ascii="Times New Roman" w:cs="Times New Roman" w:eastAsia="Times New Roman" w:hAnsi="Times New Roman"/>
            <w:sz w:val="16"/>
            <w:szCs w:val="16"/>
            <w:color w:val="000000"/>
          </w:rPr>
          <w:t>, and incorporated herein by reference.</w:t>
        </w:r>
      </w:hyperlink>
    </w:p>
    <w:p>
      <w:pPr>
        <w:spacing w:after="0" w:line="1" w:lineRule="exact"/>
        <w:rPr>
          <w:sz w:val="20"/>
          <w:szCs w:val="20"/>
          <w:color w:val="auto"/>
        </w:rPr>
      </w:pPr>
    </w:p>
    <w:p>
      <w:pPr>
        <w:ind w:right="80"/>
        <w:spacing w:after="0" w:line="247" w:lineRule="auto"/>
        <w:rPr>
          <w:rFonts w:ascii="Times New Roman" w:cs="Times New Roman" w:eastAsia="Times New Roman" w:hAnsi="Times New Roman"/>
          <w:sz w:val="16"/>
          <w:szCs w:val="16"/>
          <w:color w:val="000000"/>
        </w:rPr>
      </w:pPr>
      <w:hyperlink r:id="rId3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10.7 to the Company’s Annual Report on Form 10-K for</w:t>
        </w:r>
      </w:hyperlink>
      <w:r>
        <w:rPr>
          <w:rFonts w:ascii="Times New Roman" w:cs="Times New Roman" w:eastAsia="Times New Roman" w:hAnsi="Times New Roman"/>
          <w:sz w:val="16"/>
          <w:szCs w:val="16"/>
          <w:color w:val="auto"/>
        </w:rPr>
        <w:t xml:space="preserve"> </w:t>
      </w:r>
      <w:hyperlink r:id="rId35">
        <w:r>
          <w:rPr>
            <w:rFonts w:ascii="Times New Roman" w:cs="Times New Roman" w:eastAsia="Times New Roman" w:hAnsi="Times New Roman"/>
            <w:sz w:val="16"/>
            <w:szCs w:val="16"/>
            <w:b w:val="1"/>
            <w:bCs w:val="1"/>
            <w:u w:val="single" w:color="auto"/>
            <w:color w:val="0000FF"/>
          </w:rPr>
          <w:t>the year ended December 31, 2021</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b w:val="1"/>
          <w:bCs w:val="1"/>
          <w:color w:val="0000FF"/>
        </w:rPr>
        <w:t xml:space="preserve"> </w:t>
      </w:r>
      <w:hyperlink r:id="rId36">
        <w:r>
          <w:rPr>
            <w:rFonts w:ascii="Times New Roman" w:cs="Times New Roman" w:eastAsia="Times New Roman" w:hAnsi="Times New Roman"/>
            <w:sz w:val="16"/>
            <w:szCs w:val="16"/>
            <w:color w:val="000000"/>
          </w:rPr>
          <w:t xml:space="preserve">Filed as </w:t>
        </w:r>
        <w:r>
          <w:rPr>
            <w:rFonts w:ascii="Times New Roman" w:cs="Times New Roman" w:eastAsia="Times New Roman" w:hAnsi="Times New Roman"/>
            <w:sz w:val="16"/>
            <w:szCs w:val="16"/>
            <w:b w:val="1"/>
            <w:bCs w:val="1"/>
            <w:u w:val="single" w:color="auto"/>
            <w:color w:val="0000FF"/>
          </w:rPr>
          <w:t>Exhibit 10.8 to the Company’s Annual Report on Form 10-K for</w:t>
        </w:r>
      </w:hyperlink>
      <w:r>
        <w:rPr>
          <w:rFonts w:ascii="Times New Roman" w:cs="Times New Roman" w:eastAsia="Times New Roman" w:hAnsi="Times New Roman"/>
          <w:sz w:val="16"/>
          <w:szCs w:val="16"/>
          <w:color w:val="000000"/>
        </w:rPr>
        <w:t xml:space="preserve"> </w:t>
      </w:r>
      <w:hyperlink r:id="rId36">
        <w:r>
          <w:rPr>
            <w:rFonts w:ascii="Times New Roman" w:cs="Times New Roman" w:eastAsia="Times New Roman" w:hAnsi="Times New Roman"/>
            <w:sz w:val="16"/>
            <w:szCs w:val="16"/>
            <w:b w:val="1"/>
            <w:bCs w:val="1"/>
            <w:u w:val="single" w:color="auto"/>
            <w:color w:val="0000FF"/>
          </w:rPr>
          <w:t>the year ended December 31, 2021</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b w:val="1"/>
          <w:bCs w:val="1"/>
          <w:color w:val="0000FF"/>
        </w:rPr>
        <w:t xml:space="preserve"> </w:t>
      </w:r>
      <w:hyperlink r:id="rId37">
        <w:r>
          <w:rPr>
            <w:rFonts w:ascii="Times New Roman" w:cs="Times New Roman" w:eastAsia="Times New Roman" w:hAnsi="Times New Roman"/>
            <w:sz w:val="16"/>
            <w:szCs w:val="16"/>
            <w:color w:val="000000"/>
            <w:highlight w:val="white"/>
          </w:rPr>
          <w:t xml:space="preserve">Filed as </w:t>
        </w:r>
        <w:r>
          <w:rPr>
            <w:rFonts w:ascii="Times New Roman" w:cs="Times New Roman" w:eastAsia="Times New Roman" w:hAnsi="Times New Roman"/>
            <w:sz w:val="16"/>
            <w:szCs w:val="16"/>
            <w:b w:val="1"/>
            <w:bCs w:val="1"/>
            <w:u w:val="single" w:color="auto"/>
            <w:color w:val="0000FF"/>
            <w:highlight w:val="white"/>
          </w:rPr>
          <w:t>Exhibit 10.2 to the Company’s Quarterly Report on Form 10-Q for</w:t>
        </w:r>
      </w:hyperlink>
      <w:r>
        <w:rPr>
          <w:rFonts w:ascii="Times New Roman" w:cs="Times New Roman" w:eastAsia="Times New Roman" w:hAnsi="Times New Roman"/>
          <w:sz w:val="16"/>
          <w:szCs w:val="16"/>
          <w:color w:val="000000"/>
          <w:highlight w:val="white"/>
        </w:rPr>
        <w:t xml:space="preserve"> </w:t>
      </w:r>
      <w:hyperlink r:id="rId37">
        <w:r>
          <w:rPr>
            <w:rFonts w:ascii="Times New Roman" w:cs="Times New Roman" w:eastAsia="Times New Roman" w:hAnsi="Times New Roman"/>
            <w:sz w:val="16"/>
            <w:szCs w:val="16"/>
            <w:b w:val="1"/>
            <w:bCs w:val="1"/>
            <w:u w:val="single" w:color="auto"/>
            <w:color w:val="0000FF"/>
          </w:rPr>
          <w:t>the quarter ended September 30, 2025</w:t>
        </w:r>
        <w:r>
          <w:rPr>
            <w:rFonts w:ascii="Times New Roman" w:cs="Times New Roman" w:eastAsia="Times New Roman" w:hAnsi="Times New Roman"/>
            <w:sz w:val="16"/>
            <w:szCs w:val="16"/>
            <w:color w:val="000000"/>
            <w:highlight w:val="white"/>
          </w:rPr>
          <w:t>, and incorporated herein by reference.</w:t>
        </w:r>
      </w:hyperlink>
      <w:r>
        <w:rPr>
          <w:rFonts w:ascii="Times New Roman" w:cs="Times New Roman" w:eastAsia="Times New Roman" w:hAnsi="Times New Roman"/>
          <w:sz w:val="16"/>
          <w:szCs w:val="16"/>
          <w:b w:val="1"/>
          <w:bCs w:val="1"/>
          <w:color w:val="0000FF"/>
        </w:rPr>
        <w:t xml:space="preserve"> </w:t>
      </w:r>
      <w:hyperlink r:id="rId38">
        <w:r>
          <w:rPr>
            <w:rFonts w:ascii="Times New Roman" w:cs="Times New Roman" w:eastAsia="Times New Roman" w:hAnsi="Times New Roman"/>
            <w:sz w:val="16"/>
            <w:szCs w:val="16"/>
            <w:color w:val="000000"/>
          </w:rPr>
          <w:t xml:space="preserve">Filed as </w:t>
        </w:r>
        <w:r>
          <w:rPr>
            <w:rFonts w:ascii="Times New Roman" w:cs="Times New Roman" w:eastAsia="Times New Roman" w:hAnsi="Times New Roman"/>
            <w:sz w:val="16"/>
            <w:szCs w:val="16"/>
            <w:b w:val="1"/>
            <w:bCs w:val="1"/>
            <w:u w:val="single" w:color="auto"/>
            <w:color w:val="0000FF"/>
          </w:rPr>
          <w:t>Exhibit 10.9 to the Company’s Annual Report on Form 10-K for</w:t>
        </w:r>
      </w:hyperlink>
      <w:r>
        <w:rPr>
          <w:rFonts w:ascii="Times New Roman" w:cs="Times New Roman" w:eastAsia="Times New Roman" w:hAnsi="Times New Roman"/>
          <w:sz w:val="16"/>
          <w:szCs w:val="16"/>
          <w:color w:val="000000"/>
        </w:rPr>
        <w:t xml:space="preserve"> </w:t>
      </w:r>
      <w:hyperlink r:id="rId38">
        <w:r>
          <w:rPr>
            <w:rFonts w:ascii="Times New Roman" w:cs="Times New Roman" w:eastAsia="Times New Roman" w:hAnsi="Times New Roman"/>
            <w:sz w:val="16"/>
            <w:szCs w:val="16"/>
            <w:b w:val="1"/>
            <w:bCs w:val="1"/>
            <w:u w:val="single" w:color="auto"/>
            <w:color w:val="0000FF"/>
          </w:rPr>
          <w:t>the year ended December 31, 2021</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b w:val="1"/>
          <w:bCs w:val="1"/>
          <w:color w:val="0000FF"/>
        </w:rPr>
        <w:t xml:space="preserve"> </w:t>
      </w:r>
      <w:hyperlink r:id="rId39">
        <w:r>
          <w:rPr>
            <w:rFonts w:ascii="Times New Roman" w:cs="Times New Roman" w:eastAsia="Times New Roman" w:hAnsi="Times New Roman"/>
            <w:sz w:val="16"/>
            <w:szCs w:val="16"/>
            <w:color w:val="000000"/>
            <w:highlight w:val="white"/>
          </w:rPr>
          <w:t xml:space="preserve">Filed as </w:t>
        </w:r>
        <w:r>
          <w:rPr>
            <w:rFonts w:ascii="Times New Roman" w:cs="Times New Roman" w:eastAsia="Times New Roman" w:hAnsi="Times New Roman"/>
            <w:sz w:val="16"/>
            <w:szCs w:val="16"/>
            <w:b w:val="1"/>
            <w:bCs w:val="1"/>
            <w:u w:val="single" w:color="auto"/>
            <w:color w:val="0000FF"/>
            <w:highlight w:val="white"/>
          </w:rPr>
          <w:t>Exhibit 10.47 to the Company’s Annual Report on Form 10- K/A</w:t>
        </w:r>
      </w:hyperlink>
      <w:r>
        <w:rPr>
          <w:rFonts w:ascii="Times New Roman" w:cs="Times New Roman" w:eastAsia="Times New Roman" w:hAnsi="Times New Roman"/>
          <w:sz w:val="16"/>
          <w:szCs w:val="16"/>
          <w:color w:val="000000"/>
          <w:highlight w:val="white"/>
        </w:rPr>
        <w:t xml:space="preserve"> </w:t>
      </w:r>
      <w:hyperlink r:id="rId39">
        <w:r>
          <w:rPr>
            <w:rFonts w:ascii="Times New Roman" w:cs="Times New Roman" w:eastAsia="Times New Roman" w:hAnsi="Times New Roman"/>
            <w:sz w:val="16"/>
            <w:szCs w:val="16"/>
            <w:b w:val="1"/>
            <w:bCs w:val="1"/>
            <w:u w:val="single" w:color="auto"/>
            <w:color w:val="0000FF"/>
          </w:rPr>
          <w:t>for the year ended December 31, 2022</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 xml:space="preserve">Filed as </w:t>
      </w:r>
      <w:hyperlink r:id="rId40">
        <w:r>
          <w:rPr>
            <w:rFonts w:ascii="Times New Roman" w:cs="Times New Roman" w:eastAsia="Times New Roman" w:hAnsi="Times New Roman"/>
            <w:sz w:val="16"/>
            <w:szCs w:val="16"/>
            <w:b w:val="1"/>
            <w:bCs w:val="1"/>
            <w:u w:val="single" w:color="auto"/>
            <w:color w:val="0000FF"/>
          </w:rPr>
          <w:t>Exhibit 10.40 to the Company’s Annual Report on Form 10-K</w:t>
        </w:r>
        <w:r>
          <w:rPr>
            <w:rFonts w:ascii="Times New Roman" w:cs="Times New Roman" w:eastAsia="Times New Roman" w:hAnsi="Times New Roman"/>
            <w:sz w:val="16"/>
            <w:szCs w:val="16"/>
            <w:u w:val="single" w:color="auto"/>
            <w:color w:val="000000"/>
          </w:rPr>
          <w:t xml:space="preserve"> </w:t>
        </w:r>
      </w:hyperlink>
      <w:r>
        <w:rPr>
          <w:rFonts w:ascii="Times New Roman" w:cs="Times New Roman" w:eastAsia="Times New Roman" w:hAnsi="Times New Roman"/>
          <w:sz w:val="16"/>
          <w:szCs w:val="16"/>
          <w:color w:val="000000"/>
        </w:rPr>
        <w:t>for the year ended December 31, 2002 and incorporated herein by reference.</w:t>
      </w:r>
    </w:p>
    <w:p>
      <w:pPr>
        <w:spacing w:after="0" w:line="20" w:lineRule="exact"/>
        <w:rPr>
          <w:rFonts w:ascii="Times New Roman" w:cs="Times New Roman" w:eastAsia="Times New Roman" w:hAnsi="Times New Roman"/>
          <w:sz w:val="16"/>
          <w:szCs w:val="16"/>
          <w:color w:val="000000"/>
          <w:highlight w:val="white"/>
        </w:rPr>
      </w:pPr>
      <w:r>
        <w:rPr>
          <w:rFonts w:ascii="Times New Roman" w:cs="Times New Roman" w:eastAsia="Times New Roman" w:hAnsi="Times New Roman"/>
          <w:sz w:val="16"/>
          <w:szCs w:val="16"/>
          <w:color w:val="000000"/>
          <w:highlight w:val="white"/>
        </w:rPr>
        <w:drawing>
          <wp:anchor simplePos="0" relativeHeight="251657728" behindDoc="1" locked="0" layoutInCell="0" allowOverlap="1">
            <wp:simplePos x="0" y="0"/>
            <wp:positionH relativeFrom="column">
              <wp:posOffset>353695</wp:posOffset>
            </wp:positionH>
            <wp:positionV relativeFrom="paragraph">
              <wp:posOffset>-1341755</wp:posOffset>
            </wp:positionV>
            <wp:extent cx="28479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28479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-1221740</wp:posOffset>
            </wp:positionV>
            <wp:extent cx="15024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150241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-861695</wp:posOffset>
            </wp:positionV>
            <wp:extent cx="2961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2961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-741680</wp:posOffset>
            </wp:positionV>
            <wp:extent cx="16719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167195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-381635</wp:posOffset>
            </wp:positionV>
            <wp:extent cx="2896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2896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1659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ectPr>
          <w:pgSz w:w="11900" w:h="16838" w:orient="portrait"/>
          <w:cols w:equalWidth="0" w:num="2">
            <w:col w:w="5920" w:space="60"/>
            <w:col w:w="5260"/>
          </w:cols>
          <w:pgMar w:left="320" w:top="504"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10.10</w:t>
            </w: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Second Amendment to Amended and Restated Master Operating Lease</w:t>
            </w:r>
          </w:p>
        </w:tc>
        <w:tc>
          <w:tcPr>
            <w:tcW w:w="5240" w:type="dxa"/>
            <w:vAlign w:val="bottom"/>
            <w:gridSpan w:val="13"/>
          </w:tcPr>
          <w:p>
            <w:pPr>
              <w:spacing w:after="0"/>
              <w:rPr>
                <w:rFonts w:ascii="Times New Roman" w:cs="Times New Roman" w:eastAsia="Times New Roman" w:hAnsi="Times New Roman"/>
                <w:sz w:val="16"/>
                <w:szCs w:val="16"/>
                <w:color w:val="auto"/>
              </w:rPr>
            </w:pPr>
            <w:hyperlink r:id="rId4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10.58 to the Company’s report on Form 8-K filed on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dated as of September 1, 2005</w:t>
            </w: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vMerge w:val="continue"/>
          </w:tcPr>
          <w:p>
            <w:pPr>
              <w:spacing w:after="0"/>
              <w:rPr>
                <w:sz w:val="14"/>
                <w:szCs w:val="14"/>
                <w:color w:val="auto"/>
              </w:rPr>
            </w:pPr>
          </w:p>
        </w:tc>
        <w:tc>
          <w:tcPr>
            <w:tcW w:w="4740" w:type="dxa"/>
            <w:vAlign w:val="bottom"/>
            <w:gridSpan w:val="8"/>
          </w:tcPr>
          <w:p>
            <w:pPr>
              <w:spacing w:after="0" w:line="169" w:lineRule="exact"/>
              <w:rPr>
                <w:rFonts w:ascii="Times New Roman" w:cs="Times New Roman" w:eastAsia="Times New Roman" w:hAnsi="Times New Roman"/>
                <w:sz w:val="16"/>
                <w:szCs w:val="16"/>
                <w:b w:val="1"/>
                <w:bCs w:val="1"/>
                <w:color w:val="0000FF"/>
              </w:rPr>
            </w:pPr>
            <w:hyperlink r:id="rId47">
              <w:r>
                <w:rPr>
                  <w:rFonts w:ascii="Times New Roman" w:cs="Times New Roman" w:eastAsia="Times New Roman" w:hAnsi="Times New Roman"/>
                  <w:sz w:val="16"/>
                  <w:szCs w:val="16"/>
                  <w:b w:val="1"/>
                  <w:bCs w:val="1"/>
                  <w:color w:val="0000FF"/>
                </w:rPr>
                <w:t>September 21, 2005</w:t>
              </w:r>
              <w:r>
                <w:rPr>
                  <w:rFonts w:ascii="Times New Roman" w:cs="Times New Roman" w:eastAsia="Times New Roman" w:hAnsi="Times New Roman"/>
                  <w:sz w:val="16"/>
                  <w:szCs w:val="16"/>
                  <w:color w:val="000000"/>
                </w:rPr>
                <w:t>, and incorporated herein by reference.</w:t>
              </w:r>
            </w:hyperlink>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shd w:val="clear" w:color="auto" w:fill="BDE1E9"/>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10.11</w:t>
            </w:r>
          </w:p>
        </w:tc>
        <w:tc>
          <w:tcPr>
            <w:tcW w:w="4920" w:type="dxa"/>
            <w:vAlign w:val="bottom"/>
            <w:tcBorders>
              <w:right w:val="single" w:sz="8" w:color="BDE1E9"/>
            </w:tcBorders>
            <w:shd w:val="clear" w:color="auto" w:fill="BDE1E9"/>
          </w:tcPr>
          <w:p>
            <w:pPr>
              <w:ind w:left="240"/>
              <w:spacing w:after="0" w:line="148" w:lineRule="exact"/>
              <w:rPr>
                <w:sz w:val="20"/>
                <w:szCs w:val="20"/>
                <w:color w:val="auto"/>
              </w:rPr>
            </w:pPr>
            <w:r>
              <w:rPr>
                <w:rFonts w:ascii="Times New Roman" w:cs="Times New Roman" w:eastAsia="Times New Roman" w:hAnsi="Times New Roman"/>
                <w:sz w:val="16"/>
                <w:szCs w:val="16"/>
                <w:color w:val="auto"/>
              </w:rPr>
              <w:t>Assignment and Assumption of Lease between Sutton Hill Capital</w:t>
            </w:r>
          </w:p>
        </w:tc>
        <w:tc>
          <w:tcPr>
            <w:tcW w:w="5240" w:type="dxa"/>
            <w:vAlign w:val="bottom"/>
            <w:gridSpan w:val="13"/>
            <w:shd w:val="clear" w:color="auto" w:fill="BDE1E9"/>
          </w:tcPr>
          <w:p>
            <w:pPr>
              <w:spacing w:after="0" w:line="148" w:lineRule="exact"/>
              <w:rPr>
                <w:rFonts w:ascii="Times New Roman" w:cs="Times New Roman" w:eastAsia="Times New Roman" w:hAnsi="Times New Roman"/>
                <w:sz w:val="16"/>
                <w:szCs w:val="16"/>
                <w:color w:val="auto"/>
              </w:rPr>
            </w:pPr>
            <w:hyperlink r:id="rId4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10.56 to the Company’s report on Form 8-K filed on</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BDE1E9"/>
          </w:tcPr>
          <w:p>
            <w:pPr>
              <w:spacing w:after="0" w:line="20" w:lineRule="exact"/>
              <w:rPr>
                <w:sz w:val="1"/>
                <w:szCs w:val="1"/>
                <w:color w:val="auto"/>
              </w:rPr>
            </w:pPr>
          </w:p>
        </w:tc>
        <w:tc>
          <w:tcPr>
            <w:tcW w:w="4920" w:type="dxa"/>
            <w:vAlign w:val="bottom"/>
            <w:tcBorders>
              <w:right w:val="single" w:sz="8" w:color="BDE1E9"/>
            </w:tcBorders>
            <w:vMerge w:val="restart"/>
            <w:shd w:val="clear" w:color="auto" w:fill="BDE1E9"/>
          </w:tcPr>
          <w:p>
            <w:pPr>
              <w:ind w:left="240"/>
              <w:spacing w:after="0"/>
              <w:rPr>
                <w:sz w:val="20"/>
                <w:szCs w:val="20"/>
                <w:color w:val="auto"/>
              </w:rPr>
            </w:pPr>
            <w:r>
              <w:rPr>
                <w:rFonts w:ascii="Times New Roman" w:cs="Times New Roman" w:eastAsia="Times New Roman" w:hAnsi="Times New Roman"/>
                <w:sz w:val="16"/>
                <w:szCs w:val="16"/>
                <w:color w:val="auto"/>
              </w:rPr>
              <w:t>L.L.C. and Sutton Hill Properties, LLC dated as of September 19, 2005</w:t>
            </w:r>
          </w:p>
        </w:tc>
        <w:tc>
          <w:tcPr>
            <w:tcW w:w="540" w:type="dxa"/>
            <w:vAlign w:val="bottom"/>
            <w:shd w:val="clear" w:color="auto" w:fill="BDE1E9"/>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vMerge w:val="restart"/>
            <w:shd w:val="clear" w:color="auto" w:fill="BDE1E9"/>
          </w:tcPr>
          <w:p>
            <w:pPr>
              <w:spacing w:after="0" w:line="20" w:lineRule="exact"/>
              <w:rPr>
                <w:sz w:val="1"/>
                <w:szCs w:val="1"/>
                <w:color w:val="auto"/>
              </w:rPr>
            </w:pPr>
          </w:p>
        </w:tc>
        <w:tc>
          <w:tcPr>
            <w:tcW w:w="100" w:type="dxa"/>
            <w:vAlign w:val="bottom"/>
            <w:vMerge w:val="restart"/>
            <w:shd w:val="clear" w:color="auto" w:fill="BDE1E9"/>
          </w:tcPr>
          <w:p>
            <w:pPr>
              <w:spacing w:after="0" w:line="20" w:lineRule="exact"/>
              <w:rPr>
                <w:sz w:val="1"/>
                <w:szCs w:val="1"/>
                <w:color w:val="auto"/>
              </w:rPr>
            </w:pPr>
          </w:p>
        </w:tc>
        <w:tc>
          <w:tcPr>
            <w:tcW w:w="80" w:type="dxa"/>
            <w:vAlign w:val="bottom"/>
            <w:vMerge w:val="restart"/>
            <w:shd w:val="clear" w:color="auto" w:fill="BDE1E9"/>
          </w:tcPr>
          <w:p>
            <w:pPr>
              <w:spacing w:after="0" w:line="20" w:lineRule="exact"/>
              <w:rPr>
                <w:sz w:val="1"/>
                <w:szCs w:val="1"/>
                <w:color w:val="auto"/>
              </w:rPr>
            </w:pPr>
          </w:p>
        </w:tc>
        <w:tc>
          <w:tcPr>
            <w:tcW w:w="120" w:type="dxa"/>
            <w:vAlign w:val="bottom"/>
            <w:vMerge w:val="restart"/>
            <w:shd w:val="clear" w:color="auto" w:fill="BDE1E9"/>
          </w:tcPr>
          <w:p>
            <w:pPr>
              <w:spacing w:after="0" w:line="20" w:lineRule="exact"/>
              <w:rPr>
                <w:sz w:val="1"/>
                <w:szCs w:val="1"/>
                <w:color w:val="auto"/>
              </w:rPr>
            </w:pPr>
          </w:p>
        </w:tc>
        <w:tc>
          <w:tcPr>
            <w:tcW w:w="20" w:type="dxa"/>
            <w:vAlign w:val="bottom"/>
            <w:vMerge w:val="restart"/>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shd w:val="clear" w:color="auto" w:fill="BDE1E9"/>
          </w:tcPr>
          <w:p>
            <w:pPr>
              <w:spacing w:after="0"/>
              <w:rPr>
                <w:sz w:val="14"/>
                <w:szCs w:val="14"/>
                <w:color w:val="auto"/>
              </w:rPr>
            </w:pPr>
          </w:p>
        </w:tc>
        <w:tc>
          <w:tcPr>
            <w:tcW w:w="4920" w:type="dxa"/>
            <w:vAlign w:val="bottom"/>
            <w:tcBorders>
              <w:right w:val="single" w:sz="8" w:color="BDE1E9"/>
            </w:tcBorders>
            <w:vMerge w:val="continue"/>
            <w:shd w:val="clear" w:color="auto" w:fill="BDE1E9"/>
          </w:tcPr>
          <w:p>
            <w:pPr>
              <w:spacing w:after="0"/>
              <w:rPr>
                <w:sz w:val="14"/>
                <w:szCs w:val="14"/>
                <w:color w:val="auto"/>
              </w:rPr>
            </w:pPr>
          </w:p>
        </w:tc>
        <w:tc>
          <w:tcPr>
            <w:tcW w:w="4740" w:type="dxa"/>
            <w:vAlign w:val="bottom"/>
            <w:gridSpan w:val="8"/>
            <w:shd w:val="clear" w:color="auto" w:fill="BDE1E9"/>
          </w:tcPr>
          <w:p>
            <w:pPr>
              <w:spacing w:after="0" w:line="169" w:lineRule="exact"/>
              <w:rPr>
                <w:rFonts w:ascii="Times New Roman" w:cs="Times New Roman" w:eastAsia="Times New Roman" w:hAnsi="Times New Roman"/>
                <w:sz w:val="16"/>
                <w:szCs w:val="16"/>
                <w:b w:val="1"/>
                <w:bCs w:val="1"/>
                <w:color w:val="0000FF"/>
              </w:rPr>
            </w:pPr>
            <w:hyperlink r:id="rId48">
              <w:r>
                <w:rPr>
                  <w:rFonts w:ascii="Times New Roman" w:cs="Times New Roman" w:eastAsia="Times New Roman" w:hAnsi="Times New Roman"/>
                  <w:sz w:val="16"/>
                  <w:szCs w:val="16"/>
                  <w:b w:val="1"/>
                  <w:bCs w:val="1"/>
                  <w:color w:val="0000FF"/>
                </w:rPr>
                <w:t>September 21, 2005</w:t>
              </w:r>
              <w:r>
                <w:rPr>
                  <w:rFonts w:ascii="Times New Roman" w:cs="Times New Roman" w:eastAsia="Times New Roman" w:hAnsi="Times New Roman"/>
                  <w:sz w:val="16"/>
                  <w:szCs w:val="16"/>
                  <w:color w:val="000000"/>
                </w:rPr>
                <w:t>, and incorporated herein by reference.</w:t>
              </w:r>
            </w:hyperlink>
          </w:p>
        </w:tc>
        <w:tc>
          <w:tcPr>
            <w:tcW w:w="180" w:type="dxa"/>
            <w:vAlign w:val="bottom"/>
            <w:vMerge w:val="continue"/>
            <w:shd w:val="clear" w:color="auto" w:fill="BDE1E9"/>
          </w:tcPr>
          <w:p>
            <w:pPr>
              <w:spacing w:after="0"/>
              <w:rPr>
                <w:sz w:val="14"/>
                <w:szCs w:val="14"/>
                <w:color w:val="auto"/>
              </w:rPr>
            </w:pPr>
          </w:p>
        </w:tc>
        <w:tc>
          <w:tcPr>
            <w:tcW w:w="100" w:type="dxa"/>
            <w:vAlign w:val="bottom"/>
            <w:vMerge w:val="continue"/>
            <w:shd w:val="clear" w:color="auto" w:fill="BDE1E9"/>
          </w:tcPr>
          <w:p>
            <w:pPr>
              <w:spacing w:after="0"/>
              <w:rPr>
                <w:sz w:val="14"/>
                <w:szCs w:val="14"/>
                <w:color w:val="auto"/>
              </w:rPr>
            </w:pPr>
          </w:p>
        </w:tc>
        <w:tc>
          <w:tcPr>
            <w:tcW w:w="80" w:type="dxa"/>
            <w:vAlign w:val="bottom"/>
            <w:vMerge w:val="continue"/>
            <w:shd w:val="clear" w:color="auto" w:fill="BDE1E9"/>
          </w:tcPr>
          <w:p>
            <w:pPr>
              <w:spacing w:after="0"/>
              <w:rPr>
                <w:sz w:val="14"/>
                <w:szCs w:val="14"/>
                <w:color w:val="auto"/>
              </w:rPr>
            </w:pPr>
          </w:p>
        </w:tc>
        <w:tc>
          <w:tcPr>
            <w:tcW w:w="120" w:type="dxa"/>
            <w:vAlign w:val="bottom"/>
            <w:vMerge w:val="continue"/>
            <w:shd w:val="clear" w:color="auto" w:fill="BDE1E9"/>
          </w:tcPr>
          <w:p>
            <w:pPr>
              <w:spacing w:after="0"/>
              <w:rPr>
                <w:sz w:val="14"/>
                <w:szCs w:val="14"/>
                <w:color w:val="auto"/>
              </w:rPr>
            </w:pPr>
          </w:p>
        </w:tc>
        <w:tc>
          <w:tcPr>
            <w:tcW w:w="20" w:type="dxa"/>
            <w:vAlign w:val="bottom"/>
            <w:vMerge w:val="continue"/>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BDE1E9"/>
            </w:tcBorders>
            <w:shd w:val="clear" w:color="auto" w:fill="BDE1E9"/>
          </w:tcPr>
          <w:p>
            <w:pPr>
              <w:spacing w:after="0" w:line="20" w:lineRule="exact"/>
              <w:rPr>
                <w:sz w:val="1"/>
                <w:szCs w:val="1"/>
                <w:color w:val="auto"/>
              </w:rPr>
            </w:pPr>
          </w:p>
        </w:tc>
        <w:tc>
          <w:tcPr>
            <w:tcW w:w="4920" w:type="dxa"/>
            <w:vAlign w:val="bottom"/>
            <w:tcBorders>
              <w:top w:val="single" w:sz="8" w:color="BDE1E9"/>
              <w:right w:val="single" w:sz="8" w:color="BDE1E9"/>
            </w:tcBorders>
            <w:shd w:val="clear" w:color="auto" w:fill="BDE1E9"/>
          </w:tcPr>
          <w:p>
            <w:pPr>
              <w:spacing w:after="0" w:line="20" w:lineRule="exact"/>
              <w:rPr>
                <w:sz w:val="1"/>
                <w:szCs w:val="1"/>
                <w:color w:val="auto"/>
              </w:rPr>
            </w:pPr>
          </w:p>
        </w:tc>
        <w:tc>
          <w:tcPr>
            <w:tcW w:w="540" w:type="dxa"/>
            <w:vAlign w:val="bottom"/>
            <w:tcBorders>
              <w:top w:val="single" w:sz="8" w:color="0000FF"/>
            </w:tcBorders>
            <w:shd w:val="clear" w:color="auto" w:fill="BDE1E9"/>
          </w:tcPr>
          <w:p>
            <w:pPr>
              <w:spacing w:after="0" w:line="20" w:lineRule="exact"/>
              <w:rPr>
                <w:sz w:val="1"/>
                <w:szCs w:val="1"/>
                <w:color w:val="auto"/>
              </w:rPr>
            </w:pPr>
          </w:p>
        </w:tc>
        <w:tc>
          <w:tcPr>
            <w:tcW w:w="640" w:type="dxa"/>
            <w:vAlign w:val="bottom"/>
            <w:tcBorders>
              <w:top w:val="single" w:sz="8" w:color="0000FF"/>
            </w:tcBorders>
            <w:shd w:val="clear" w:color="auto" w:fill="BDE1E9"/>
          </w:tcPr>
          <w:p>
            <w:pPr>
              <w:spacing w:after="0" w:line="20" w:lineRule="exact"/>
              <w:rPr>
                <w:sz w:val="1"/>
                <w:szCs w:val="1"/>
                <w:color w:val="auto"/>
              </w:rPr>
            </w:pPr>
          </w:p>
        </w:tc>
        <w:tc>
          <w:tcPr>
            <w:tcW w:w="160" w:type="dxa"/>
            <w:vAlign w:val="bottom"/>
            <w:tcBorders>
              <w:top w:val="single" w:sz="8" w:color="0000FF"/>
            </w:tcBorders>
            <w:shd w:val="clear" w:color="auto" w:fill="BDE1E9"/>
          </w:tcPr>
          <w:p>
            <w:pPr>
              <w:spacing w:after="0" w:line="20" w:lineRule="exact"/>
              <w:rPr>
                <w:sz w:val="1"/>
                <w:szCs w:val="1"/>
                <w:color w:val="auto"/>
              </w:rPr>
            </w:pPr>
          </w:p>
        </w:tc>
        <w:tc>
          <w:tcPr>
            <w:tcW w:w="400" w:type="dxa"/>
            <w:vAlign w:val="bottom"/>
            <w:tcBorders>
              <w:top w:val="single" w:sz="8" w:color="BDE1E9"/>
            </w:tcBorders>
            <w:shd w:val="clear" w:color="auto" w:fill="BDE1E9"/>
          </w:tcPr>
          <w:p>
            <w:pPr>
              <w:spacing w:after="0" w:line="20" w:lineRule="exact"/>
              <w:rPr>
                <w:sz w:val="1"/>
                <w:szCs w:val="1"/>
                <w:color w:val="auto"/>
              </w:rPr>
            </w:pPr>
          </w:p>
        </w:tc>
        <w:tc>
          <w:tcPr>
            <w:tcW w:w="140" w:type="dxa"/>
            <w:vAlign w:val="bottom"/>
            <w:tcBorders>
              <w:top w:val="single" w:sz="8" w:color="BDE1E9"/>
              <w:right w:val="single" w:sz="8" w:color="BDE1E9"/>
            </w:tcBorders>
            <w:shd w:val="clear" w:color="auto" w:fill="BDE1E9"/>
          </w:tcPr>
          <w:p>
            <w:pPr>
              <w:spacing w:after="0" w:line="20" w:lineRule="exact"/>
              <w:rPr>
                <w:sz w:val="1"/>
                <w:szCs w:val="1"/>
                <w:color w:val="auto"/>
              </w:rPr>
            </w:pPr>
          </w:p>
        </w:tc>
        <w:tc>
          <w:tcPr>
            <w:tcW w:w="480" w:type="dxa"/>
            <w:vAlign w:val="bottom"/>
            <w:tcBorders>
              <w:top w:val="single" w:sz="8" w:color="BDE1E9"/>
            </w:tcBorders>
            <w:shd w:val="clear" w:color="auto" w:fill="BDE1E9"/>
          </w:tcPr>
          <w:p>
            <w:pPr>
              <w:spacing w:after="0" w:line="20" w:lineRule="exact"/>
              <w:rPr>
                <w:sz w:val="1"/>
                <w:szCs w:val="1"/>
                <w:color w:val="auto"/>
              </w:rPr>
            </w:pPr>
          </w:p>
        </w:tc>
        <w:tc>
          <w:tcPr>
            <w:tcW w:w="2160" w:type="dxa"/>
            <w:vAlign w:val="bottom"/>
            <w:tcBorders>
              <w:top w:val="single" w:sz="8" w:color="BDE1E9"/>
            </w:tcBorders>
            <w:shd w:val="clear" w:color="auto" w:fill="BDE1E9"/>
          </w:tcPr>
          <w:p>
            <w:pPr>
              <w:spacing w:after="0" w:line="20" w:lineRule="exact"/>
              <w:rPr>
                <w:sz w:val="1"/>
                <w:szCs w:val="1"/>
                <w:color w:val="auto"/>
              </w:rPr>
            </w:pPr>
          </w:p>
        </w:tc>
        <w:tc>
          <w:tcPr>
            <w:tcW w:w="220" w:type="dxa"/>
            <w:vAlign w:val="bottom"/>
            <w:tcBorders>
              <w:top w:val="single" w:sz="8" w:color="BDE1E9"/>
            </w:tcBorders>
            <w:shd w:val="clear" w:color="auto" w:fill="BDE1E9"/>
          </w:tcPr>
          <w:p>
            <w:pPr>
              <w:spacing w:after="0" w:line="20" w:lineRule="exact"/>
              <w:rPr>
                <w:sz w:val="1"/>
                <w:szCs w:val="1"/>
                <w:color w:val="auto"/>
              </w:rPr>
            </w:pPr>
          </w:p>
        </w:tc>
        <w:tc>
          <w:tcPr>
            <w:tcW w:w="180" w:type="dxa"/>
            <w:vAlign w:val="bottom"/>
            <w:tcBorders>
              <w:top w:val="single" w:sz="8" w:color="BDE1E9"/>
            </w:tcBorders>
            <w:shd w:val="clear" w:color="auto" w:fill="BDE1E9"/>
          </w:tcPr>
          <w:p>
            <w:pPr>
              <w:spacing w:after="0" w:line="20" w:lineRule="exact"/>
              <w:rPr>
                <w:sz w:val="1"/>
                <w:szCs w:val="1"/>
                <w:color w:val="auto"/>
              </w:rPr>
            </w:pPr>
          </w:p>
        </w:tc>
        <w:tc>
          <w:tcPr>
            <w:tcW w:w="100" w:type="dxa"/>
            <w:vAlign w:val="bottom"/>
            <w:tcBorders>
              <w:top w:val="single" w:sz="8" w:color="BDE1E9"/>
            </w:tcBorders>
            <w:shd w:val="clear" w:color="auto" w:fill="BDE1E9"/>
          </w:tcPr>
          <w:p>
            <w:pPr>
              <w:spacing w:after="0" w:line="20" w:lineRule="exact"/>
              <w:rPr>
                <w:sz w:val="1"/>
                <w:szCs w:val="1"/>
                <w:color w:val="auto"/>
              </w:rPr>
            </w:pPr>
          </w:p>
        </w:tc>
        <w:tc>
          <w:tcPr>
            <w:tcW w:w="80" w:type="dxa"/>
            <w:vAlign w:val="bottom"/>
            <w:tcBorders>
              <w:top w:val="single" w:sz="8" w:color="BDE1E9"/>
            </w:tcBorders>
            <w:shd w:val="clear" w:color="auto" w:fill="BDE1E9"/>
          </w:tcPr>
          <w:p>
            <w:pPr>
              <w:spacing w:after="0" w:line="20" w:lineRule="exact"/>
              <w:rPr>
                <w:sz w:val="1"/>
                <w:szCs w:val="1"/>
                <w:color w:val="auto"/>
              </w:rPr>
            </w:pPr>
          </w:p>
        </w:tc>
        <w:tc>
          <w:tcPr>
            <w:tcW w:w="120" w:type="dxa"/>
            <w:vAlign w:val="bottom"/>
            <w:tcBorders>
              <w:top w:val="single" w:sz="8" w:color="BDE1E9"/>
            </w:tcBorders>
            <w:shd w:val="clear" w:color="auto" w:fill="BDE1E9"/>
          </w:tcPr>
          <w:p>
            <w:pPr>
              <w:spacing w:after="0" w:line="20" w:lineRule="exact"/>
              <w:rPr>
                <w:sz w:val="1"/>
                <w:szCs w:val="1"/>
                <w:color w:val="auto"/>
              </w:rPr>
            </w:pPr>
          </w:p>
        </w:tc>
        <w:tc>
          <w:tcPr>
            <w:tcW w:w="20" w:type="dxa"/>
            <w:vAlign w:val="bottom"/>
            <w:tcBorders>
              <w:top w:val="single" w:sz="8" w:color="BDE1E9"/>
            </w:tcBorders>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10.12</w:t>
            </w:r>
          </w:p>
        </w:tc>
        <w:tc>
          <w:tcPr>
            <w:tcW w:w="4920" w:type="dxa"/>
            <w:vAlign w:val="bottom"/>
          </w:tcPr>
          <w:p>
            <w:pPr>
              <w:ind w:left="240"/>
              <w:spacing w:after="0" w:line="148" w:lineRule="exact"/>
              <w:rPr>
                <w:sz w:val="20"/>
                <w:szCs w:val="20"/>
                <w:color w:val="auto"/>
              </w:rPr>
            </w:pPr>
            <w:r>
              <w:rPr>
                <w:rFonts w:ascii="Times New Roman" w:cs="Times New Roman" w:eastAsia="Times New Roman" w:hAnsi="Times New Roman"/>
                <w:sz w:val="16"/>
                <w:szCs w:val="16"/>
                <w:color w:val="auto"/>
              </w:rPr>
              <w:t>Third Amendment to Amended and Restated Master Operating Lease</w:t>
            </w:r>
          </w:p>
        </w:tc>
        <w:tc>
          <w:tcPr>
            <w:tcW w:w="5240" w:type="dxa"/>
            <w:vAlign w:val="bottom"/>
            <w:gridSpan w:val="13"/>
          </w:tcPr>
          <w:p>
            <w:pPr>
              <w:spacing w:after="0" w:line="148" w:lineRule="exact"/>
              <w:rPr>
                <w:rFonts w:ascii="Times New Roman" w:cs="Times New Roman" w:eastAsia="Times New Roman" w:hAnsi="Times New Roman"/>
                <w:sz w:val="16"/>
                <w:szCs w:val="16"/>
                <w:color w:val="auto"/>
              </w:rPr>
            </w:pPr>
            <w:hyperlink r:id="rId4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10.21 to the Company’s report on Form 10-K for the year</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tcPr>
          <w:p>
            <w:pPr>
              <w:ind w:left="240"/>
              <w:spacing w:after="0" w:line="169" w:lineRule="exact"/>
              <w:rPr>
                <w:sz w:val="20"/>
                <w:szCs w:val="20"/>
                <w:color w:val="auto"/>
              </w:rPr>
            </w:pPr>
            <w:r>
              <w:rPr>
                <w:rFonts w:ascii="Times New Roman" w:cs="Times New Roman" w:eastAsia="Times New Roman" w:hAnsi="Times New Roman"/>
                <w:sz w:val="16"/>
                <w:szCs w:val="16"/>
                <w:color w:val="auto"/>
              </w:rPr>
              <w:t>Agreement, dated June 29, 2010, between Sutton Hill Capital, L.L.C.</w:t>
            </w:r>
          </w:p>
        </w:tc>
        <w:tc>
          <w:tcPr>
            <w:tcW w:w="540" w:type="dxa"/>
            <w:vAlign w:val="bottom"/>
          </w:tcPr>
          <w:p>
            <w:pPr>
              <w:spacing w:after="0" w:line="169" w:lineRule="exact"/>
              <w:rPr>
                <w:rFonts w:ascii="Times New Roman" w:cs="Times New Roman" w:eastAsia="Times New Roman" w:hAnsi="Times New Roman"/>
                <w:sz w:val="16"/>
                <w:szCs w:val="16"/>
                <w:b w:val="1"/>
                <w:bCs w:val="1"/>
                <w:color w:val="0000FF"/>
              </w:rPr>
            </w:pPr>
            <w:hyperlink r:id="rId49">
              <w:r>
                <w:rPr>
                  <w:rFonts w:ascii="Times New Roman" w:cs="Times New Roman" w:eastAsia="Times New Roman" w:hAnsi="Times New Roman"/>
                  <w:sz w:val="16"/>
                  <w:szCs w:val="16"/>
                  <w:b w:val="1"/>
                  <w:bCs w:val="1"/>
                  <w:color w:val="0000FF"/>
                </w:rPr>
                <w:t>ended</w:t>
              </w:r>
            </w:hyperlink>
          </w:p>
        </w:tc>
        <w:tc>
          <w:tcPr>
            <w:tcW w:w="456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b w:val="1"/>
                <w:bCs w:val="1"/>
                <w:color w:val="0000FF"/>
              </w:rPr>
            </w:pPr>
            <w:hyperlink r:id="rId49">
              <w:r>
                <w:rPr>
                  <w:rFonts w:ascii="Times New Roman" w:cs="Times New Roman" w:eastAsia="Times New Roman" w:hAnsi="Times New Roman"/>
                  <w:sz w:val="16"/>
                  <w:szCs w:val="16"/>
                  <w:b w:val="1"/>
                  <w:bCs w:val="1"/>
                  <w:color w:val="0000FF"/>
                </w:rPr>
                <w:t>December 31, 2010</w:t>
              </w:r>
              <w:r>
                <w:rPr>
                  <w:rFonts w:ascii="Times New Roman" w:cs="Times New Roman" w:eastAsia="Times New Roman" w:hAnsi="Times New Roman"/>
                  <w:sz w:val="16"/>
                  <w:szCs w:val="16"/>
                  <w:color w:val="000000"/>
                </w:rPr>
                <w:t>, and incorporated herein by reference.</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and Citadel Cinemas, Inc.</w:t>
            </w:r>
          </w:p>
        </w:tc>
        <w:tc>
          <w:tcPr>
            <w:tcW w:w="5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BDE1E9"/>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10.13</w:t>
            </w:r>
          </w:p>
        </w:tc>
        <w:tc>
          <w:tcPr>
            <w:tcW w:w="4920" w:type="dxa"/>
            <w:vAlign w:val="bottom"/>
            <w:tcBorders>
              <w:right w:val="single" w:sz="8" w:color="BDE1E9"/>
            </w:tcBorders>
            <w:shd w:val="clear" w:color="auto" w:fill="BDE1E9"/>
          </w:tcPr>
          <w:p>
            <w:pPr>
              <w:ind w:left="240"/>
              <w:spacing w:after="0" w:line="148" w:lineRule="exact"/>
              <w:rPr>
                <w:sz w:val="20"/>
                <w:szCs w:val="20"/>
                <w:color w:val="auto"/>
              </w:rPr>
            </w:pPr>
            <w:r>
              <w:rPr>
                <w:rFonts w:ascii="Times New Roman" w:cs="Times New Roman" w:eastAsia="Times New Roman" w:hAnsi="Times New Roman"/>
                <w:sz w:val="16"/>
                <w:szCs w:val="16"/>
                <w:color w:val="auto"/>
              </w:rPr>
              <w:t>Omnibus Amendment Agreement, dated as of October 22, 2003,</w:t>
            </w:r>
          </w:p>
        </w:tc>
        <w:tc>
          <w:tcPr>
            <w:tcW w:w="5240" w:type="dxa"/>
            <w:vAlign w:val="bottom"/>
            <w:gridSpan w:val="13"/>
            <w:shd w:val="clear" w:color="auto" w:fill="BDE1E9"/>
          </w:tcPr>
          <w:p>
            <w:pPr>
              <w:spacing w:after="0" w:line="148" w:lineRule="exact"/>
              <w:rPr>
                <w:rFonts w:ascii="Times New Roman" w:cs="Times New Roman" w:eastAsia="Times New Roman" w:hAnsi="Times New Roman"/>
                <w:sz w:val="16"/>
                <w:szCs w:val="16"/>
                <w:color w:val="auto"/>
              </w:rPr>
            </w:pPr>
            <w:hyperlink r:id="rId5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10.49 to the Company’s report on Form 10-Q for the period</w:t>
              </w:r>
            </w:hyperlink>
          </w:p>
        </w:tc>
        <w:tc>
          <w:tcPr>
            <w:tcW w:w="0" w:type="dxa"/>
            <w:vAlign w:val="bottom"/>
          </w:tcPr>
          <w:p>
            <w:pPr>
              <w:spacing w:after="0"/>
              <w:rPr>
                <w:sz w:val="1"/>
                <w:szCs w:val="1"/>
                <w:color w:val="auto"/>
              </w:rPr>
            </w:pPr>
          </w:p>
        </w:tc>
      </w:tr>
      <w:tr>
        <w:trPr>
          <w:trHeight w:val="169"/>
        </w:trPr>
        <w:tc>
          <w:tcPr>
            <w:tcW w:w="1080" w:type="dxa"/>
            <w:vAlign w:val="bottom"/>
            <w:tcBorders>
              <w:top w:val="single" w:sz="8" w:color="BDE1E9"/>
            </w:tcBorders>
            <w:shd w:val="clear" w:color="auto" w:fill="BDE1E9"/>
          </w:tcPr>
          <w:p>
            <w:pPr>
              <w:spacing w:after="0"/>
              <w:rPr>
                <w:sz w:val="14"/>
                <w:szCs w:val="14"/>
                <w:color w:val="auto"/>
              </w:rPr>
            </w:pPr>
          </w:p>
        </w:tc>
        <w:tc>
          <w:tcPr>
            <w:tcW w:w="5460" w:type="dxa"/>
            <w:vAlign w:val="bottom"/>
            <w:tcBorders>
              <w:top w:val="single" w:sz="8" w:color="BDE1E9"/>
            </w:tcBorders>
            <w:gridSpan w:val="2"/>
            <w:shd w:val="clear" w:color="auto" w:fill="BDE1E9"/>
          </w:tcPr>
          <w:p>
            <w:pPr>
              <w:ind w:left="240"/>
              <w:spacing w:after="0" w:line="169"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between Citadel Cinemas, Inc., Sutton Hill Capital, L.L.C., Nationwide </w:t>
            </w:r>
            <w:hyperlink r:id="rId50">
              <w:r>
                <w:rPr>
                  <w:rFonts w:ascii="Times New Roman" w:cs="Times New Roman" w:eastAsia="Times New Roman" w:hAnsi="Times New Roman"/>
                  <w:sz w:val="16"/>
                  <w:szCs w:val="16"/>
                  <w:b w:val="1"/>
                  <w:bCs w:val="1"/>
                  <w:color w:val="0000FF"/>
                </w:rPr>
                <w:t>ended</w:t>
              </w:r>
            </w:hyperlink>
          </w:p>
        </w:tc>
        <w:tc>
          <w:tcPr>
            <w:tcW w:w="4680" w:type="dxa"/>
            <w:vAlign w:val="bottom"/>
            <w:tcBorders>
              <w:top w:val="single" w:sz="8" w:color="0000FF"/>
            </w:tcBorders>
            <w:gridSpan w:val="11"/>
            <w:shd w:val="clear" w:color="auto" w:fill="BDE1E9"/>
          </w:tcPr>
          <w:p>
            <w:pPr>
              <w:spacing w:after="0" w:line="169" w:lineRule="exact"/>
              <w:rPr>
                <w:rFonts w:ascii="Times New Roman" w:cs="Times New Roman" w:eastAsia="Times New Roman" w:hAnsi="Times New Roman"/>
                <w:sz w:val="16"/>
                <w:szCs w:val="16"/>
                <w:b w:val="1"/>
                <w:bCs w:val="1"/>
                <w:color w:val="0000FF"/>
              </w:rPr>
            </w:pPr>
            <w:hyperlink r:id="rId50">
              <w:r>
                <w:rPr>
                  <w:rFonts w:ascii="Times New Roman" w:cs="Times New Roman" w:eastAsia="Times New Roman" w:hAnsi="Times New Roman"/>
                  <w:sz w:val="16"/>
                  <w:szCs w:val="16"/>
                  <w:b w:val="1"/>
                  <w:bCs w:val="1"/>
                  <w:color w:val="0000FF"/>
                </w:rPr>
                <w:t>September 30, 2003</w:t>
              </w:r>
              <w:r>
                <w:rPr>
                  <w:rFonts w:ascii="Times New Roman" w:cs="Times New Roman" w:eastAsia="Times New Roman" w:hAnsi="Times New Roman"/>
                  <w:sz w:val="16"/>
                  <w:szCs w:val="16"/>
                  <w:color w:val="000000"/>
                </w:rPr>
                <w:t>, and incorporated herein by reference.</w:t>
              </w:r>
            </w:hyperlink>
          </w:p>
        </w:tc>
        <w:tc>
          <w:tcPr>
            <w:tcW w:w="20" w:type="dxa"/>
            <w:vAlign w:val="bottom"/>
            <w:tcBorders>
              <w:top w:val="single" w:sz="8" w:color="BDE1E9"/>
            </w:tcBorders>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BDE1E9"/>
            </w:tcBorders>
            <w:shd w:val="clear" w:color="auto" w:fill="BDE1E9"/>
          </w:tcPr>
          <w:p>
            <w:pPr>
              <w:spacing w:after="0"/>
              <w:rPr>
                <w:sz w:val="17"/>
                <w:szCs w:val="17"/>
                <w:color w:val="auto"/>
              </w:rPr>
            </w:pPr>
          </w:p>
        </w:tc>
        <w:tc>
          <w:tcPr>
            <w:tcW w:w="4920" w:type="dxa"/>
            <w:vAlign w:val="bottom"/>
            <w:tcBorders>
              <w:top w:val="single" w:sz="8" w:color="BDE1E9"/>
              <w:right w:val="single" w:sz="8" w:color="BDE1E9"/>
            </w:tcBorders>
            <w:shd w:val="clear" w:color="auto" w:fill="BDE1E9"/>
          </w:tcPr>
          <w:p>
            <w:pPr>
              <w:ind w:left="240"/>
              <w:spacing w:after="0"/>
              <w:rPr>
                <w:sz w:val="20"/>
                <w:szCs w:val="20"/>
                <w:color w:val="auto"/>
              </w:rPr>
            </w:pPr>
            <w:r>
              <w:rPr>
                <w:rFonts w:ascii="Times New Roman" w:cs="Times New Roman" w:eastAsia="Times New Roman" w:hAnsi="Times New Roman"/>
                <w:sz w:val="16"/>
                <w:szCs w:val="16"/>
                <w:color w:val="auto"/>
              </w:rPr>
              <w:t>Theatres Corp., Sutton Hill Associates, and Reading International, Inc.</w:t>
            </w:r>
          </w:p>
        </w:tc>
        <w:tc>
          <w:tcPr>
            <w:tcW w:w="540" w:type="dxa"/>
            <w:vAlign w:val="bottom"/>
            <w:tcBorders>
              <w:top w:val="single" w:sz="8" w:color="0000FF"/>
            </w:tcBorders>
            <w:shd w:val="clear" w:color="auto" w:fill="BDE1E9"/>
          </w:tcPr>
          <w:p>
            <w:pPr>
              <w:spacing w:after="0"/>
              <w:rPr>
                <w:sz w:val="17"/>
                <w:szCs w:val="17"/>
                <w:color w:val="auto"/>
              </w:rPr>
            </w:pPr>
          </w:p>
        </w:tc>
        <w:tc>
          <w:tcPr>
            <w:tcW w:w="640" w:type="dxa"/>
            <w:vAlign w:val="bottom"/>
            <w:tcBorders>
              <w:top w:val="single" w:sz="8" w:color="0000FF"/>
            </w:tcBorders>
            <w:shd w:val="clear" w:color="auto" w:fill="BDE1E9"/>
          </w:tcPr>
          <w:p>
            <w:pPr>
              <w:spacing w:after="0"/>
              <w:rPr>
                <w:sz w:val="17"/>
                <w:szCs w:val="17"/>
                <w:color w:val="auto"/>
              </w:rPr>
            </w:pPr>
          </w:p>
        </w:tc>
        <w:tc>
          <w:tcPr>
            <w:tcW w:w="160" w:type="dxa"/>
            <w:vAlign w:val="bottom"/>
            <w:tcBorders>
              <w:top w:val="single" w:sz="8" w:color="0000FF"/>
            </w:tcBorders>
            <w:shd w:val="clear" w:color="auto" w:fill="BDE1E9"/>
          </w:tcPr>
          <w:p>
            <w:pPr>
              <w:spacing w:after="0"/>
              <w:rPr>
                <w:sz w:val="17"/>
                <w:szCs w:val="17"/>
                <w:color w:val="auto"/>
              </w:rPr>
            </w:pPr>
          </w:p>
        </w:tc>
        <w:tc>
          <w:tcPr>
            <w:tcW w:w="400" w:type="dxa"/>
            <w:vAlign w:val="bottom"/>
            <w:tcBorders>
              <w:top w:val="single" w:sz="8" w:color="0000FF"/>
            </w:tcBorders>
            <w:shd w:val="clear" w:color="auto" w:fill="BDE1E9"/>
          </w:tcPr>
          <w:p>
            <w:pPr>
              <w:spacing w:after="0"/>
              <w:rPr>
                <w:sz w:val="17"/>
                <w:szCs w:val="17"/>
                <w:color w:val="auto"/>
              </w:rPr>
            </w:pPr>
          </w:p>
        </w:tc>
        <w:tc>
          <w:tcPr>
            <w:tcW w:w="140" w:type="dxa"/>
            <w:vAlign w:val="bottom"/>
            <w:tcBorders>
              <w:top w:val="single" w:sz="8" w:color="0000FF"/>
              <w:right w:val="single" w:sz="8" w:color="BDE1E9"/>
            </w:tcBorders>
            <w:shd w:val="clear" w:color="auto" w:fill="BDE1E9"/>
          </w:tcPr>
          <w:p>
            <w:pPr>
              <w:spacing w:after="0"/>
              <w:rPr>
                <w:sz w:val="17"/>
                <w:szCs w:val="17"/>
                <w:color w:val="auto"/>
              </w:rPr>
            </w:pPr>
          </w:p>
        </w:tc>
        <w:tc>
          <w:tcPr>
            <w:tcW w:w="480" w:type="dxa"/>
            <w:vAlign w:val="bottom"/>
            <w:tcBorders>
              <w:top w:val="single" w:sz="8" w:color="BDE1E9"/>
            </w:tcBorders>
            <w:shd w:val="clear" w:color="auto" w:fill="BDE1E9"/>
          </w:tcPr>
          <w:p>
            <w:pPr>
              <w:spacing w:after="0"/>
              <w:rPr>
                <w:sz w:val="17"/>
                <w:szCs w:val="17"/>
                <w:color w:val="auto"/>
              </w:rPr>
            </w:pPr>
          </w:p>
        </w:tc>
        <w:tc>
          <w:tcPr>
            <w:tcW w:w="2160" w:type="dxa"/>
            <w:vAlign w:val="bottom"/>
            <w:tcBorders>
              <w:top w:val="single" w:sz="8" w:color="BDE1E9"/>
            </w:tcBorders>
            <w:shd w:val="clear" w:color="auto" w:fill="BDE1E9"/>
          </w:tcPr>
          <w:p>
            <w:pPr>
              <w:spacing w:after="0"/>
              <w:rPr>
                <w:sz w:val="17"/>
                <w:szCs w:val="17"/>
                <w:color w:val="auto"/>
              </w:rPr>
            </w:pPr>
          </w:p>
        </w:tc>
        <w:tc>
          <w:tcPr>
            <w:tcW w:w="220" w:type="dxa"/>
            <w:vAlign w:val="bottom"/>
            <w:tcBorders>
              <w:top w:val="single" w:sz="8" w:color="BDE1E9"/>
            </w:tcBorders>
            <w:shd w:val="clear" w:color="auto" w:fill="BDE1E9"/>
          </w:tcPr>
          <w:p>
            <w:pPr>
              <w:spacing w:after="0"/>
              <w:rPr>
                <w:sz w:val="17"/>
                <w:szCs w:val="17"/>
                <w:color w:val="auto"/>
              </w:rPr>
            </w:pPr>
          </w:p>
        </w:tc>
        <w:tc>
          <w:tcPr>
            <w:tcW w:w="180" w:type="dxa"/>
            <w:vAlign w:val="bottom"/>
            <w:tcBorders>
              <w:top w:val="single" w:sz="8" w:color="BDE1E9"/>
            </w:tcBorders>
            <w:shd w:val="clear" w:color="auto" w:fill="BDE1E9"/>
          </w:tcPr>
          <w:p>
            <w:pPr>
              <w:spacing w:after="0"/>
              <w:rPr>
                <w:sz w:val="17"/>
                <w:szCs w:val="17"/>
                <w:color w:val="auto"/>
              </w:rPr>
            </w:pPr>
          </w:p>
        </w:tc>
        <w:tc>
          <w:tcPr>
            <w:tcW w:w="100" w:type="dxa"/>
            <w:vAlign w:val="bottom"/>
            <w:tcBorders>
              <w:top w:val="single" w:sz="8" w:color="BDE1E9"/>
            </w:tcBorders>
            <w:shd w:val="clear" w:color="auto" w:fill="BDE1E9"/>
          </w:tcPr>
          <w:p>
            <w:pPr>
              <w:spacing w:after="0"/>
              <w:rPr>
                <w:sz w:val="17"/>
                <w:szCs w:val="17"/>
                <w:color w:val="auto"/>
              </w:rPr>
            </w:pPr>
          </w:p>
        </w:tc>
        <w:tc>
          <w:tcPr>
            <w:tcW w:w="80" w:type="dxa"/>
            <w:vAlign w:val="bottom"/>
            <w:tcBorders>
              <w:top w:val="single" w:sz="8" w:color="BDE1E9"/>
            </w:tcBorders>
            <w:shd w:val="clear" w:color="auto" w:fill="BDE1E9"/>
          </w:tcPr>
          <w:p>
            <w:pPr>
              <w:spacing w:after="0"/>
              <w:rPr>
                <w:sz w:val="17"/>
                <w:szCs w:val="17"/>
                <w:color w:val="auto"/>
              </w:rPr>
            </w:pPr>
          </w:p>
        </w:tc>
        <w:tc>
          <w:tcPr>
            <w:tcW w:w="120" w:type="dxa"/>
            <w:vAlign w:val="bottom"/>
            <w:tcBorders>
              <w:top w:val="single" w:sz="8" w:color="BDE1E9"/>
            </w:tcBorders>
            <w:shd w:val="clear" w:color="auto" w:fill="BDE1E9"/>
          </w:tcPr>
          <w:p>
            <w:pPr>
              <w:spacing w:after="0"/>
              <w:rPr>
                <w:sz w:val="17"/>
                <w:szCs w:val="17"/>
                <w:color w:val="auto"/>
              </w:rPr>
            </w:pPr>
          </w:p>
        </w:tc>
        <w:tc>
          <w:tcPr>
            <w:tcW w:w="20" w:type="dxa"/>
            <w:vAlign w:val="bottom"/>
            <w:tcBorders>
              <w:top w:val="single" w:sz="8" w:color="BDE1E9"/>
            </w:tcBorders>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10.14</w:t>
            </w:r>
          </w:p>
        </w:tc>
        <w:tc>
          <w:tcPr>
            <w:tcW w:w="4920" w:type="dxa"/>
            <w:vAlign w:val="bottom"/>
          </w:tcPr>
          <w:p>
            <w:pPr>
              <w:ind w:left="240"/>
              <w:spacing w:after="0" w:line="148" w:lineRule="exact"/>
              <w:rPr>
                <w:sz w:val="20"/>
                <w:szCs w:val="20"/>
                <w:color w:val="auto"/>
              </w:rPr>
            </w:pPr>
            <w:r>
              <w:rPr>
                <w:rFonts w:ascii="Times New Roman" w:cs="Times New Roman" w:eastAsia="Times New Roman" w:hAnsi="Times New Roman"/>
                <w:sz w:val="16"/>
                <w:szCs w:val="16"/>
                <w:color w:val="auto"/>
              </w:rPr>
              <w:t>Amended and Restated Trust Agreement, dated February 5, 2007,</w:t>
            </w:r>
          </w:p>
        </w:tc>
        <w:tc>
          <w:tcPr>
            <w:tcW w:w="5240" w:type="dxa"/>
            <w:vAlign w:val="bottom"/>
            <w:gridSpan w:val="13"/>
          </w:tcPr>
          <w:p>
            <w:pPr>
              <w:spacing w:after="0" w:line="148" w:lineRule="exact"/>
              <w:rPr>
                <w:rFonts w:ascii="Times New Roman" w:cs="Times New Roman" w:eastAsia="Times New Roman" w:hAnsi="Times New Roman"/>
                <w:sz w:val="16"/>
                <w:szCs w:val="16"/>
                <w:color w:val="auto"/>
              </w:rPr>
            </w:pPr>
            <w:hyperlink r:id="rId5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10.2 to the Company’s report on Form 8-K dated</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tcPr>
          <w:p>
            <w:pPr>
              <w:ind w:left="240"/>
              <w:spacing w:after="0" w:line="169" w:lineRule="exact"/>
              <w:rPr>
                <w:sz w:val="20"/>
                <w:szCs w:val="20"/>
                <w:color w:val="auto"/>
              </w:rPr>
            </w:pPr>
            <w:r>
              <w:rPr>
                <w:rFonts w:ascii="Times New Roman" w:cs="Times New Roman" w:eastAsia="Times New Roman" w:hAnsi="Times New Roman"/>
                <w:sz w:val="16"/>
                <w:szCs w:val="16"/>
                <w:color w:val="auto"/>
              </w:rPr>
              <w:t>among Reading International Inc., as sponsor, the Administrators</w:t>
            </w:r>
          </w:p>
        </w:tc>
        <w:tc>
          <w:tcPr>
            <w:tcW w:w="540" w:type="dxa"/>
            <w:vAlign w:val="bottom"/>
          </w:tcPr>
          <w:p>
            <w:pPr>
              <w:spacing w:after="0" w:line="169" w:lineRule="exact"/>
              <w:rPr>
                <w:rFonts w:ascii="Times New Roman" w:cs="Times New Roman" w:eastAsia="Times New Roman" w:hAnsi="Times New Roman"/>
                <w:sz w:val="16"/>
                <w:szCs w:val="16"/>
                <w:b w:val="1"/>
                <w:bCs w:val="1"/>
                <w:color w:val="0000FF"/>
                <w:w w:val="80"/>
              </w:rPr>
            </w:pPr>
            <w:hyperlink r:id="rId51">
              <w:r>
                <w:rPr>
                  <w:rFonts w:ascii="Times New Roman" w:cs="Times New Roman" w:eastAsia="Times New Roman" w:hAnsi="Times New Roman"/>
                  <w:sz w:val="16"/>
                  <w:szCs w:val="16"/>
                  <w:b w:val="1"/>
                  <w:bCs w:val="1"/>
                  <w:color w:val="0000FF"/>
                  <w:w w:val="80"/>
                </w:rPr>
                <w:t>February</w:t>
              </w:r>
            </w:hyperlink>
          </w:p>
        </w:tc>
        <w:tc>
          <w:tcPr>
            <w:tcW w:w="3980" w:type="dxa"/>
            <w:vAlign w:val="bottom"/>
            <w:tcBorders>
              <w:top w:val="single" w:sz="8" w:color="0000FF"/>
            </w:tcBorders>
            <w:gridSpan w:val="6"/>
          </w:tcPr>
          <w:p>
            <w:pPr>
              <w:ind w:left="140"/>
              <w:spacing w:after="0" w:line="169" w:lineRule="exact"/>
              <w:rPr>
                <w:rFonts w:ascii="Times New Roman" w:cs="Times New Roman" w:eastAsia="Times New Roman" w:hAnsi="Times New Roman"/>
                <w:sz w:val="16"/>
                <w:szCs w:val="16"/>
                <w:b w:val="1"/>
                <w:bCs w:val="1"/>
                <w:color w:val="0000FF"/>
              </w:rPr>
            </w:pPr>
            <w:hyperlink r:id="rId51">
              <w:r>
                <w:rPr>
                  <w:rFonts w:ascii="Times New Roman" w:cs="Times New Roman" w:eastAsia="Times New Roman" w:hAnsi="Times New Roman"/>
                  <w:sz w:val="16"/>
                  <w:szCs w:val="16"/>
                  <w:b w:val="1"/>
                  <w:bCs w:val="1"/>
                  <w:color w:val="0000FF"/>
                </w:rPr>
                <w:t>5, 2007</w:t>
              </w:r>
              <w:r>
                <w:rPr>
                  <w:rFonts w:ascii="Times New Roman" w:cs="Times New Roman" w:eastAsia="Times New Roman" w:hAnsi="Times New Roman"/>
                  <w:sz w:val="16"/>
                  <w:szCs w:val="16"/>
                  <w:color w:val="000000"/>
                </w:rPr>
                <w:t>, and incorporated herein by reference.</w:t>
              </w:r>
            </w:hyperlink>
          </w:p>
        </w:tc>
        <w:tc>
          <w:tcPr>
            <w:tcW w:w="4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tcPr>
          <w:p>
            <w:pPr>
              <w:ind w:left="240"/>
              <w:spacing w:after="0" w:line="169" w:lineRule="exact"/>
              <w:rPr>
                <w:sz w:val="20"/>
                <w:szCs w:val="20"/>
                <w:color w:val="auto"/>
              </w:rPr>
            </w:pPr>
            <w:r>
              <w:rPr>
                <w:rFonts w:ascii="Times New Roman" w:cs="Times New Roman" w:eastAsia="Times New Roman" w:hAnsi="Times New Roman"/>
                <w:sz w:val="16"/>
                <w:szCs w:val="16"/>
                <w:color w:val="auto"/>
              </w:rPr>
              <w:t>named therein, and Wells Fargo Bank, N.A., as property trustee, and</w:t>
            </w:r>
          </w:p>
        </w:tc>
        <w:tc>
          <w:tcPr>
            <w:tcW w:w="5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Wells Fargo Delaware Trust Company as Delaware trustee</w:t>
            </w: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080" w:type="dxa"/>
            <w:vAlign w:val="bottom"/>
            <w:shd w:val="clear" w:color="auto" w:fill="BDE1E9"/>
          </w:tcPr>
          <w:p>
            <w:pPr>
              <w:jc w:val="right"/>
              <w:ind w:right="159"/>
              <w:spacing w:after="0" w:line="152" w:lineRule="exact"/>
              <w:rPr>
                <w:sz w:val="20"/>
                <w:szCs w:val="20"/>
                <w:color w:val="auto"/>
              </w:rPr>
            </w:pPr>
            <w:r>
              <w:rPr>
                <w:rFonts w:ascii="Times New Roman" w:cs="Times New Roman" w:eastAsia="Times New Roman" w:hAnsi="Times New Roman"/>
                <w:sz w:val="16"/>
                <w:szCs w:val="16"/>
                <w:color w:val="auto"/>
              </w:rPr>
              <w:t>10.15</w:t>
            </w:r>
          </w:p>
        </w:tc>
        <w:tc>
          <w:tcPr>
            <w:tcW w:w="4920" w:type="dxa"/>
            <w:vAlign w:val="bottom"/>
            <w:tcBorders>
              <w:right w:val="single" w:sz="8" w:color="BDE1E9"/>
            </w:tcBorders>
            <w:shd w:val="clear" w:color="auto" w:fill="BDE1E9"/>
          </w:tcPr>
          <w:p>
            <w:pPr>
              <w:ind w:left="240"/>
              <w:spacing w:after="0" w:line="152" w:lineRule="exact"/>
              <w:rPr>
                <w:sz w:val="20"/>
                <w:szCs w:val="20"/>
                <w:color w:val="auto"/>
              </w:rPr>
            </w:pPr>
            <w:r>
              <w:rPr>
                <w:rFonts w:ascii="Times New Roman" w:cs="Times New Roman" w:eastAsia="Times New Roman" w:hAnsi="Times New Roman"/>
                <w:sz w:val="16"/>
                <w:szCs w:val="16"/>
                <w:color w:val="auto"/>
              </w:rPr>
              <w:t>Amended and Restated Corporate Markets Loan &amp; Bank Guarantee</w:t>
            </w:r>
          </w:p>
        </w:tc>
        <w:tc>
          <w:tcPr>
            <w:tcW w:w="5240" w:type="dxa"/>
            <w:vAlign w:val="bottom"/>
            <w:gridSpan w:val="13"/>
            <w:shd w:val="clear" w:color="auto" w:fill="BDE1E9"/>
          </w:tcPr>
          <w:p>
            <w:pPr>
              <w:spacing w:after="0" w:line="152" w:lineRule="exact"/>
              <w:rPr>
                <w:rFonts w:ascii="Times New Roman" w:cs="Times New Roman" w:eastAsia="Times New Roman" w:hAnsi="Times New Roman"/>
                <w:sz w:val="16"/>
                <w:szCs w:val="16"/>
                <w:color w:val="auto"/>
              </w:rPr>
            </w:pPr>
            <w:hyperlink r:id="rId5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10.9 to the Company’s Annual Report on Form 10-K for</w:t>
              </w:r>
            </w:hyperlink>
          </w:p>
        </w:tc>
        <w:tc>
          <w:tcPr>
            <w:tcW w:w="0" w:type="dxa"/>
            <w:vAlign w:val="bottom"/>
          </w:tcPr>
          <w:p>
            <w:pPr>
              <w:spacing w:after="0"/>
              <w:rPr>
                <w:sz w:val="1"/>
                <w:szCs w:val="1"/>
                <w:color w:val="auto"/>
              </w:rPr>
            </w:pPr>
          </w:p>
        </w:tc>
      </w:tr>
      <w:tr>
        <w:trPr>
          <w:trHeight w:val="169"/>
        </w:trPr>
        <w:tc>
          <w:tcPr>
            <w:tcW w:w="1080" w:type="dxa"/>
            <w:vAlign w:val="bottom"/>
            <w:tcBorders>
              <w:top w:val="single" w:sz="8" w:color="BDE1E9"/>
            </w:tcBorders>
            <w:shd w:val="clear" w:color="auto" w:fill="BDE1E9"/>
          </w:tcPr>
          <w:p>
            <w:pPr>
              <w:spacing w:after="0"/>
              <w:rPr>
                <w:sz w:val="14"/>
                <w:szCs w:val="14"/>
                <w:color w:val="auto"/>
              </w:rPr>
            </w:pPr>
          </w:p>
        </w:tc>
        <w:tc>
          <w:tcPr>
            <w:tcW w:w="4920" w:type="dxa"/>
            <w:vAlign w:val="bottom"/>
            <w:tcBorders>
              <w:top w:val="single" w:sz="8" w:color="BDE1E9"/>
              <w:right w:val="single" w:sz="8" w:color="BDE1E9"/>
            </w:tcBorders>
            <w:shd w:val="clear" w:color="auto" w:fill="BDE1E9"/>
          </w:tcPr>
          <w:p>
            <w:pPr>
              <w:ind w:left="240"/>
              <w:spacing w:after="0" w:line="169" w:lineRule="exact"/>
              <w:rPr>
                <w:sz w:val="20"/>
                <w:szCs w:val="20"/>
                <w:color w:val="auto"/>
              </w:rPr>
            </w:pPr>
            <w:r>
              <w:rPr>
                <w:rFonts w:ascii="Times New Roman" w:cs="Times New Roman" w:eastAsia="Times New Roman" w:hAnsi="Times New Roman"/>
                <w:sz w:val="16"/>
                <w:szCs w:val="16"/>
                <w:color w:val="auto"/>
              </w:rPr>
              <w:t>Facility Agreement dated December 23, 2015, among Reading</w:t>
            </w:r>
          </w:p>
        </w:tc>
        <w:tc>
          <w:tcPr>
            <w:tcW w:w="540" w:type="dxa"/>
            <w:vAlign w:val="bottom"/>
            <w:tcBorders>
              <w:top w:val="single" w:sz="8" w:color="BDE1E9"/>
            </w:tcBorders>
            <w:shd w:val="clear" w:color="auto" w:fill="BDE1E9"/>
          </w:tcPr>
          <w:p>
            <w:pPr>
              <w:spacing w:after="0" w:line="169" w:lineRule="exact"/>
              <w:rPr>
                <w:rFonts w:ascii="Times New Roman" w:cs="Times New Roman" w:eastAsia="Times New Roman" w:hAnsi="Times New Roman"/>
                <w:sz w:val="16"/>
                <w:szCs w:val="16"/>
                <w:b w:val="1"/>
                <w:bCs w:val="1"/>
                <w:color w:val="0000FF"/>
                <w:w w:val="93"/>
              </w:rPr>
            </w:pPr>
            <w:hyperlink r:id="rId52">
              <w:r>
                <w:rPr>
                  <w:rFonts w:ascii="Times New Roman" w:cs="Times New Roman" w:eastAsia="Times New Roman" w:hAnsi="Times New Roman"/>
                  <w:sz w:val="16"/>
                  <w:szCs w:val="16"/>
                  <w:b w:val="1"/>
                  <w:bCs w:val="1"/>
                  <w:color w:val="0000FF"/>
                  <w:w w:val="93"/>
                </w:rPr>
                <w:t>the year</w:t>
              </w:r>
            </w:hyperlink>
          </w:p>
        </w:tc>
        <w:tc>
          <w:tcPr>
            <w:tcW w:w="4480" w:type="dxa"/>
            <w:vAlign w:val="bottom"/>
            <w:tcBorders>
              <w:top w:val="single" w:sz="8" w:color="0000FF"/>
            </w:tcBorders>
            <w:gridSpan w:val="9"/>
            <w:shd w:val="clear" w:color="auto" w:fill="BDE1E9"/>
          </w:tcPr>
          <w:p>
            <w:pPr>
              <w:ind w:left="60"/>
              <w:spacing w:after="0" w:line="169" w:lineRule="exact"/>
              <w:rPr>
                <w:rFonts w:ascii="Times New Roman" w:cs="Times New Roman" w:eastAsia="Times New Roman" w:hAnsi="Times New Roman"/>
                <w:sz w:val="16"/>
                <w:szCs w:val="16"/>
                <w:b w:val="1"/>
                <w:bCs w:val="1"/>
                <w:color w:val="0000FF"/>
                <w:w w:val="99"/>
              </w:rPr>
            </w:pPr>
            <w:hyperlink r:id="rId52">
              <w:r>
                <w:rPr>
                  <w:rFonts w:ascii="Times New Roman" w:cs="Times New Roman" w:eastAsia="Times New Roman" w:hAnsi="Times New Roman"/>
                  <w:sz w:val="16"/>
                  <w:szCs w:val="16"/>
                  <w:b w:val="1"/>
                  <w:bCs w:val="1"/>
                  <w:color w:val="0000FF"/>
                  <w:w w:val="99"/>
                </w:rPr>
                <w:t>ended December 31, 2015</w:t>
              </w:r>
              <w:r>
                <w:rPr>
                  <w:rFonts w:ascii="Times New Roman" w:cs="Times New Roman" w:eastAsia="Times New Roman" w:hAnsi="Times New Roman"/>
                  <w:sz w:val="16"/>
                  <w:szCs w:val="16"/>
                  <w:color w:val="000000"/>
                  <w:w w:val="99"/>
                </w:rPr>
                <w:t>, filed on April 29, 2016 and incorporated</w:t>
              </w:r>
            </w:hyperlink>
          </w:p>
        </w:tc>
        <w:tc>
          <w:tcPr>
            <w:tcW w:w="220" w:type="dxa"/>
            <w:vAlign w:val="bottom"/>
            <w:tcBorders>
              <w:top w:val="single" w:sz="8" w:color="BDE1E9"/>
            </w:tcBorders>
            <w:gridSpan w:val="3"/>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BDE1E9"/>
            </w:tcBorders>
            <w:shd w:val="clear" w:color="auto" w:fill="BDE1E9"/>
          </w:tcPr>
          <w:p>
            <w:pPr>
              <w:spacing w:after="0"/>
              <w:rPr>
                <w:sz w:val="17"/>
                <w:szCs w:val="17"/>
                <w:color w:val="auto"/>
              </w:rPr>
            </w:pPr>
          </w:p>
        </w:tc>
        <w:tc>
          <w:tcPr>
            <w:tcW w:w="4920" w:type="dxa"/>
            <w:vAlign w:val="bottom"/>
            <w:tcBorders>
              <w:top w:val="single" w:sz="8" w:color="BDE1E9"/>
              <w:right w:val="single" w:sz="8" w:color="BDE1E9"/>
            </w:tcBorders>
            <w:shd w:val="clear" w:color="auto" w:fill="BDE1E9"/>
          </w:tcPr>
          <w:p>
            <w:pPr>
              <w:ind w:left="240"/>
              <w:spacing w:after="0"/>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2360" w:type="dxa"/>
            <w:vAlign w:val="bottom"/>
            <w:tcBorders>
              <w:top w:val="single" w:sz="8" w:color="0000FF"/>
            </w:tcBorders>
            <w:gridSpan w:val="6"/>
            <w:shd w:val="clear" w:color="auto" w:fill="BDE1E9"/>
          </w:tcPr>
          <w:p>
            <w:pPr>
              <w:spacing w:after="0"/>
              <w:rPr>
                <w:sz w:val="20"/>
                <w:szCs w:val="20"/>
                <w:color w:val="auto"/>
              </w:rPr>
            </w:pPr>
            <w:r>
              <w:rPr>
                <w:rFonts w:ascii="Times New Roman" w:cs="Times New Roman" w:eastAsia="Times New Roman" w:hAnsi="Times New Roman"/>
                <w:sz w:val="16"/>
                <w:szCs w:val="16"/>
                <w:color w:val="auto"/>
              </w:rPr>
              <w:t>herein by reference.</w:t>
            </w:r>
          </w:p>
        </w:tc>
        <w:tc>
          <w:tcPr>
            <w:tcW w:w="2560" w:type="dxa"/>
            <w:vAlign w:val="bottom"/>
            <w:tcBorders>
              <w:top w:val="single" w:sz="8" w:color="BDE1E9"/>
            </w:tcBorders>
            <w:gridSpan w:val="3"/>
            <w:shd w:val="clear" w:color="auto" w:fill="BDE1E9"/>
          </w:tcPr>
          <w:p>
            <w:pPr>
              <w:spacing w:after="0"/>
              <w:rPr>
                <w:sz w:val="17"/>
                <w:szCs w:val="17"/>
                <w:color w:val="auto"/>
              </w:rPr>
            </w:pPr>
          </w:p>
        </w:tc>
        <w:tc>
          <w:tcPr>
            <w:tcW w:w="320" w:type="dxa"/>
            <w:vAlign w:val="bottom"/>
            <w:tcBorders>
              <w:top w:val="single" w:sz="8" w:color="BDE1E9"/>
            </w:tcBorders>
            <w:gridSpan w:val="4"/>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10.16</w:t>
            </w:r>
          </w:p>
        </w:tc>
        <w:tc>
          <w:tcPr>
            <w:tcW w:w="4920" w:type="dxa"/>
            <w:vAlign w:val="bottom"/>
          </w:tcPr>
          <w:p>
            <w:pPr>
              <w:ind w:left="240"/>
              <w:spacing w:after="0" w:line="148" w:lineRule="exact"/>
              <w:rPr>
                <w:sz w:val="20"/>
                <w:szCs w:val="20"/>
                <w:color w:val="auto"/>
              </w:rPr>
            </w:pPr>
            <w:r>
              <w:rPr>
                <w:rFonts w:ascii="Times New Roman" w:cs="Times New Roman" w:eastAsia="Times New Roman" w:hAnsi="Times New Roman"/>
                <w:sz w:val="16"/>
                <w:szCs w:val="16"/>
                <w:color w:val="auto"/>
              </w:rPr>
              <w:t>Amendment Deed dated June 12, 2018 between National Australia</w:t>
            </w:r>
          </w:p>
        </w:tc>
        <w:tc>
          <w:tcPr>
            <w:tcW w:w="5240" w:type="dxa"/>
            <w:vAlign w:val="bottom"/>
            <w:gridSpan w:val="13"/>
          </w:tcPr>
          <w:p>
            <w:pPr>
              <w:spacing w:after="0" w:line="148" w:lineRule="exact"/>
              <w:rPr>
                <w:rFonts w:ascii="Times New Roman" w:cs="Times New Roman" w:eastAsia="Times New Roman" w:hAnsi="Times New Roman"/>
                <w:sz w:val="16"/>
                <w:szCs w:val="16"/>
                <w:color w:val="auto"/>
              </w:rPr>
            </w:pPr>
            <w:hyperlink r:id="rId5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10.1.2 to the Company’s report on Form 8-K (file no. 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Bank Limited and Reading Entertainment Australia Pty Ltd.</w:t>
            </w:r>
          </w:p>
        </w:tc>
        <w:tc>
          <w:tcPr>
            <w:tcW w:w="5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vMerge w:val="continue"/>
          </w:tcPr>
          <w:p>
            <w:pPr>
              <w:spacing w:after="0"/>
              <w:rPr>
                <w:sz w:val="14"/>
                <w:szCs w:val="14"/>
                <w:color w:val="auto"/>
              </w:rPr>
            </w:pPr>
          </w:p>
        </w:tc>
        <w:tc>
          <w:tcPr>
            <w:tcW w:w="4920" w:type="dxa"/>
            <w:vAlign w:val="bottom"/>
            <w:gridSpan w:val="9"/>
          </w:tcPr>
          <w:p>
            <w:pPr>
              <w:spacing w:after="0" w:line="169" w:lineRule="exact"/>
              <w:rPr>
                <w:rFonts w:ascii="Times New Roman" w:cs="Times New Roman" w:eastAsia="Times New Roman" w:hAnsi="Times New Roman"/>
                <w:sz w:val="16"/>
                <w:szCs w:val="16"/>
                <w:b w:val="1"/>
                <w:bCs w:val="1"/>
                <w:color w:val="0000FF"/>
              </w:rPr>
            </w:pPr>
            <w:hyperlink r:id="rId53">
              <w:r>
                <w:rPr>
                  <w:rFonts w:ascii="Times New Roman" w:cs="Times New Roman" w:eastAsia="Times New Roman" w:hAnsi="Times New Roman"/>
                  <w:sz w:val="16"/>
                  <w:szCs w:val="16"/>
                  <w:b w:val="1"/>
                  <w:bCs w:val="1"/>
                  <w:color w:val="0000FF"/>
                </w:rPr>
                <w:t>8625), filed on June 2, 2020</w:t>
              </w:r>
              <w:r>
                <w:rPr>
                  <w:rFonts w:ascii="Times New Roman" w:cs="Times New Roman" w:eastAsia="Times New Roman" w:hAnsi="Times New Roman"/>
                  <w:sz w:val="16"/>
                  <w:szCs w:val="16"/>
                  <w:color w:val="000000"/>
                </w:rPr>
                <w:t>, and incorporated herein by reference.</w:t>
              </w:r>
            </w:hyperlink>
          </w:p>
        </w:tc>
        <w:tc>
          <w:tcPr>
            <w:tcW w:w="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shd w:val="clear" w:color="auto" w:fill="BDE1E9"/>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10.17</w:t>
            </w:r>
          </w:p>
        </w:tc>
        <w:tc>
          <w:tcPr>
            <w:tcW w:w="4920" w:type="dxa"/>
            <w:vAlign w:val="bottom"/>
            <w:tcBorders>
              <w:right w:val="single" w:sz="8" w:color="BDE1E9"/>
            </w:tcBorders>
            <w:shd w:val="clear" w:color="auto" w:fill="BDE1E9"/>
          </w:tcPr>
          <w:p>
            <w:pPr>
              <w:ind w:left="240"/>
              <w:spacing w:after="0" w:line="148" w:lineRule="exact"/>
              <w:rPr>
                <w:sz w:val="20"/>
                <w:szCs w:val="20"/>
                <w:color w:val="auto"/>
              </w:rPr>
            </w:pPr>
            <w:r>
              <w:rPr>
                <w:rFonts w:ascii="Times New Roman" w:cs="Times New Roman" w:eastAsia="Times New Roman" w:hAnsi="Times New Roman"/>
                <w:sz w:val="16"/>
                <w:szCs w:val="16"/>
                <w:color w:val="auto"/>
              </w:rPr>
              <w:t>Amendment Deed dated March 27, 2019 between National Australia</w:t>
            </w:r>
          </w:p>
        </w:tc>
        <w:tc>
          <w:tcPr>
            <w:tcW w:w="5240" w:type="dxa"/>
            <w:vAlign w:val="bottom"/>
            <w:gridSpan w:val="13"/>
            <w:shd w:val="clear" w:color="auto" w:fill="BDE1E9"/>
          </w:tcPr>
          <w:p>
            <w:pPr>
              <w:spacing w:after="0" w:line="148" w:lineRule="exact"/>
              <w:rPr>
                <w:rFonts w:ascii="Times New Roman" w:cs="Times New Roman" w:eastAsia="Times New Roman" w:hAnsi="Times New Roman"/>
                <w:sz w:val="16"/>
                <w:szCs w:val="16"/>
                <w:color w:val="auto"/>
              </w:rPr>
            </w:pPr>
            <w:hyperlink r:id="rId5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10.1.3 to the Company’s report on Form 8-K (file no. 1-</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BDE1E9"/>
          </w:tcPr>
          <w:p>
            <w:pPr>
              <w:spacing w:after="0" w:line="20" w:lineRule="exact"/>
              <w:rPr>
                <w:sz w:val="1"/>
                <w:szCs w:val="1"/>
                <w:color w:val="auto"/>
              </w:rPr>
            </w:pPr>
          </w:p>
        </w:tc>
        <w:tc>
          <w:tcPr>
            <w:tcW w:w="4920" w:type="dxa"/>
            <w:vAlign w:val="bottom"/>
            <w:tcBorders>
              <w:right w:val="single" w:sz="8" w:color="BDE1E9"/>
            </w:tcBorders>
            <w:vMerge w:val="restart"/>
            <w:shd w:val="clear" w:color="auto" w:fill="BDE1E9"/>
          </w:tcPr>
          <w:p>
            <w:pPr>
              <w:ind w:left="240"/>
              <w:spacing w:after="0"/>
              <w:rPr>
                <w:sz w:val="20"/>
                <w:szCs w:val="20"/>
                <w:color w:val="auto"/>
              </w:rPr>
            </w:pPr>
            <w:r>
              <w:rPr>
                <w:rFonts w:ascii="Times New Roman" w:cs="Times New Roman" w:eastAsia="Times New Roman" w:hAnsi="Times New Roman"/>
                <w:sz w:val="16"/>
                <w:szCs w:val="16"/>
                <w:color w:val="auto"/>
              </w:rPr>
              <w:t>Bank Limited and Reading Entertainment Australia Pty Ltd.</w:t>
            </w:r>
          </w:p>
        </w:tc>
        <w:tc>
          <w:tcPr>
            <w:tcW w:w="540" w:type="dxa"/>
            <w:vAlign w:val="bottom"/>
            <w:shd w:val="clear" w:color="auto" w:fill="BDE1E9"/>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320" w:type="dxa"/>
            <w:vAlign w:val="bottom"/>
            <w:gridSpan w:val="4"/>
            <w:vMerge w:val="restart"/>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shd w:val="clear" w:color="auto" w:fill="BDE1E9"/>
          </w:tcPr>
          <w:p>
            <w:pPr>
              <w:spacing w:after="0"/>
              <w:rPr>
                <w:sz w:val="14"/>
                <w:szCs w:val="14"/>
                <w:color w:val="auto"/>
              </w:rPr>
            </w:pPr>
          </w:p>
        </w:tc>
        <w:tc>
          <w:tcPr>
            <w:tcW w:w="4920" w:type="dxa"/>
            <w:vAlign w:val="bottom"/>
            <w:tcBorders>
              <w:right w:val="single" w:sz="8" w:color="BDE1E9"/>
            </w:tcBorders>
            <w:vMerge w:val="continue"/>
            <w:shd w:val="clear" w:color="auto" w:fill="BDE1E9"/>
          </w:tcPr>
          <w:p>
            <w:pPr>
              <w:spacing w:after="0"/>
              <w:rPr>
                <w:sz w:val="14"/>
                <w:szCs w:val="14"/>
                <w:color w:val="auto"/>
              </w:rPr>
            </w:pPr>
          </w:p>
        </w:tc>
        <w:tc>
          <w:tcPr>
            <w:tcW w:w="4920" w:type="dxa"/>
            <w:vAlign w:val="bottom"/>
            <w:gridSpan w:val="9"/>
            <w:shd w:val="clear" w:color="auto" w:fill="BDE1E9"/>
          </w:tcPr>
          <w:p>
            <w:pPr>
              <w:spacing w:after="0" w:line="169" w:lineRule="exact"/>
              <w:rPr>
                <w:rFonts w:ascii="Times New Roman" w:cs="Times New Roman" w:eastAsia="Times New Roman" w:hAnsi="Times New Roman"/>
                <w:sz w:val="16"/>
                <w:szCs w:val="16"/>
                <w:b w:val="1"/>
                <w:bCs w:val="1"/>
                <w:color w:val="0000FF"/>
              </w:rPr>
            </w:pPr>
            <w:hyperlink r:id="rId53">
              <w:r>
                <w:rPr>
                  <w:rFonts w:ascii="Times New Roman" w:cs="Times New Roman" w:eastAsia="Times New Roman" w:hAnsi="Times New Roman"/>
                  <w:sz w:val="16"/>
                  <w:szCs w:val="16"/>
                  <w:b w:val="1"/>
                  <w:bCs w:val="1"/>
                  <w:color w:val="0000FF"/>
                </w:rPr>
                <w:t>8625), filed on June 2, 2020</w:t>
              </w:r>
              <w:r>
                <w:rPr>
                  <w:rFonts w:ascii="Times New Roman" w:cs="Times New Roman" w:eastAsia="Times New Roman" w:hAnsi="Times New Roman"/>
                  <w:sz w:val="16"/>
                  <w:szCs w:val="16"/>
                  <w:color w:val="000000"/>
                </w:rPr>
                <w:t>, and incorporated herein by reference.</w:t>
              </w:r>
            </w:hyperlink>
          </w:p>
        </w:tc>
        <w:tc>
          <w:tcPr>
            <w:tcW w:w="320" w:type="dxa"/>
            <w:vAlign w:val="bottom"/>
            <w:gridSpan w:val="4"/>
            <w:vMerge w:val="continue"/>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BDE1E9"/>
            </w:tcBorders>
            <w:shd w:val="clear" w:color="auto" w:fill="BDE1E9"/>
          </w:tcPr>
          <w:p>
            <w:pPr>
              <w:spacing w:after="0" w:line="20" w:lineRule="exact"/>
              <w:rPr>
                <w:sz w:val="1"/>
                <w:szCs w:val="1"/>
                <w:color w:val="auto"/>
              </w:rPr>
            </w:pPr>
          </w:p>
        </w:tc>
        <w:tc>
          <w:tcPr>
            <w:tcW w:w="4920" w:type="dxa"/>
            <w:vAlign w:val="bottom"/>
            <w:tcBorders>
              <w:top w:val="single" w:sz="8" w:color="BDE1E9"/>
              <w:right w:val="single" w:sz="8" w:color="BDE1E9"/>
            </w:tcBorders>
            <w:shd w:val="clear" w:color="auto" w:fill="BDE1E9"/>
          </w:tcPr>
          <w:p>
            <w:pPr>
              <w:spacing w:after="0" w:line="20" w:lineRule="exact"/>
              <w:rPr>
                <w:sz w:val="1"/>
                <w:szCs w:val="1"/>
                <w:color w:val="auto"/>
              </w:rPr>
            </w:pPr>
          </w:p>
        </w:tc>
        <w:tc>
          <w:tcPr>
            <w:tcW w:w="540" w:type="dxa"/>
            <w:vAlign w:val="bottom"/>
            <w:tcBorders>
              <w:top w:val="single" w:sz="8" w:color="0000FF"/>
            </w:tcBorders>
            <w:shd w:val="clear" w:color="auto" w:fill="BDE1E9"/>
          </w:tcPr>
          <w:p>
            <w:pPr>
              <w:spacing w:after="0" w:line="20" w:lineRule="exact"/>
              <w:rPr>
                <w:sz w:val="1"/>
                <w:szCs w:val="1"/>
                <w:color w:val="auto"/>
              </w:rPr>
            </w:pPr>
          </w:p>
        </w:tc>
        <w:tc>
          <w:tcPr>
            <w:tcW w:w="640" w:type="dxa"/>
            <w:vAlign w:val="bottom"/>
            <w:tcBorders>
              <w:top w:val="single" w:sz="8" w:color="0000FF"/>
            </w:tcBorders>
            <w:shd w:val="clear" w:color="auto" w:fill="BDE1E9"/>
          </w:tcPr>
          <w:p>
            <w:pPr>
              <w:spacing w:after="0" w:line="20" w:lineRule="exact"/>
              <w:rPr>
                <w:sz w:val="1"/>
                <w:szCs w:val="1"/>
                <w:color w:val="auto"/>
              </w:rPr>
            </w:pPr>
          </w:p>
        </w:tc>
        <w:tc>
          <w:tcPr>
            <w:tcW w:w="160" w:type="dxa"/>
            <w:vAlign w:val="bottom"/>
            <w:tcBorders>
              <w:top w:val="single" w:sz="8" w:color="0000FF"/>
            </w:tcBorders>
            <w:shd w:val="clear" w:color="auto" w:fill="BDE1E9"/>
          </w:tcPr>
          <w:p>
            <w:pPr>
              <w:spacing w:after="0" w:line="20" w:lineRule="exact"/>
              <w:rPr>
                <w:sz w:val="1"/>
                <w:szCs w:val="1"/>
                <w:color w:val="auto"/>
              </w:rPr>
            </w:pPr>
          </w:p>
        </w:tc>
        <w:tc>
          <w:tcPr>
            <w:tcW w:w="400" w:type="dxa"/>
            <w:vAlign w:val="bottom"/>
            <w:tcBorders>
              <w:top w:val="single" w:sz="8" w:color="0000FF"/>
            </w:tcBorders>
            <w:shd w:val="clear" w:color="auto" w:fill="BDE1E9"/>
          </w:tcPr>
          <w:p>
            <w:pPr>
              <w:spacing w:after="0" w:line="20" w:lineRule="exact"/>
              <w:rPr>
                <w:sz w:val="1"/>
                <w:szCs w:val="1"/>
                <w:color w:val="auto"/>
              </w:rPr>
            </w:pPr>
          </w:p>
        </w:tc>
        <w:tc>
          <w:tcPr>
            <w:tcW w:w="140" w:type="dxa"/>
            <w:vAlign w:val="bottom"/>
            <w:tcBorders>
              <w:top w:val="single" w:sz="8" w:color="0000FF"/>
              <w:right w:val="single" w:sz="8" w:color="BDE1E9"/>
            </w:tcBorders>
            <w:shd w:val="clear" w:color="auto" w:fill="BDE1E9"/>
          </w:tcPr>
          <w:p>
            <w:pPr>
              <w:spacing w:after="0" w:line="20" w:lineRule="exact"/>
              <w:rPr>
                <w:sz w:val="1"/>
                <w:szCs w:val="1"/>
                <w:color w:val="auto"/>
              </w:rPr>
            </w:pPr>
          </w:p>
        </w:tc>
        <w:tc>
          <w:tcPr>
            <w:tcW w:w="480" w:type="dxa"/>
            <w:vAlign w:val="bottom"/>
            <w:tcBorders>
              <w:top w:val="single" w:sz="8" w:color="BDE1E9"/>
            </w:tcBorders>
            <w:shd w:val="clear" w:color="auto" w:fill="BDE1E9"/>
          </w:tcPr>
          <w:p>
            <w:pPr>
              <w:spacing w:after="0" w:line="20" w:lineRule="exact"/>
              <w:rPr>
                <w:sz w:val="1"/>
                <w:szCs w:val="1"/>
                <w:color w:val="auto"/>
              </w:rPr>
            </w:pPr>
          </w:p>
        </w:tc>
        <w:tc>
          <w:tcPr>
            <w:tcW w:w="2160" w:type="dxa"/>
            <w:vAlign w:val="bottom"/>
            <w:tcBorders>
              <w:top w:val="single" w:sz="8" w:color="BDE1E9"/>
            </w:tcBorders>
            <w:shd w:val="clear" w:color="auto" w:fill="BDE1E9"/>
          </w:tcPr>
          <w:p>
            <w:pPr>
              <w:spacing w:after="0" w:line="20" w:lineRule="exact"/>
              <w:rPr>
                <w:sz w:val="1"/>
                <w:szCs w:val="1"/>
                <w:color w:val="auto"/>
              </w:rPr>
            </w:pPr>
          </w:p>
        </w:tc>
        <w:tc>
          <w:tcPr>
            <w:tcW w:w="220" w:type="dxa"/>
            <w:vAlign w:val="bottom"/>
            <w:tcBorders>
              <w:top w:val="single" w:sz="8" w:color="BDE1E9"/>
            </w:tcBorders>
            <w:shd w:val="clear" w:color="auto" w:fill="BDE1E9"/>
          </w:tcPr>
          <w:p>
            <w:pPr>
              <w:spacing w:after="0" w:line="20" w:lineRule="exact"/>
              <w:rPr>
                <w:sz w:val="1"/>
                <w:szCs w:val="1"/>
                <w:color w:val="auto"/>
              </w:rPr>
            </w:pPr>
          </w:p>
        </w:tc>
        <w:tc>
          <w:tcPr>
            <w:tcW w:w="180" w:type="dxa"/>
            <w:vAlign w:val="bottom"/>
            <w:tcBorders>
              <w:top w:val="single" w:sz="8" w:color="BDE1E9"/>
            </w:tcBorders>
            <w:shd w:val="clear" w:color="auto" w:fill="BDE1E9"/>
          </w:tcPr>
          <w:p>
            <w:pPr>
              <w:spacing w:after="0" w:line="20" w:lineRule="exact"/>
              <w:rPr>
                <w:sz w:val="1"/>
                <w:szCs w:val="1"/>
                <w:color w:val="auto"/>
              </w:rPr>
            </w:pPr>
          </w:p>
        </w:tc>
        <w:tc>
          <w:tcPr>
            <w:tcW w:w="100" w:type="dxa"/>
            <w:vAlign w:val="bottom"/>
            <w:tcBorders>
              <w:top w:val="single" w:sz="8" w:color="BDE1E9"/>
            </w:tcBorders>
            <w:shd w:val="clear" w:color="auto" w:fill="BDE1E9"/>
          </w:tcPr>
          <w:p>
            <w:pPr>
              <w:spacing w:after="0" w:line="20" w:lineRule="exact"/>
              <w:rPr>
                <w:sz w:val="1"/>
                <w:szCs w:val="1"/>
                <w:color w:val="auto"/>
              </w:rPr>
            </w:pPr>
          </w:p>
        </w:tc>
        <w:tc>
          <w:tcPr>
            <w:tcW w:w="80" w:type="dxa"/>
            <w:vAlign w:val="bottom"/>
            <w:tcBorders>
              <w:top w:val="single" w:sz="8" w:color="BDE1E9"/>
            </w:tcBorders>
            <w:shd w:val="clear" w:color="auto" w:fill="BDE1E9"/>
          </w:tcPr>
          <w:p>
            <w:pPr>
              <w:spacing w:after="0" w:line="20" w:lineRule="exact"/>
              <w:rPr>
                <w:sz w:val="1"/>
                <w:szCs w:val="1"/>
                <w:color w:val="auto"/>
              </w:rPr>
            </w:pPr>
          </w:p>
        </w:tc>
        <w:tc>
          <w:tcPr>
            <w:tcW w:w="120" w:type="dxa"/>
            <w:vAlign w:val="bottom"/>
            <w:tcBorders>
              <w:top w:val="single" w:sz="8" w:color="BDE1E9"/>
            </w:tcBorders>
            <w:shd w:val="clear" w:color="auto" w:fill="BDE1E9"/>
          </w:tcPr>
          <w:p>
            <w:pPr>
              <w:spacing w:after="0" w:line="20" w:lineRule="exact"/>
              <w:rPr>
                <w:sz w:val="1"/>
                <w:szCs w:val="1"/>
                <w:color w:val="auto"/>
              </w:rPr>
            </w:pPr>
          </w:p>
        </w:tc>
        <w:tc>
          <w:tcPr>
            <w:tcW w:w="20" w:type="dxa"/>
            <w:vAlign w:val="bottom"/>
            <w:tcBorders>
              <w:top w:val="single" w:sz="8" w:color="BDE1E9"/>
            </w:tcBorders>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80" w:type="dxa"/>
            <w:vAlign w:val="bottom"/>
          </w:tcPr>
          <w:p>
            <w:pPr>
              <w:jc w:val="right"/>
              <w:ind w:right="159"/>
              <w:spacing w:after="0" w:line="148" w:lineRule="exact"/>
              <w:rPr>
                <w:sz w:val="20"/>
                <w:szCs w:val="20"/>
                <w:color w:val="auto"/>
              </w:rPr>
            </w:pPr>
            <w:r>
              <w:rPr>
                <w:rFonts w:ascii="Times New Roman" w:cs="Times New Roman" w:eastAsia="Times New Roman" w:hAnsi="Times New Roman"/>
                <w:sz w:val="16"/>
                <w:szCs w:val="16"/>
                <w:color w:val="auto"/>
              </w:rPr>
              <w:t>10.18</w:t>
            </w:r>
          </w:p>
        </w:tc>
        <w:tc>
          <w:tcPr>
            <w:tcW w:w="4920" w:type="dxa"/>
            <w:vAlign w:val="bottom"/>
          </w:tcPr>
          <w:p>
            <w:pPr>
              <w:ind w:left="240"/>
              <w:spacing w:after="0" w:line="148" w:lineRule="exact"/>
              <w:rPr>
                <w:sz w:val="20"/>
                <w:szCs w:val="20"/>
                <w:color w:val="auto"/>
              </w:rPr>
            </w:pPr>
            <w:r>
              <w:rPr>
                <w:rFonts w:ascii="Times New Roman" w:cs="Times New Roman" w:eastAsia="Times New Roman" w:hAnsi="Times New Roman"/>
                <w:sz w:val="16"/>
                <w:szCs w:val="16"/>
                <w:color w:val="auto"/>
              </w:rPr>
              <w:t>Letter of Waiver dated April 9, 2020 between National Australia Bank</w:t>
            </w:r>
          </w:p>
        </w:tc>
        <w:tc>
          <w:tcPr>
            <w:tcW w:w="5240" w:type="dxa"/>
            <w:vAlign w:val="bottom"/>
            <w:gridSpan w:val="13"/>
          </w:tcPr>
          <w:p>
            <w:pPr>
              <w:spacing w:after="0" w:line="148" w:lineRule="exact"/>
              <w:rPr>
                <w:rFonts w:ascii="Times New Roman" w:cs="Times New Roman" w:eastAsia="Times New Roman" w:hAnsi="Times New Roman"/>
                <w:sz w:val="16"/>
                <w:szCs w:val="16"/>
                <w:color w:val="auto"/>
              </w:rPr>
            </w:pPr>
            <w:hyperlink r:id="rId5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10.1.4 to the Company’s report on Form 8-K (file no. 1-</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Limited and Reading Entertainment Australia Pty Ltd.</w:t>
            </w:r>
          </w:p>
        </w:tc>
        <w:tc>
          <w:tcPr>
            <w:tcW w:w="54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32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4920" w:type="dxa"/>
            <w:vAlign w:val="bottom"/>
            <w:vMerge w:val="continue"/>
          </w:tcPr>
          <w:p>
            <w:pPr>
              <w:spacing w:after="0"/>
              <w:rPr>
                <w:sz w:val="14"/>
                <w:szCs w:val="14"/>
                <w:color w:val="auto"/>
              </w:rPr>
            </w:pPr>
          </w:p>
        </w:tc>
        <w:tc>
          <w:tcPr>
            <w:tcW w:w="4920" w:type="dxa"/>
            <w:vAlign w:val="bottom"/>
            <w:gridSpan w:val="9"/>
          </w:tcPr>
          <w:p>
            <w:pPr>
              <w:spacing w:after="0" w:line="169" w:lineRule="exact"/>
              <w:rPr>
                <w:rFonts w:ascii="Times New Roman" w:cs="Times New Roman" w:eastAsia="Times New Roman" w:hAnsi="Times New Roman"/>
                <w:sz w:val="16"/>
                <w:szCs w:val="16"/>
                <w:b w:val="1"/>
                <w:bCs w:val="1"/>
                <w:color w:val="0000FF"/>
              </w:rPr>
            </w:pPr>
            <w:hyperlink r:id="rId53">
              <w:r>
                <w:rPr>
                  <w:rFonts w:ascii="Times New Roman" w:cs="Times New Roman" w:eastAsia="Times New Roman" w:hAnsi="Times New Roman"/>
                  <w:sz w:val="16"/>
                  <w:szCs w:val="16"/>
                  <w:b w:val="1"/>
                  <w:bCs w:val="1"/>
                  <w:color w:val="0000FF"/>
                </w:rPr>
                <w:t>8625), filed on June 2, 2020</w:t>
              </w:r>
              <w:r>
                <w:rPr>
                  <w:rFonts w:ascii="Times New Roman" w:cs="Times New Roman" w:eastAsia="Times New Roman" w:hAnsi="Times New Roman"/>
                  <w:sz w:val="16"/>
                  <w:szCs w:val="16"/>
                  <w:color w:val="000000"/>
                </w:rPr>
                <w:t>, and incorporated herein by reference.</w:t>
              </w:r>
            </w:hyperlink>
          </w:p>
        </w:tc>
        <w:tc>
          <w:tcPr>
            <w:tcW w:w="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4" w:right="339" w:bottom="1440" w:gutter="0" w:footer="0" w:header="0"/>
        </w:sectPr>
      </w:pPr>
    </w:p>
    <w:p>
      <w:pPr>
        <w:ind w:left="1320" w:right="80" w:hanging="843"/>
        <w:spacing w:after="0" w:line="258" w:lineRule="auto"/>
        <w:tabs>
          <w:tab w:leader="none" w:pos="1300" w:val="left"/>
        </w:tabs>
        <w:rPr>
          <w:sz w:val="20"/>
          <w:szCs w:val="20"/>
          <w:color w:val="auto"/>
        </w:rPr>
      </w:pPr>
      <w:r>
        <w:rPr>
          <w:rFonts w:ascii="Times New Roman" w:cs="Times New Roman" w:eastAsia="Times New Roman" w:hAnsi="Times New Roman"/>
          <w:sz w:val="16"/>
          <w:szCs w:val="16"/>
          <w:color w:val="auto"/>
        </w:rPr>
        <w:t>10.19</w:t>
      </w:r>
      <w:r>
        <w:rPr>
          <w:sz w:val="20"/>
          <w:szCs w:val="20"/>
          <w:color w:val="auto"/>
        </w:rPr>
        <w:tab/>
      </w:r>
      <w:r>
        <w:rPr>
          <w:rFonts w:ascii="Times New Roman" w:cs="Times New Roman" w:eastAsia="Times New Roman" w:hAnsi="Times New Roman"/>
          <w:sz w:val="16"/>
          <w:szCs w:val="16"/>
          <w:color w:val="auto"/>
        </w:rPr>
        <w:t>Amendment Letter dated August 7, 2020 between National Australian Bank Limited and Reading Entertainment Australia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320" w:right="100" w:hanging="843"/>
        <w:spacing w:after="0" w:line="246" w:lineRule="auto"/>
        <w:tabs>
          <w:tab w:leader="none" w:pos="1300" w:val="left"/>
        </w:tabs>
        <w:rPr>
          <w:sz w:val="20"/>
          <w:szCs w:val="20"/>
          <w:color w:val="auto"/>
        </w:rPr>
      </w:pPr>
      <w:r>
        <w:rPr>
          <w:rFonts w:ascii="Times New Roman" w:cs="Times New Roman" w:eastAsia="Times New Roman" w:hAnsi="Times New Roman"/>
          <w:sz w:val="16"/>
          <w:szCs w:val="16"/>
          <w:color w:val="auto"/>
        </w:rPr>
        <w:t>10.20</w:t>
      </w:r>
      <w:r>
        <w:rPr>
          <w:sz w:val="20"/>
          <w:szCs w:val="20"/>
          <w:color w:val="auto"/>
        </w:rPr>
        <w:tab/>
      </w:r>
      <w:r>
        <w:rPr>
          <w:rFonts w:ascii="Times New Roman" w:cs="Times New Roman" w:eastAsia="Times New Roman" w:hAnsi="Times New Roman"/>
          <w:sz w:val="16"/>
          <w:szCs w:val="16"/>
          <w:color w:val="auto"/>
        </w:rPr>
        <w:t>Amendment Deed dated June 8, 2021, by and between Reading Entertainment Australia Pty Ltd and National Australia Bank Limited</w:t>
      </w:r>
    </w:p>
    <w:p>
      <w:pPr>
        <w:spacing w:after="0" w:line="1" w:lineRule="exact"/>
        <w:rPr>
          <w:sz w:val="20"/>
          <w:szCs w:val="20"/>
          <w:color w:val="auto"/>
        </w:rPr>
      </w:pPr>
    </w:p>
    <w:p>
      <w:pPr>
        <w:jc w:val="both"/>
        <w:ind w:left="1320" w:hanging="843"/>
        <w:spacing w:after="0"/>
        <w:tabs>
          <w:tab w:leader="none" w:pos="1300" w:val="left"/>
        </w:tabs>
        <w:rPr>
          <w:sz w:val="20"/>
          <w:szCs w:val="20"/>
          <w:color w:val="auto"/>
        </w:rPr>
      </w:pPr>
      <w:r>
        <w:rPr>
          <w:rFonts w:ascii="Times New Roman" w:cs="Times New Roman" w:eastAsia="Times New Roman" w:hAnsi="Times New Roman"/>
          <w:sz w:val="16"/>
          <w:szCs w:val="16"/>
          <w:color w:val="auto"/>
        </w:rPr>
        <w:t>10.21</w:t>
      </w:r>
      <w:r>
        <w:rPr>
          <w:sz w:val="20"/>
          <w:szCs w:val="20"/>
          <w:color w:val="auto"/>
        </w:rPr>
        <w:tab/>
      </w:r>
      <w:r>
        <w:rPr>
          <w:rFonts w:ascii="Times New Roman" w:cs="Times New Roman" w:eastAsia="Times New Roman" w:hAnsi="Times New Roman"/>
          <w:sz w:val="16"/>
          <w:szCs w:val="16"/>
          <w:color w:val="auto"/>
        </w:rPr>
        <w:t>Corporate Markets Loan &amp; Bank Guarantee Facility Agreement dated June 8, 2021, by and between Reading Entertainment Australia Pty Ltd and National Australia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351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jc w:val="right"/>
        <w:ind w:left="480" w:right="100"/>
        <w:spacing w:after="0" w:line="246" w:lineRule="auto"/>
        <w:rPr>
          <w:sz w:val="20"/>
          <w:szCs w:val="20"/>
          <w:color w:val="auto"/>
        </w:rPr>
      </w:pPr>
      <w:r>
        <w:rPr>
          <w:rFonts w:ascii="Times New Roman" w:cs="Times New Roman" w:eastAsia="Times New Roman" w:hAnsi="Times New Roman"/>
          <w:sz w:val="16"/>
          <w:szCs w:val="16"/>
          <w:color w:val="auto"/>
        </w:rPr>
        <w:t>10.22      Amendment Deed dated November 2, 2021, by and between Reading Entertainment Australia Pty Ltd and National Australia Bank Limited</w:t>
      </w:r>
    </w:p>
    <w:p>
      <w:pPr>
        <w:spacing w:after="0" w:line="1" w:lineRule="exact"/>
        <w:rPr>
          <w:sz w:val="20"/>
          <w:szCs w:val="20"/>
          <w:color w:val="auto"/>
        </w:rPr>
      </w:pPr>
    </w:p>
    <w:p>
      <w:pPr>
        <w:ind w:left="1320" w:right="80" w:hanging="883"/>
        <w:spacing w:after="0"/>
        <w:tabs>
          <w:tab w:leader="none" w:pos="1300" w:val="left"/>
        </w:tabs>
        <w:rPr>
          <w:sz w:val="20"/>
          <w:szCs w:val="20"/>
          <w:color w:val="auto"/>
        </w:rPr>
      </w:pPr>
      <w:r>
        <w:rPr>
          <w:rFonts w:ascii="Times New Roman" w:cs="Times New Roman" w:eastAsia="Times New Roman" w:hAnsi="Times New Roman"/>
          <w:sz w:val="16"/>
          <w:szCs w:val="16"/>
          <w:color w:val="auto"/>
        </w:rPr>
        <w:t>10.23†</w:t>
      </w:r>
      <w:r>
        <w:rPr>
          <w:sz w:val="20"/>
          <w:szCs w:val="20"/>
          <w:color w:val="auto"/>
        </w:rPr>
        <w:tab/>
      </w:r>
      <w:r>
        <w:rPr>
          <w:rFonts w:ascii="Times New Roman" w:cs="Times New Roman" w:eastAsia="Times New Roman" w:hAnsi="Times New Roman"/>
          <w:sz w:val="16"/>
          <w:szCs w:val="16"/>
          <w:color w:val="auto"/>
        </w:rPr>
        <w:t>Transactional Facility Side Letter dated November 3, 2021 between Reading Entertainment Australia Pty Ltd and National Australia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351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ind w:left="1320" w:right="80" w:hanging="883"/>
        <w:spacing w:after="0" w:line="242" w:lineRule="auto"/>
        <w:tabs>
          <w:tab w:leader="none" w:pos="1300" w:val="left"/>
        </w:tabs>
        <w:rPr>
          <w:sz w:val="20"/>
          <w:szCs w:val="20"/>
          <w:color w:val="auto"/>
        </w:rPr>
      </w:pPr>
      <w:r>
        <w:rPr>
          <w:rFonts w:ascii="Times New Roman" w:cs="Times New Roman" w:eastAsia="Times New Roman" w:hAnsi="Times New Roman"/>
          <w:sz w:val="16"/>
          <w:szCs w:val="16"/>
          <w:color w:val="auto"/>
        </w:rPr>
        <w:t>10.24†</w:t>
      </w:r>
      <w:r>
        <w:rPr>
          <w:sz w:val="20"/>
          <w:szCs w:val="20"/>
          <w:color w:val="auto"/>
        </w:rPr>
        <w:tab/>
      </w:r>
      <w:r>
        <w:rPr>
          <w:rFonts w:ascii="Times New Roman" w:cs="Times New Roman" w:eastAsia="Times New Roman" w:hAnsi="Times New Roman"/>
          <w:sz w:val="16"/>
          <w:szCs w:val="16"/>
          <w:color w:val="auto"/>
        </w:rPr>
        <w:t>Variation Deed of the Corporate Markets Loan &amp; Bank Guarantee Facility Agreement, dated December 16, 2022, by and between Reading Entertainment Australia Pty Ltd and National Australia Bank Limited</w:t>
      </w:r>
    </w:p>
    <w:p>
      <w:pPr>
        <w:ind w:left="1320" w:right="100" w:hanging="843"/>
        <w:spacing w:after="0" w:line="246" w:lineRule="auto"/>
        <w:tabs>
          <w:tab w:leader="none" w:pos="1300" w:val="left"/>
        </w:tabs>
        <w:rPr>
          <w:sz w:val="20"/>
          <w:szCs w:val="20"/>
          <w:color w:val="auto"/>
        </w:rPr>
      </w:pPr>
      <w:r>
        <w:rPr>
          <w:rFonts w:ascii="Times New Roman" w:cs="Times New Roman" w:eastAsia="Times New Roman" w:hAnsi="Times New Roman"/>
          <w:sz w:val="16"/>
          <w:szCs w:val="16"/>
          <w:color w:val="auto"/>
        </w:rPr>
        <w:t>10.25</w:t>
      </w:r>
      <w:r>
        <w:rPr>
          <w:sz w:val="20"/>
          <w:szCs w:val="20"/>
          <w:color w:val="auto"/>
        </w:rPr>
        <w:tab/>
      </w:r>
      <w:r>
        <w:rPr>
          <w:rFonts w:ascii="Times New Roman" w:cs="Times New Roman" w:eastAsia="Times New Roman" w:hAnsi="Times New Roman"/>
          <w:sz w:val="16"/>
          <w:szCs w:val="16"/>
          <w:color w:val="auto"/>
        </w:rPr>
        <w:t>Amendment Deed dated May 12, 2023, by and between Reading Entertainment Australia Pty Ltd and National Australia Bank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320" w:right="100" w:hanging="843"/>
        <w:spacing w:after="0" w:line="244" w:lineRule="auto"/>
        <w:tabs>
          <w:tab w:leader="none" w:pos="1300" w:val="left"/>
        </w:tabs>
        <w:rPr>
          <w:sz w:val="20"/>
          <w:szCs w:val="20"/>
          <w:color w:val="auto"/>
        </w:rPr>
      </w:pPr>
      <w:r>
        <w:rPr>
          <w:rFonts w:ascii="Times New Roman" w:cs="Times New Roman" w:eastAsia="Times New Roman" w:hAnsi="Times New Roman"/>
          <w:sz w:val="16"/>
          <w:szCs w:val="16"/>
          <w:color w:val="auto"/>
        </w:rPr>
        <w:t>10.26</w:t>
      </w:r>
      <w:r>
        <w:rPr>
          <w:sz w:val="20"/>
          <w:szCs w:val="20"/>
          <w:color w:val="auto"/>
        </w:rPr>
        <w:tab/>
      </w:r>
      <w:r>
        <w:rPr>
          <w:rFonts w:ascii="Times New Roman" w:cs="Times New Roman" w:eastAsia="Times New Roman" w:hAnsi="Times New Roman"/>
          <w:sz w:val="16"/>
          <w:szCs w:val="16"/>
          <w:color w:val="auto"/>
        </w:rPr>
        <w:t>Amendment Deed dated August 12, 2023, by and between Reading Entertainment Australia Pty Ltd and National Australia Bank Limited</w:t>
      </w:r>
    </w:p>
    <w:p>
      <w:pPr>
        <w:spacing w:after="0" w:line="20" w:lineRule="exact"/>
        <w:rPr>
          <w:sz w:val="20"/>
          <w:szCs w:val="20"/>
          <w:color w:val="auto"/>
        </w:rPr>
      </w:pPr>
      <w:r>
        <w:rPr>
          <w:sz w:val="20"/>
          <w:szCs w:val="20"/>
          <w:color w:val="auto"/>
        </w:rPr>
        <w:br w:type="column"/>
      </w:r>
    </w:p>
    <w:p>
      <w:pPr>
        <w:ind w:right="80"/>
        <w:spacing w:after="0" w:line="258" w:lineRule="auto"/>
        <w:rPr>
          <w:rFonts w:ascii="Times New Roman" w:cs="Times New Roman" w:eastAsia="Times New Roman" w:hAnsi="Times New Roman"/>
          <w:sz w:val="16"/>
          <w:szCs w:val="16"/>
          <w:b w:val="1"/>
          <w:bCs w:val="1"/>
          <w:color w:val="0000FF"/>
        </w:rPr>
      </w:pPr>
      <w:hyperlink r:id="rId5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10.2 to the Company’s Quarterly Report on Form 10-Q for</w:t>
        </w:r>
      </w:hyperlink>
      <w:r>
        <w:rPr>
          <w:rFonts w:ascii="Times New Roman" w:cs="Times New Roman" w:eastAsia="Times New Roman" w:hAnsi="Times New Roman"/>
          <w:sz w:val="16"/>
          <w:szCs w:val="16"/>
          <w:color w:val="auto"/>
        </w:rPr>
        <w:t xml:space="preserve"> </w:t>
      </w:r>
      <w:hyperlink r:id="rId58">
        <w:r>
          <w:rPr>
            <w:rFonts w:ascii="Times New Roman" w:cs="Times New Roman" w:eastAsia="Times New Roman" w:hAnsi="Times New Roman"/>
            <w:sz w:val="16"/>
            <w:szCs w:val="16"/>
            <w:b w:val="1"/>
            <w:bCs w:val="1"/>
            <w:u w:val="single" w:color="auto"/>
            <w:color w:val="0000FF"/>
          </w:rPr>
          <w:t>the quarter ended June 30, 2020</w:t>
        </w:r>
        <w:r>
          <w:rPr>
            <w:rFonts w:ascii="Times New Roman" w:cs="Times New Roman" w:eastAsia="Times New Roman" w:hAnsi="Times New Roman"/>
            <w:sz w:val="16"/>
            <w:szCs w:val="16"/>
            <w:b w:val="1"/>
            <w:bCs w:val="1"/>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p>
      <w:pPr>
        <w:ind w:right="80"/>
        <w:spacing w:after="0" w:line="246" w:lineRule="auto"/>
        <w:rPr>
          <w:rFonts w:ascii="Times New Roman" w:cs="Times New Roman" w:eastAsia="Times New Roman" w:hAnsi="Times New Roman"/>
          <w:sz w:val="16"/>
          <w:szCs w:val="16"/>
          <w:b w:val="1"/>
          <w:bCs w:val="1"/>
          <w:color w:val="0000FF"/>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10.2 to the Company’s Quarterly Report on Form 10-Q for</w:t>
        </w:r>
      </w:hyperlink>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6"/>
            <w:szCs w:val="16"/>
            <w:b w:val="1"/>
            <w:bCs w:val="1"/>
            <w:u w:val="single" w:color="auto"/>
            <w:color w:val="0000FF"/>
          </w:rPr>
          <w:t>the quarter ended June 30, 2021</w:t>
        </w:r>
        <w:r>
          <w:rPr>
            <w:rFonts w:ascii="Times New Roman" w:cs="Times New Roman" w:eastAsia="Times New Roman" w:hAnsi="Times New Roman"/>
            <w:sz w:val="16"/>
            <w:szCs w:val="16"/>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-138430</wp:posOffset>
            </wp:positionV>
            <wp:extent cx="29616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29616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1411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ind w:right="80"/>
        <w:spacing w:after="0" w:line="257" w:lineRule="auto"/>
        <w:rPr>
          <w:rFonts w:ascii="Times New Roman" w:cs="Times New Roman" w:eastAsia="Times New Roman" w:hAnsi="Times New Roman"/>
          <w:sz w:val="16"/>
          <w:szCs w:val="16"/>
          <w:b w:val="1"/>
          <w:bCs w:val="1"/>
          <w:color w:val="0000FF"/>
        </w:rPr>
      </w:pPr>
      <w:hyperlink r:id="rId5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10.3 to the Company’s Quarterly Report on Form 10-Q for</w:t>
        </w:r>
      </w:hyperlink>
      <w:r>
        <w:rPr>
          <w:rFonts w:ascii="Times New Roman" w:cs="Times New Roman" w:eastAsia="Times New Roman" w:hAnsi="Times New Roman"/>
          <w:sz w:val="16"/>
          <w:szCs w:val="16"/>
          <w:color w:val="auto"/>
        </w:rPr>
        <w:t xml:space="preserve"> </w:t>
      </w:r>
      <w:hyperlink r:id="rId59">
        <w:r>
          <w:rPr>
            <w:rFonts w:ascii="Times New Roman" w:cs="Times New Roman" w:eastAsia="Times New Roman" w:hAnsi="Times New Roman"/>
            <w:sz w:val="16"/>
            <w:szCs w:val="16"/>
            <w:b w:val="1"/>
            <w:bCs w:val="1"/>
            <w:u w:val="single" w:color="auto"/>
            <w:color w:val="0000FF"/>
          </w:rPr>
          <w:t>the quarter ended June 30, 2021</w:t>
        </w:r>
        <w:r>
          <w:rPr>
            <w:rFonts w:ascii="Times New Roman" w:cs="Times New Roman" w:eastAsia="Times New Roman" w:hAnsi="Times New Roman"/>
            <w:sz w:val="16"/>
            <w:szCs w:val="16"/>
            <w:color w:val="000000"/>
          </w:rPr>
          <w:t>, and incorporated herein by reference.</w:t>
        </w:r>
      </w:hyperlink>
    </w:p>
    <w:p>
      <w:pPr>
        <w:spacing w:after="0" w:line="139" w:lineRule="exact"/>
        <w:rPr>
          <w:sz w:val="20"/>
          <w:szCs w:val="20"/>
          <w:color w:val="auto"/>
        </w:rPr>
      </w:pPr>
    </w:p>
    <w:p>
      <w:pPr>
        <w:ind w:right="80"/>
        <w:spacing w:after="0" w:line="248" w:lineRule="auto"/>
        <w:rPr>
          <w:rFonts w:ascii="Times New Roman" w:cs="Times New Roman" w:eastAsia="Times New Roman" w:hAnsi="Times New Roman"/>
          <w:sz w:val="16"/>
          <w:szCs w:val="16"/>
          <w:b w:val="1"/>
          <w:bCs w:val="1"/>
          <w:color w:val="0000FF"/>
        </w:rPr>
      </w:pPr>
      <w:hyperlink r:id="rId6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10.1 to the Company’s Quarterly Report on Form 10-Q for</w:t>
        </w:r>
      </w:hyperlink>
      <w:r>
        <w:rPr>
          <w:rFonts w:ascii="Times New Roman" w:cs="Times New Roman" w:eastAsia="Times New Roman" w:hAnsi="Times New Roman"/>
          <w:sz w:val="16"/>
          <w:szCs w:val="16"/>
          <w:color w:val="auto"/>
        </w:rPr>
        <w:t xml:space="preserve"> </w:t>
      </w:r>
      <w:hyperlink r:id="rId62">
        <w:r>
          <w:rPr>
            <w:rFonts w:ascii="Times New Roman" w:cs="Times New Roman" w:eastAsia="Times New Roman" w:hAnsi="Times New Roman"/>
            <w:sz w:val="16"/>
            <w:szCs w:val="16"/>
            <w:b w:val="1"/>
            <w:bCs w:val="1"/>
            <w:u w:val="single" w:color="auto"/>
            <w:color w:val="0000FF"/>
          </w:rPr>
          <w:t>the quarter ended September 30, 2021</w:t>
        </w:r>
        <w:r>
          <w:rPr>
            <w:rFonts w:ascii="Times New Roman" w:cs="Times New Roman" w:eastAsia="Times New Roman" w:hAnsi="Times New Roman"/>
            <w:sz w:val="16"/>
            <w:szCs w:val="16"/>
            <w:color w:val="000000"/>
          </w:rPr>
          <w:t>, and incorporated herein by reference.</w:t>
        </w:r>
      </w:hyperlink>
      <w:r>
        <w:rPr>
          <w:rFonts w:ascii="Times New Roman" w:cs="Times New Roman" w:eastAsia="Times New Roman" w:hAnsi="Times New Roman"/>
          <w:sz w:val="16"/>
          <w:szCs w:val="16"/>
          <w:b w:val="1"/>
          <w:bCs w:val="1"/>
          <w:color w:val="0000FF"/>
        </w:rPr>
        <w:t xml:space="preserve"> </w:t>
      </w:r>
      <w:hyperlink r:id="rId63">
        <w:r>
          <w:rPr>
            <w:rFonts w:ascii="Times New Roman" w:cs="Times New Roman" w:eastAsia="Times New Roman" w:hAnsi="Times New Roman"/>
            <w:sz w:val="16"/>
            <w:szCs w:val="16"/>
            <w:color w:val="000000"/>
          </w:rPr>
          <w:t xml:space="preserve">Filed as </w:t>
        </w:r>
        <w:r>
          <w:rPr>
            <w:rFonts w:ascii="Times New Roman" w:cs="Times New Roman" w:eastAsia="Times New Roman" w:hAnsi="Times New Roman"/>
            <w:sz w:val="16"/>
            <w:szCs w:val="16"/>
            <w:b w:val="1"/>
            <w:bCs w:val="1"/>
            <w:u w:val="single" w:color="auto"/>
            <w:color w:val="0000FF"/>
          </w:rPr>
          <w:t>Exhibit 10.45 to the Company’s Annual Report on Form 10-K for</w:t>
        </w:r>
      </w:hyperlink>
      <w:r>
        <w:rPr>
          <w:rFonts w:ascii="Times New Roman" w:cs="Times New Roman" w:eastAsia="Times New Roman" w:hAnsi="Times New Roman"/>
          <w:sz w:val="16"/>
          <w:szCs w:val="16"/>
          <w:color w:val="000000"/>
        </w:rPr>
        <w:t xml:space="preserve"> </w:t>
      </w:r>
      <w:hyperlink r:id="rId63">
        <w:r>
          <w:rPr>
            <w:rFonts w:ascii="Times New Roman" w:cs="Times New Roman" w:eastAsia="Times New Roman" w:hAnsi="Times New Roman"/>
            <w:sz w:val="16"/>
            <w:szCs w:val="16"/>
            <w:b w:val="1"/>
            <w:bCs w:val="1"/>
            <w:u w:val="single" w:color="auto"/>
            <w:color w:val="0000FF"/>
          </w:rPr>
          <w:t>the year ended December 31, 2021</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filed on March 16, 2022 and incorporated</w:t>
        </w:r>
      </w:hyperlink>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herein by reference.</w:t>
      </w:r>
    </w:p>
    <w:p>
      <w:pPr>
        <w:spacing w:after="0" w:line="20" w:lineRule="exact"/>
        <w:rPr>
          <w:rFonts w:ascii="Times New Roman" w:cs="Times New Roman" w:eastAsia="Times New Roman" w:hAnsi="Times New Roman"/>
          <w:sz w:val="16"/>
          <w:szCs w:val="16"/>
          <w:b w:val="1"/>
          <w:bCs w:val="1"/>
          <w:color w:val="0000FF"/>
        </w:rPr>
      </w:pPr>
      <w:r>
        <w:rPr>
          <w:rFonts w:ascii="Times New Roman" w:cs="Times New Roman" w:eastAsia="Times New Roman" w:hAnsi="Times New Roman"/>
          <w:sz w:val="16"/>
          <w:szCs w:val="16"/>
          <w:b w:val="1"/>
          <w:bCs w:val="1"/>
          <w:color w:val="0000FF"/>
        </w:rPr>
        <w:drawing>
          <wp:anchor simplePos="0" relativeHeight="251657728" behindDoc="1" locked="0" layoutInCell="0" allowOverlap="1">
            <wp:simplePos x="0" y="0"/>
            <wp:positionH relativeFrom="column">
              <wp:posOffset>353695</wp:posOffset>
            </wp:positionH>
            <wp:positionV relativeFrom="paragraph">
              <wp:posOffset>-490220</wp:posOffset>
            </wp:positionV>
            <wp:extent cx="2961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2961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-370205</wp:posOffset>
            </wp:positionV>
            <wp:extent cx="16744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ind w:right="360"/>
        <w:spacing w:after="0" w:line="257" w:lineRule="auto"/>
        <w:rPr>
          <w:rFonts w:ascii="Times New Roman" w:cs="Times New Roman" w:eastAsia="Times New Roman" w:hAnsi="Times New Roman"/>
          <w:sz w:val="16"/>
          <w:szCs w:val="16"/>
          <w:b w:val="1"/>
          <w:bCs w:val="1"/>
          <w:color w:val="0000FF"/>
        </w:rPr>
      </w:pPr>
      <w:hyperlink r:id="rId6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10.1 to the Company’s report on Form 8- K (file no. 1-</w:t>
        </w:r>
      </w:hyperlink>
      <w:hyperlink r:id="rId66">
        <w:r>
          <w:rPr>
            <w:rFonts w:ascii="Times New Roman" w:cs="Times New Roman" w:eastAsia="Times New Roman" w:hAnsi="Times New Roman"/>
            <w:sz w:val="16"/>
            <w:szCs w:val="16"/>
            <w:b w:val="1"/>
            <w:bCs w:val="1"/>
            <w:u w:val="single" w:color="auto"/>
            <w:color w:val="0000FF"/>
          </w:rPr>
          <w:t>8625),</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filed on December 22, 2022,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-149225</wp:posOffset>
            </wp:positionV>
            <wp:extent cx="27514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265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308" w:lineRule="exact"/>
        <w:rPr>
          <w:sz w:val="20"/>
          <w:szCs w:val="20"/>
          <w:color w:val="auto"/>
        </w:rPr>
      </w:pPr>
    </w:p>
    <w:p>
      <w:pPr>
        <w:ind w:right="80"/>
        <w:spacing w:after="0" w:line="259" w:lineRule="auto"/>
        <w:rPr>
          <w:rFonts w:ascii="Times New Roman" w:cs="Times New Roman" w:eastAsia="Times New Roman" w:hAnsi="Times New Roman"/>
          <w:sz w:val="16"/>
          <w:szCs w:val="16"/>
          <w:b w:val="1"/>
          <w:bCs w:val="1"/>
          <w:color w:val="0000FF"/>
        </w:rPr>
      </w:pPr>
      <w:hyperlink r:id="rId6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10.1 to the Company’s Quarterly Report on Form 10-Q for</w:t>
        </w:r>
      </w:hyperlink>
      <w:r>
        <w:rPr>
          <w:rFonts w:ascii="Times New Roman" w:cs="Times New Roman" w:eastAsia="Times New Roman" w:hAnsi="Times New Roman"/>
          <w:sz w:val="16"/>
          <w:szCs w:val="16"/>
          <w:color w:val="auto"/>
        </w:rPr>
        <w:t xml:space="preserve"> </w:t>
      </w:r>
      <w:hyperlink r:id="rId69">
        <w:r>
          <w:rPr>
            <w:rFonts w:ascii="Times New Roman" w:cs="Times New Roman" w:eastAsia="Times New Roman" w:hAnsi="Times New Roman"/>
            <w:sz w:val="16"/>
            <w:szCs w:val="16"/>
            <w:b w:val="1"/>
            <w:bCs w:val="1"/>
            <w:u w:val="single" w:color="auto"/>
            <w:color w:val="0000FF"/>
          </w:rPr>
          <w:t>the quarter ended June 30, 2023</w:t>
        </w:r>
        <w:r>
          <w:rPr>
            <w:rFonts w:ascii="Times New Roman" w:cs="Times New Roman" w:eastAsia="Times New Roman" w:hAnsi="Times New Roman"/>
            <w:sz w:val="16"/>
            <w:szCs w:val="16"/>
            <w:color w:val="000000"/>
          </w:rPr>
          <w:t>, and incorporated herein by reference.</w:t>
        </w:r>
      </w:hyperlink>
    </w:p>
    <w:p>
      <w:pPr>
        <w:spacing w:after="0" w:line="1" w:lineRule="exact"/>
        <w:rPr>
          <w:sz w:val="20"/>
          <w:szCs w:val="20"/>
          <w:color w:val="auto"/>
        </w:rPr>
      </w:pPr>
    </w:p>
    <w:p>
      <w:pPr>
        <w:jc w:val="both"/>
        <w:ind w:right="100"/>
        <w:spacing w:after="0" w:line="244" w:lineRule="auto"/>
        <w:rPr>
          <w:rFonts w:ascii="Times New Roman" w:cs="Times New Roman" w:eastAsia="Times New Roman" w:hAnsi="Times New Roman"/>
          <w:sz w:val="16"/>
          <w:szCs w:val="16"/>
          <w:b w:val="1"/>
          <w:bCs w:val="1"/>
          <w:color w:val="0000FF"/>
        </w:rPr>
      </w:pPr>
      <w:hyperlink r:id="rId70">
        <w:r>
          <w:rPr>
            <w:rFonts w:ascii="Times New Roman" w:cs="Times New Roman" w:eastAsia="Times New Roman" w:hAnsi="Times New Roman"/>
            <w:sz w:val="16"/>
            <w:szCs w:val="16"/>
            <w:color w:val="auto"/>
          </w:rPr>
          <w:t>Filed as</w:t>
        </w:r>
        <w:r>
          <w:rPr>
            <w:rFonts w:ascii="Times New Roman" w:cs="Times New Roman" w:eastAsia="Times New Roman" w:hAnsi="Times New Roman"/>
            <w:sz w:val="16"/>
            <w:szCs w:val="16"/>
            <w:b w:val="1"/>
            <w:bCs w:val="1"/>
            <w:u w:val="single" w:color="auto"/>
            <w:color w:val="0000FF"/>
          </w:rPr>
          <w:t>Exhibit 10.1 to the Company’s Quarterly Report on Form 10-Q for</w:t>
        </w:r>
      </w:hyperlink>
      <w:r>
        <w:rPr>
          <w:rFonts w:ascii="Times New Roman" w:cs="Times New Roman" w:eastAsia="Times New Roman" w:hAnsi="Times New Roman"/>
          <w:sz w:val="16"/>
          <w:szCs w:val="16"/>
          <w:color w:val="auto"/>
        </w:rPr>
        <w:t xml:space="preserve"> </w:t>
      </w:r>
      <w:hyperlink r:id="rId70">
        <w:r>
          <w:rPr>
            <w:rFonts w:ascii="Times New Roman" w:cs="Times New Roman" w:eastAsia="Times New Roman" w:hAnsi="Times New Roman"/>
            <w:sz w:val="16"/>
            <w:szCs w:val="16"/>
            <w:b w:val="1"/>
            <w:bCs w:val="1"/>
            <w:u w:val="single" w:color="auto"/>
            <w:color w:val="0000FF"/>
          </w:rPr>
          <w:t>the quarter ended September 30, 2023</w:t>
        </w:r>
        <w:r>
          <w:rPr>
            <w:rFonts w:ascii="Times New Roman" w:cs="Times New Roman" w:eastAsia="Times New Roman" w:hAnsi="Times New Roman"/>
            <w:sz w:val="16"/>
            <w:szCs w:val="16"/>
            <w:color w:val="000000"/>
          </w:rPr>
          <w:t>,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-136525</wp:posOffset>
            </wp:positionV>
            <wp:extent cx="2961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29616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16744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167449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40" w:space="40"/>
            <w:col w:w="5260"/>
          </w:cols>
          <w:pgMar w:left="320" w:top="10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1100" w:type="dxa"/>
            <w:vAlign w:val="bottom"/>
            <w:shd w:val="clear" w:color="auto" w:fill="BDE1E9"/>
          </w:tcPr>
          <w:p>
            <w:pPr>
              <w:jc w:val="center"/>
              <w:ind w:left="139"/>
              <w:spacing w:after="0"/>
              <w:rPr>
                <w:sz w:val="20"/>
                <w:szCs w:val="20"/>
                <w:color w:val="auto"/>
              </w:rPr>
            </w:pPr>
            <w:r>
              <w:rPr>
                <w:rFonts w:ascii="Times New Roman" w:cs="Times New Roman" w:eastAsia="Times New Roman" w:hAnsi="Times New Roman"/>
                <w:sz w:val="16"/>
                <w:szCs w:val="16"/>
                <w:color w:val="auto"/>
                <w:w w:val="99"/>
              </w:rPr>
              <w:t>10.27</w:t>
            </w:r>
          </w:p>
        </w:tc>
        <w:tc>
          <w:tcPr>
            <w:tcW w:w="4840" w:type="dxa"/>
            <w:vAlign w:val="bottom"/>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Deed of Subordination dated October 26, 2023, by and between</w:t>
            </w:r>
          </w:p>
        </w:tc>
        <w:tc>
          <w:tcPr>
            <w:tcW w:w="5300" w:type="dxa"/>
            <w:vAlign w:val="bottom"/>
            <w:gridSpan w:val="14"/>
            <w:shd w:val="clear" w:color="auto" w:fill="BDE1E9"/>
          </w:tcPr>
          <w:p>
            <w:pPr>
              <w:ind w:left="40"/>
              <w:spacing w:after="0"/>
              <w:rPr>
                <w:rFonts w:ascii="Times New Roman" w:cs="Times New Roman" w:eastAsia="Times New Roman" w:hAnsi="Times New Roman"/>
                <w:sz w:val="16"/>
                <w:szCs w:val="16"/>
                <w:color w:val="auto"/>
              </w:rPr>
            </w:pPr>
            <w:hyperlink r:id="rId74">
              <w:r>
                <w:rPr>
                  <w:rFonts w:ascii="Times New Roman" w:cs="Times New Roman" w:eastAsia="Times New Roman" w:hAnsi="Times New Roman"/>
                  <w:sz w:val="16"/>
                  <w:szCs w:val="16"/>
                  <w:color w:val="auto"/>
                </w:rPr>
                <w:t>Filed as</w:t>
              </w:r>
              <w:r>
                <w:rPr>
                  <w:rFonts w:ascii="Times New Roman" w:cs="Times New Roman" w:eastAsia="Times New Roman" w:hAnsi="Times New Roman"/>
                  <w:sz w:val="16"/>
                  <w:szCs w:val="16"/>
                  <w:b w:val="1"/>
                  <w:bCs w:val="1"/>
                  <w:color w:val="0000FF"/>
                </w:rPr>
                <w:t>Exhibit 10.28 to the Company’s report on Form 10-K for the year</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BDE1E9"/>
            </w:tcBorders>
            <w:shd w:val="clear" w:color="auto" w:fill="BDE1E9"/>
          </w:tcPr>
          <w:p>
            <w:pPr>
              <w:spacing w:after="0"/>
              <w:rPr>
                <w:sz w:val="14"/>
                <w:szCs w:val="14"/>
                <w:color w:val="auto"/>
              </w:rPr>
            </w:pPr>
          </w:p>
        </w:tc>
        <w:tc>
          <w:tcPr>
            <w:tcW w:w="4840" w:type="dxa"/>
            <w:vAlign w:val="bottom"/>
            <w:tcBorders>
              <w:top w:val="single" w:sz="8" w:color="BDE1E9"/>
            </w:tcBorders>
            <w:shd w:val="clear" w:color="auto" w:fill="BDE1E9"/>
          </w:tcPr>
          <w:p>
            <w:pPr>
              <w:ind w:left="220"/>
              <w:spacing w:after="0" w:line="169" w:lineRule="exact"/>
              <w:rPr>
                <w:sz w:val="20"/>
                <w:szCs w:val="20"/>
                <w:color w:val="auto"/>
              </w:rPr>
            </w:pPr>
            <w:r>
              <w:rPr>
                <w:rFonts w:ascii="Times New Roman" w:cs="Times New Roman" w:eastAsia="Times New Roman" w:hAnsi="Times New Roman"/>
                <w:sz w:val="16"/>
                <w:szCs w:val="16"/>
                <w:color w:val="auto"/>
              </w:rPr>
              <w:t>Reading Entertainment Australia Pty Ltd and National Australia Bank</w:t>
            </w:r>
          </w:p>
        </w:tc>
        <w:tc>
          <w:tcPr>
            <w:tcW w:w="600" w:type="dxa"/>
            <w:vAlign w:val="bottom"/>
            <w:tcBorders>
              <w:top w:val="single" w:sz="8" w:color="BDE1E9"/>
              <w:right w:val="single" w:sz="8" w:color="BDE1E9"/>
            </w:tcBorders>
            <w:gridSpan w:val="2"/>
            <w:shd w:val="clear" w:color="auto" w:fill="BDE1E9"/>
          </w:tcPr>
          <w:p>
            <w:pPr>
              <w:ind w:left="40"/>
              <w:spacing w:after="0" w:line="169" w:lineRule="exact"/>
              <w:rPr>
                <w:rFonts w:ascii="Times New Roman" w:cs="Times New Roman" w:eastAsia="Times New Roman" w:hAnsi="Times New Roman"/>
                <w:sz w:val="16"/>
                <w:szCs w:val="16"/>
                <w:b w:val="1"/>
                <w:bCs w:val="1"/>
                <w:color w:val="0000FF"/>
              </w:rPr>
            </w:pPr>
            <w:hyperlink r:id="rId74">
              <w:r>
                <w:rPr>
                  <w:rFonts w:ascii="Times New Roman" w:cs="Times New Roman" w:eastAsia="Times New Roman" w:hAnsi="Times New Roman"/>
                  <w:sz w:val="16"/>
                  <w:szCs w:val="16"/>
                  <w:b w:val="1"/>
                  <w:bCs w:val="1"/>
                  <w:color w:val="0000FF"/>
                </w:rPr>
                <w:t>ended</w:t>
              </w:r>
            </w:hyperlink>
          </w:p>
        </w:tc>
        <w:tc>
          <w:tcPr>
            <w:tcW w:w="4560" w:type="dxa"/>
            <w:vAlign w:val="bottom"/>
            <w:tcBorders>
              <w:top w:val="single" w:sz="8" w:color="0000FF"/>
              <w:right w:val="single" w:sz="8" w:color="BDE1E9"/>
            </w:tcBorders>
            <w:gridSpan w:val="10"/>
            <w:shd w:val="clear" w:color="auto" w:fill="BDE1E9"/>
          </w:tcPr>
          <w:p>
            <w:pPr>
              <w:spacing w:after="0" w:line="169" w:lineRule="exact"/>
              <w:rPr>
                <w:rFonts w:ascii="Times New Roman" w:cs="Times New Roman" w:eastAsia="Times New Roman" w:hAnsi="Times New Roman"/>
                <w:sz w:val="16"/>
                <w:szCs w:val="16"/>
                <w:b w:val="1"/>
                <w:bCs w:val="1"/>
                <w:color w:val="0000FF"/>
              </w:rPr>
            </w:pPr>
            <w:hyperlink r:id="rId74">
              <w:r>
                <w:rPr>
                  <w:rFonts w:ascii="Times New Roman" w:cs="Times New Roman" w:eastAsia="Times New Roman" w:hAnsi="Times New Roman"/>
                  <w:sz w:val="16"/>
                  <w:szCs w:val="16"/>
                  <w:b w:val="1"/>
                  <w:bCs w:val="1"/>
                  <w:color w:val="0000FF"/>
                </w:rPr>
                <w:t>December 31, 2023</w:t>
              </w:r>
              <w:r>
                <w:rPr>
                  <w:rFonts w:ascii="Times New Roman" w:cs="Times New Roman" w:eastAsia="Times New Roman" w:hAnsi="Times New Roman"/>
                  <w:sz w:val="16"/>
                  <w:szCs w:val="16"/>
                  <w:color w:val="000000"/>
                </w:rPr>
                <w:t>, and incorporated herein by reference.</w:t>
              </w:r>
            </w:hyperlink>
          </w:p>
        </w:tc>
        <w:tc>
          <w:tcPr>
            <w:tcW w:w="100" w:type="dxa"/>
            <w:vAlign w:val="bottom"/>
            <w:tcBorders>
              <w:top w:val="single" w:sz="8" w:color="BDE1E9"/>
              <w:right w:val="single" w:sz="8" w:color="BDE1E9"/>
            </w:tcBorders>
            <w:shd w:val="clear" w:color="auto" w:fill="BDE1E9"/>
          </w:tcPr>
          <w:p>
            <w:pPr>
              <w:spacing w:after="0"/>
              <w:rPr>
                <w:sz w:val="14"/>
                <w:szCs w:val="14"/>
                <w:color w:val="auto"/>
              </w:rPr>
            </w:pPr>
          </w:p>
        </w:tc>
        <w:tc>
          <w:tcPr>
            <w:tcW w:w="40" w:type="dxa"/>
            <w:vAlign w:val="bottom"/>
            <w:tcBorders>
              <w:top w:val="single" w:sz="8" w:color="BDE1E9"/>
              <w:left w:val="single" w:sz="8" w:color="BDE1E9"/>
            </w:tcBorders>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Borders>
              <w:top w:val="single" w:sz="8" w:color="BDE1E9"/>
            </w:tcBorders>
            <w:shd w:val="clear" w:color="auto" w:fill="BDE1E9"/>
          </w:tcPr>
          <w:p>
            <w:pPr>
              <w:spacing w:after="0"/>
              <w:rPr>
                <w:sz w:val="17"/>
                <w:szCs w:val="17"/>
                <w:color w:val="auto"/>
              </w:rPr>
            </w:pPr>
          </w:p>
        </w:tc>
        <w:tc>
          <w:tcPr>
            <w:tcW w:w="4840" w:type="dxa"/>
            <w:vAlign w:val="bottom"/>
            <w:tcBorders>
              <w:top w:val="single" w:sz="8" w:color="BDE1E9"/>
            </w:tcBorders>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Limited</w:t>
            </w:r>
          </w:p>
        </w:tc>
        <w:tc>
          <w:tcPr>
            <w:tcW w:w="40" w:type="dxa"/>
            <w:vAlign w:val="bottom"/>
            <w:tcBorders>
              <w:top w:val="single" w:sz="8" w:color="BDE1E9"/>
            </w:tcBorders>
            <w:shd w:val="clear" w:color="auto" w:fill="BDE1E9"/>
          </w:tcPr>
          <w:p>
            <w:pPr>
              <w:spacing w:after="0"/>
              <w:rPr>
                <w:sz w:val="17"/>
                <w:szCs w:val="17"/>
                <w:color w:val="auto"/>
              </w:rPr>
            </w:pPr>
          </w:p>
        </w:tc>
        <w:tc>
          <w:tcPr>
            <w:tcW w:w="560" w:type="dxa"/>
            <w:vAlign w:val="bottom"/>
            <w:tcBorders>
              <w:top w:val="single" w:sz="8" w:color="0000FF"/>
              <w:right w:val="single" w:sz="8" w:color="BDE1E9"/>
            </w:tcBorders>
            <w:shd w:val="clear" w:color="auto" w:fill="BDE1E9"/>
          </w:tcPr>
          <w:p>
            <w:pPr>
              <w:spacing w:after="0"/>
              <w:rPr>
                <w:sz w:val="17"/>
                <w:szCs w:val="17"/>
                <w:color w:val="auto"/>
              </w:rPr>
            </w:pPr>
          </w:p>
        </w:tc>
        <w:tc>
          <w:tcPr>
            <w:tcW w:w="1200" w:type="dxa"/>
            <w:vAlign w:val="bottom"/>
            <w:tcBorders>
              <w:top w:val="single" w:sz="8" w:color="0000FF"/>
            </w:tcBorders>
            <w:shd w:val="clear" w:color="auto" w:fill="BDE1E9"/>
          </w:tcPr>
          <w:p>
            <w:pPr>
              <w:spacing w:after="0"/>
              <w:rPr>
                <w:sz w:val="17"/>
                <w:szCs w:val="17"/>
                <w:color w:val="auto"/>
              </w:rPr>
            </w:pPr>
          </w:p>
        </w:tc>
        <w:tc>
          <w:tcPr>
            <w:tcW w:w="120" w:type="dxa"/>
            <w:vAlign w:val="bottom"/>
            <w:tcBorders>
              <w:top w:val="single" w:sz="8" w:color="BDE1E9"/>
            </w:tcBorders>
            <w:shd w:val="clear" w:color="auto" w:fill="BDE1E9"/>
          </w:tcPr>
          <w:p>
            <w:pPr>
              <w:spacing w:after="0"/>
              <w:rPr>
                <w:sz w:val="17"/>
                <w:szCs w:val="17"/>
                <w:color w:val="auto"/>
              </w:rPr>
            </w:pPr>
          </w:p>
        </w:tc>
        <w:tc>
          <w:tcPr>
            <w:tcW w:w="360" w:type="dxa"/>
            <w:vAlign w:val="bottom"/>
            <w:tcBorders>
              <w:top w:val="single" w:sz="8" w:color="BDE1E9"/>
            </w:tcBorders>
            <w:shd w:val="clear" w:color="auto" w:fill="BDE1E9"/>
          </w:tcPr>
          <w:p>
            <w:pPr>
              <w:spacing w:after="0"/>
              <w:rPr>
                <w:sz w:val="17"/>
                <w:szCs w:val="17"/>
                <w:color w:val="auto"/>
              </w:rPr>
            </w:pPr>
          </w:p>
        </w:tc>
        <w:tc>
          <w:tcPr>
            <w:tcW w:w="40" w:type="dxa"/>
            <w:vAlign w:val="bottom"/>
            <w:tcBorders>
              <w:top w:val="single" w:sz="8" w:color="BDE1E9"/>
            </w:tcBorders>
            <w:shd w:val="clear" w:color="auto" w:fill="BDE1E9"/>
          </w:tcPr>
          <w:p>
            <w:pPr>
              <w:spacing w:after="0"/>
              <w:rPr>
                <w:sz w:val="17"/>
                <w:szCs w:val="17"/>
                <w:color w:val="auto"/>
              </w:rPr>
            </w:pPr>
          </w:p>
        </w:tc>
        <w:tc>
          <w:tcPr>
            <w:tcW w:w="80" w:type="dxa"/>
            <w:vAlign w:val="bottom"/>
            <w:tcBorders>
              <w:top w:val="single" w:sz="8" w:color="BDE1E9"/>
            </w:tcBorders>
            <w:shd w:val="clear" w:color="auto" w:fill="BDE1E9"/>
          </w:tcPr>
          <w:p>
            <w:pPr>
              <w:spacing w:after="0"/>
              <w:rPr>
                <w:sz w:val="17"/>
                <w:szCs w:val="17"/>
                <w:color w:val="auto"/>
              </w:rPr>
            </w:pPr>
          </w:p>
        </w:tc>
        <w:tc>
          <w:tcPr>
            <w:tcW w:w="20" w:type="dxa"/>
            <w:vAlign w:val="bottom"/>
            <w:tcBorders>
              <w:top w:val="single" w:sz="8" w:color="BDE1E9"/>
            </w:tcBorders>
            <w:shd w:val="clear" w:color="auto" w:fill="BDE1E9"/>
          </w:tcPr>
          <w:p>
            <w:pPr>
              <w:spacing w:after="0"/>
              <w:rPr>
                <w:sz w:val="17"/>
                <w:szCs w:val="17"/>
                <w:color w:val="auto"/>
              </w:rPr>
            </w:pPr>
          </w:p>
        </w:tc>
        <w:tc>
          <w:tcPr>
            <w:tcW w:w="20" w:type="dxa"/>
            <w:vAlign w:val="bottom"/>
            <w:tcBorders>
              <w:top w:val="single" w:sz="8" w:color="BDE1E9"/>
            </w:tcBorders>
            <w:shd w:val="clear" w:color="auto" w:fill="BDE1E9"/>
          </w:tcPr>
          <w:p>
            <w:pPr>
              <w:spacing w:after="0"/>
              <w:rPr>
                <w:sz w:val="17"/>
                <w:szCs w:val="17"/>
                <w:color w:val="auto"/>
              </w:rPr>
            </w:pPr>
          </w:p>
        </w:tc>
        <w:tc>
          <w:tcPr>
            <w:tcW w:w="240" w:type="dxa"/>
            <w:vAlign w:val="bottom"/>
            <w:tcBorders>
              <w:top w:val="single" w:sz="8" w:color="BDE1E9"/>
            </w:tcBorders>
            <w:shd w:val="clear" w:color="auto" w:fill="BDE1E9"/>
          </w:tcPr>
          <w:p>
            <w:pPr>
              <w:spacing w:after="0"/>
              <w:rPr>
                <w:sz w:val="17"/>
                <w:szCs w:val="17"/>
                <w:color w:val="auto"/>
              </w:rPr>
            </w:pPr>
          </w:p>
        </w:tc>
        <w:tc>
          <w:tcPr>
            <w:tcW w:w="2300" w:type="dxa"/>
            <w:vAlign w:val="bottom"/>
            <w:tcBorders>
              <w:top w:val="single" w:sz="8" w:color="BDE1E9"/>
            </w:tcBorders>
            <w:shd w:val="clear" w:color="auto" w:fill="BDE1E9"/>
          </w:tcPr>
          <w:p>
            <w:pPr>
              <w:spacing w:after="0"/>
              <w:rPr>
                <w:sz w:val="17"/>
                <w:szCs w:val="17"/>
                <w:color w:val="auto"/>
              </w:rPr>
            </w:pPr>
          </w:p>
        </w:tc>
        <w:tc>
          <w:tcPr>
            <w:tcW w:w="180" w:type="dxa"/>
            <w:vAlign w:val="bottom"/>
            <w:tcBorders>
              <w:top w:val="single" w:sz="8" w:color="BDE1E9"/>
              <w:right w:val="single" w:sz="8" w:color="BDE1E9"/>
            </w:tcBorders>
            <w:shd w:val="clear" w:color="auto" w:fill="BDE1E9"/>
          </w:tcPr>
          <w:p>
            <w:pPr>
              <w:spacing w:after="0"/>
              <w:rPr>
                <w:sz w:val="17"/>
                <w:szCs w:val="17"/>
                <w:color w:val="auto"/>
              </w:rPr>
            </w:pPr>
          </w:p>
        </w:tc>
        <w:tc>
          <w:tcPr>
            <w:tcW w:w="100" w:type="dxa"/>
            <w:vAlign w:val="bottom"/>
            <w:tcBorders>
              <w:top w:val="single" w:sz="8" w:color="BDE1E9"/>
              <w:right w:val="single" w:sz="8" w:color="BDE1E9"/>
            </w:tcBorders>
            <w:shd w:val="clear" w:color="auto" w:fill="BDE1E9"/>
          </w:tcPr>
          <w:p>
            <w:pPr>
              <w:spacing w:after="0"/>
              <w:rPr>
                <w:sz w:val="17"/>
                <w:szCs w:val="17"/>
                <w:color w:val="auto"/>
              </w:rPr>
            </w:pPr>
          </w:p>
        </w:tc>
        <w:tc>
          <w:tcPr>
            <w:tcW w:w="40" w:type="dxa"/>
            <w:vAlign w:val="bottom"/>
            <w:tcBorders>
              <w:top w:val="single" w:sz="8" w:color="BDE1E9"/>
              <w:left w:val="single" w:sz="8" w:color="BDE1E9"/>
            </w:tcBorders>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10.28†</w:t>
            </w:r>
          </w:p>
        </w:tc>
        <w:tc>
          <w:tcPr>
            <w:tcW w:w="4840" w:type="dxa"/>
            <w:vAlign w:val="bottom"/>
          </w:tcPr>
          <w:p>
            <w:pPr>
              <w:ind w:left="220"/>
              <w:spacing w:after="0" w:line="148" w:lineRule="exact"/>
              <w:rPr>
                <w:sz w:val="20"/>
                <w:szCs w:val="20"/>
                <w:color w:val="auto"/>
              </w:rPr>
            </w:pPr>
            <w:r>
              <w:rPr>
                <w:rFonts w:ascii="Times New Roman" w:cs="Times New Roman" w:eastAsia="Times New Roman" w:hAnsi="Times New Roman"/>
                <w:sz w:val="16"/>
                <w:szCs w:val="16"/>
                <w:color w:val="auto"/>
              </w:rPr>
              <w:t>Amendment Deed dated April 4, 2024, by and between Reading</w:t>
            </w:r>
          </w:p>
        </w:tc>
        <w:tc>
          <w:tcPr>
            <w:tcW w:w="5300" w:type="dxa"/>
            <w:vAlign w:val="bottom"/>
            <w:gridSpan w:val="14"/>
          </w:tcPr>
          <w:p>
            <w:pPr>
              <w:ind w:left="40"/>
              <w:spacing w:after="0" w:line="148" w:lineRule="exact"/>
              <w:rPr>
                <w:rFonts w:ascii="Times New Roman" w:cs="Times New Roman" w:eastAsia="Times New Roman" w:hAnsi="Times New Roman"/>
                <w:sz w:val="16"/>
                <w:szCs w:val="16"/>
                <w:color w:val="auto"/>
              </w:rPr>
            </w:pPr>
            <w:hyperlink r:id="rId7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600" w:type="dxa"/>
            <w:vAlign w:val="bottom"/>
            <w:gridSpan w:val="2"/>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vMerge w:val="continue"/>
          </w:tcPr>
          <w:p>
            <w:pPr>
              <w:spacing w:after="0"/>
              <w:rPr>
                <w:sz w:val="14"/>
                <w:szCs w:val="14"/>
                <w:color w:val="auto"/>
              </w:rPr>
            </w:pPr>
          </w:p>
        </w:tc>
        <w:tc>
          <w:tcPr>
            <w:tcW w:w="5260" w:type="dxa"/>
            <w:vAlign w:val="bottom"/>
            <w:gridSpan w:val="13"/>
          </w:tcPr>
          <w:p>
            <w:pPr>
              <w:ind w:left="40"/>
              <w:spacing w:after="0" w:line="169" w:lineRule="exact"/>
              <w:rPr>
                <w:rFonts w:ascii="Times New Roman" w:cs="Times New Roman" w:eastAsia="Times New Roman" w:hAnsi="Times New Roman"/>
                <w:sz w:val="16"/>
                <w:szCs w:val="16"/>
                <w:b w:val="1"/>
                <w:bCs w:val="1"/>
                <w:color w:val="0000FF"/>
              </w:rPr>
            </w:pPr>
            <w:hyperlink r:id="rId75">
              <w:r>
                <w:rPr>
                  <w:rFonts w:ascii="Times New Roman" w:cs="Times New Roman" w:eastAsia="Times New Roman" w:hAnsi="Times New Roman"/>
                  <w:sz w:val="16"/>
                  <w:szCs w:val="16"/>
                  <w:b w:val="1"/>
                  <w:bCs w:val="1"/>
                  <w:color w:val="0000FF"/>
                </w:rPr>
                <w:t>the quarter ended June 30, 2024</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shd w:val="clear" w:color="auto" w:fill="BDE1E9"/>
          </w:tcPr>
          <w:p>
            <w:pPr>
              <w:jc w:val="center"/>
              <w:ind w:left="139"/>
              <w:spacing w:after="0" w:line="162" w:lineRule="exact"/>
              <w:rPr>
                <w:sz w:val="20"/>
                <w:szCs w:val="20"/>
                <w:color w:val="auto"/>
              </w:rPr>
            </w:pPr>
            <w:r>
              <w:rPr>
                <w:rFonts w:ascii="Times New Roman" w:cs="Times New Roman" w:eastAsia="Times New Roman" w:hAnsi="Times New Roman"/>
                <w:sz w:val="16"/>
                <w:szCs w:val="16"/>
                <w:color w:val="auto"/>
                <w:w w:val="99"/>
              </w:rPr>
              <w:t>10.29†</w:t>
            </w:r>
          </w:p>
        </w:tc>
        <w:tc>
          <w:tcPr>
            <w:tcW w:w="4840" w:type="dxa"/>
            <w:vAlign w:val="bottom"/>
            <w:shd w:val="clear" w:color="auto" w:fill="BDE1E9"/>
          </w:tcPr>
          <w:p>
            <w:pPr>
              <w:ind w:left="220"/>
              <w:spacing w:after="0" w:line="162" w:lineRule="exact"/>
              <w:rPr>
                <w:sz w:val="20"/>
                <w:szCs w:val="20"/>
                <w:color w:val="auto"/>
              </w:rPr>
            </w:pPr>
            <w:r>
              <w:rPr>
                <w:rFonts w:ascii="Times New Roman" w:cs="Times New Roman" w:eastAsia="Times New Roman" w:hAnsi="Times New Roman"/>
                <w:sz w:val="16"/>
                <w:szCs w:val="16"/>
                <w:color w:val="auto"/>
              </w:rPr>
              <w:t>Amendment Deed dated February 19, 2025, by and between Reading</w:t>
            </w:r>
          </w:p>
        </w:tc>
        <w:tc>
          <w:tcPr>
            <w:tcW w:w="5300" w:type="dxa"/>
            <w:vAlign w:val="bottom"/>
            <w:gridSpan w:val="14"/>
            <w:shd w:val="clear" w:color="auto" w:fill="BDE1E9"/>
          </w:tcPr>
          <w:p>
            <w:pPr>
              <w:ind w:left="40"/>
              <w:spacing w:after="0" w:line="162" w:lineRule="exact"/>
              <w:rPr>
                <w:rFonts w:ascii="Times New Roman" w:cs="Times New Roman" w:eastAsia="Times New Roman" w:hAnsi="Times New Roman"/>
                <w:sz w:val="16"/>
                <w:szCs w:val="16"/>
                <w:color w:val="auto"/>
              </w:rPr>
            </w:pPr>
            <w:hyperlink r:id="rId7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10.4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BDE1E9"/>
          </w:tcPr>
          <w:p>
            <w:pPr>
              <w:spacing w:after="0" w:line="20" w:lineRule="exact"/>
              <w:rPr>
                <w:sz w:val="1"/>
                <w:szCs w:val="1"/>
                <w:color w:val="auto"/>
              </w:rPr>
            </w:pPr>
          </w:p>
        </w:tc>
        <w:tc>
          <w:tcPr>
            <w:tcW w:w="4840" w:type="dxa"/>
            <w:vAlign w:val="bottom"/>
            <w:vMerge w:val="restart"/>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600" w:type="dxa"/>
            <w:vAlign w:val="bottom"/>
            <w:tcBorders>
              <w:right w:val="single" w:sz="8" w:color="BDE1E9"/>
            </w:tcBorders>
            <w:gridSpan w:val="2"/>
            <w:shd w:val="clear" w:color="auto" w:fill="BDE1E9"/>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BDE1E9"/>
            </w:tcBorders>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shd w:val="clear" w:color="auto" w:fill="BDE1E9"/>
          </w:tcPr>
          <w:p>
            <w:pPr>
              <w:spacing w:after="0"/>
              <w:rPr>
                <w:sz w:val="17"/>
                <w:szCs w:val="17"/>
                <w:color w:val="auto"/>
              </w:rPr>
            </w:pPr>
          </w:p>
        </w:tc>
        <w:tc>
          <w:tcPr>
            <w:tcW w:w="4840" w:type="dxa"/>
            <w:vAlign w:val="bottom"/>
            <w:vMerge w:val="continue"/>
            <w:shd w:val="clear" w:color="auto" w:fill="BDE1E9"/>
          </w:tcPr>
          <w:p>
            <w:pPr>
              <w:spacing w:after="0"/>
              <w:rPr>
                <w:sz w:val="17"/>
                <w:szCs w:val="17"/>
                <w:color w:val="auto"/>
              </w:rPr>
            </w:pPr>
          </w:p>
        </w:tc>
        <w:tc>
          <w:tcPr>
            <w:tcW w:w="40" w:type="dxa"/>
            <w:vAlign w:val="bottom"/>
            <w:shd w:val="clear" w:color="auto" w:fill="BDE1E9"/>
          </w:tcPr>
          <w:p>
            <w:pPr>
              <w:spacing w:after="0"/>
              <w:rPr>
                <w:sz w:val="17"/>
                <w:szCs w:val="17"/>
                <w:color w:val="auto"/>
              </w:rPr>
            </w:pPr>
          </w:p>
        </w:tc>
        <w:tc>
          <w:tcPr>
            <w:tcW w:w="5260" w:type="dxa"/>
            <w:vAlign w:val="bottom"/>
            <w:gridSpan w:val="13"/>
            <w:shd w:val="clear" w:color="auto" w:fill="BDE1E9"/>
          </w:tcPr>
          <w:p>
            <w:pPr>
              <w:spacing w:after="0"/>
              <w:rPr>
                <w:rFonts w:ascii="Times New Roman" w:cs="Times New Roman" w:eastAsia="Times New Roman" w:hAnsi="Times New Roman"/>
                <w:sz w:val="16"/>
                <w:szCs w:val="16"/>
                <w:b w:val="1"/>
                <w:bCs w:val="1"/>
                <w:color w:val="0000FF"/>
              </w:rPr>
            </w:pPr>
            <w:hyperlink r:id="rId76">
              <w:r>
                <w:rPr>
                  <w:rFonts w:ascii="Times New Roman" w:cs="Times New Roman" w:eastAsia="Times New Roman" w:hAnsi="Times New Roman"/>
                  <w:sz w:val="16"/>
                  <w:szCs w:val="16"/>
                  <w:b w:val="1"/>
                  <w:bCs w:val="1"/>
                  <w:color w:val="0000FF"/>
                </w:rPr>
                <w:t>the quarter ended March 31,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tc>
        <w:tc>
          <w:tcPr>
            <w:tcW w:w="0" w:type="dxa"/>
            <w:vAlign w:val="bottom"/>
          </w:tcPr>
          <w:p>
            <w:pPr>
              <w:spacing w:after="0"/>
              <w:rPr>
                <w:sz w:val="1"/>
                <w:szCs w:val="1"/>
                <w:color w:val="auto"/>
              </w:rPr>
            </w:pPr>
          </w:p>
        </w:tc>
      </w:tr>
      <w:tr>
        <w:trPr>
          <w:trHeight w:val="34"/>
        </w:trPr>
        <w:tc>
          <w:tcPr>
            <w:tcW w:w="1100" w:type="dxa"/>
            <w:vAlign w:val="bottom"/>
            <w:tcBorders>
              <w:top w:val="single" w:sz="8" w:color="BDE1E9"/>
            </w:tcBorders>
            <w:shd w:val="clear" w:color="auto" w:fill="BDE1E9"/>
          </w:tcPr>
          <w:p>
            <w:pPr>
              <w:spacing w:after="0"/>
              <w:rPr>
                <w:sz w:val="2"/>
                <w:szCs w:val="2"/>
                <w:color w:val="auto"/>
              </w:rPr>
            </w:pPr>
          </w:p>
        </w:tc>
        <w:tc>
          <w:tcPr>
            <w:tcW w:w="4840" w:type="dxa"/>
            <w:vAlign w:val="bottom"/>
            <w:tcBorders>
              <w:top w:val="single" w:sz="8" w:color="BDE1E9"/>
            </w:tcBorders>
            <w:shd w:val="clear" w:color="auto" w:fill="BDE1E9"/>
          </w:tcPr>
          <w:p>
            <w:pPr>
              <w:spacing w:after="0"/>
              <w:rPr>
                <w:sz w:val="2"/>
                <w:szCs w:val="2"/>
                <w:color w:val="auto"/>
              </w:rPr>
            </w:pPr>
          </w:p>
        </w:tc>
        <w:tc>
          <w:tcPr>
            <w:tcW w:w="40" w:type="dxa"/>
            <w:vAlign w:val="bottom"/>
            <w:tcBorders>
              <w:top w:val="single" w:sz="8" w:color="BDE1E9"/>
            </w:tcBorders>
            <w:shd w:val="clear" w:color="auto" w:fill="BDE1E9"/>
          </w:tcPr>
          <w:p>
            <w:pPr>
              <w:spacing w:after="0"/>
              <w:rPr>
                <w:sz w:val="2"/>
                <w:szCs w:val="2"/>
                <w:color w:val="auto"/>
              </w:rPr>
            </w:pPr>
          </w:p>
        </w:tc>
        <w:tc>
          <w:tcPr>
            <w:tcW w:w="560" w:type="dxa"/>
            <w:vAlign w:val="bottom"/>
            <w:tcBorders>
              <w:top w:val="single" w:sz="8" w:color="0000FF"/>
              <w:right w:val="single" w:sz="8" w:color="BDE1E9"/>
            </w:tcBorders>
            <w:shd w:val="clear" w:color="auto" w:fill="BDE1E9"/>
          </w:tcPr>
          <w:p>
            <w:pPr>
              <w:spacing w:after="0"/>
              <w:rPr>
                <w:sz w:val="2"/>
                <w:szCs w:val="2"/>
                <w:color w:val="auto"/>
              </w:rPr>
            </w:pPr>
          </w:p>
        </w:tc>
        <w:tc>
          <w:tcPr>
            <w:tcW w:w="1200" w:type="dxa"/>
            <w:vAlign w:val="bottom"/>
            <w:tcBorders>
              <w:top w:val="single" w:sz="8" w:color="0000FF"/>
            </w:tcBorders>
            <w:shd w:val="clear" w:color="auto" w:fill="BDE1E9"/>
          </w:tcPr>
          <w:p>
            <w:pPr>
              <w:spacing w:after="0"/>
              <w:rPr>
                <w:sz w:val="2"/>
                <w:szCs w:val="2"/>
                <w:color w:val="auto"/>
              </w:rPr>
            </w:pPr>
          </w:p>
        </w:tc>
        <w:tc>
          <w:tcPr>
            <w:tcW w:w="120" w:type="dxa"/>
            <w:vAlign w:val="bottom"/>
            <w:tcBorders>
              <w:top w:val="single" w:sz="8" w:color="0000FF"/>
            </w:tcBorders>
            <w:shd w:val="clear" w:color="auto" w:fill="BDE1E9"/>
          </w:tcPr>
          <w:p>
            <w:pPr>
              <w:spacing w:after="0"/>
              <w:rPr>
                <w:sz w:val="2"/>
                <w:szCs w:val="2"/>
                <w:color w:val="auto"/>
              </w:rPr>
            </w:pPr>
          </w:p>
        </w:tc>
        <w:tc>
          <w:tcPr>
            <w:tcW w:w="360" w:type="dxa"/>
            <w:vAlign w:val="bottom"/>
            <w:tcBorders>
              <w:top w:val="single" w:sz="8" w:color="0000FF"/>
            </w:tcBorders>
            <w:shd w:val="clear" w:color="auto" w:fill="BDE1E9"/>
          </w:tcPr>
          <w:p>
            <w:pPr>
              <w:spacing w:after="0"/>
              <w:rPr>
                <w:sz w:val="2"/>
                <w:szCs w:val="2"/>
                <w:color w:val="auto"/>
              </w:rPr>
            </w:pPr>
          </w:p>
        </w:tc>
        <w:tc>
          <w:tcPr>
            <w:tcW w:w="40" w:type="dxa"/>
            <w:vAlign w:val="bottom"/>
            <w:tcBorders>
              <w:top w:val="single" w:sz="8" w:color="0000FF"/>
            </w:tcBorders>
            <w:shd w:val="clear" w:color="auto" w:fill="BDE1E9"/>
          </w:tcPr>
          <w:p>
            <w:pPr>
              <w:spacing w:after="0"/>
              <w:rPr>
                <w:sz w:val="2"/>
                <w:szCs w:val="2"/>
                <w:color w:val="auto"/>
              </w:rPr>
            </w:pPr>
          </w:p>
        </w:tc>
        <w:tc>
          <w:tcPr>
            <w:tcW w:w="80" w:type="dxa"/>
            <w:vAlign w:val="bottom"/>
            <w:tcBorders>
              <w:top w:val="single" w:sz="8" w:color="0000FF"/>
            </w:tcBorders>
            <w:shd w:val="clear" w:color="auto" w:fill="BDE1E9"/>
          </w:tcPr>
          <w:p>
            <w:pPr>
              <w:spacing w:after="0"/>
              <w:rPr>
                <w:sz w:val="2"/>
                <w:szCs w:val="2"/>
                <w:color w:val="auto"/>
              </w:rPr>
            </w:pPr>
          </w:p>
        </w:tc>
        <w:tc>
          <w:tcPr>
            <w:tcW w:w="20" w:type="dxa"/>
            <w:vAlign w:val="bottom"/>
            <w:tcBorders>
              <w:top w:val="single" w:sz="8" w:color="BDE1E9"/>
            </w:tcBorders>
            <w:shd w:val="clear" w:color="auto" w:fill="BDE1E9"/>
          </w:tcPr>
          <w:p>
            <w:pPr>
              <w:spacing w:after="0"/>
              <w:rPr>
                <w:sz w:val="2"/>
                <w:szCs w:val="2"/>
                <w:color w:val="auto"/>
              </w:rPr>
            </w:pPr>
          </w:p>
        </w:tc>
        <w:tc>
          <w:tcPr>
            <w:tcW w:w="20" w:type="dxa"/>
            <w:vAlign w:val="bottom"/>
            <w:tcBorders>
              <w:top w:val="single" w:sz="8" w:color="BDE1E9"/>
            </w:tcBorders>
            <w:shd w:val="clear" w:color="auto" w:fill="BDE1E9"/>
          </w:tcPr>
          <w:p>
            <w:pPr>
              <w:spacing w:after="0"/>
              <w:rPr>
                <w:sz w:val="2"/>
                <w:szCs w:val="2"/>
                <w:color w:val="auto"/>
              </w:rPr>
            </w:pPr>
          </w:p>
        </w:tc>
        <w:tc>
          <w:tcPr>
            <w:tcW w:w="240" w:type="dxa"/>
            <w:vAlign w:val="bottom"/>
            <w:tcBorders>
              <w:top w:val="single" w:sz="8" w:color="BDE1E9"/>
            </w:tcBorders>
            <w:shd w:val="clear" w:color="auto" w:fill="BDE1E9"/>
          </w:tcPr>
          <w:p>
            <w:pPr>
              <w:spacing w:after="0"/>
              <w:rPr>
                <w:sz w:val="2"/>
                <w:szCs w:val="2"/>
                <w:color w:val="auto"/>
              </w:rPr>
            </w:pPr>
          </w:p>
        </w:tc>
        <w:tc>
          <w:tcPr>
            <w:tcW w:w="2300" w:type="dxa"/>
            <w:vAlign w:val="bottom"/>
            <w:tcBorders>
              <w:top w:val="single" w:sz="8" w:color="BDE1E9"/>
            </w:tcBorders>
            <w:shd w:val="clear" w:color="auto" w:fill="BDE1E9"/>
          </w:tcPr>
          <w:p>
            <w:pPr>
              <w:spacing w:after="0"/>
              <w:rPr>
                <w:sz w:val="2"/>
                <w:szCs w:val="2"/>
                <w:color w:val="auto"/>
              </w:rPr>
            </w:pPr>
          </w:p>
        </w:tc>
        <w:tc>
          <w:tcPr>
            <w:tcW w:w="180" w:type="dxa"/>
            <w:vAlign w:val="bottom"/>
            <w:tcBorders>
              <w:top w:val="single" w:sz="8" w:color="BDE1E9"/>
              <w:right w:val="single" w:sz="8" w:color="BDE1E9"/>
            </w:tcBorders>
            <w:shd w:val="clear" w:color="auto" w:fill="BDE1E9"/>
          </w:tcPr>
          <w:p>
            <w:pPr>
              <w:spacing w:after="0"/>
              <w:rPr>
                <w:sz w:val="2"/>
                <w:szCs w:val="2"/>
                <w:color w:val="auto"/>
              </w:rPr>
            </w:pPr>
          </w:p>
        </w:tc>
        <w:tc>
          <w:tcPr>
            <w:tcW w:w="100" w:type="dxa"/>
            <w:vAlign w:val="bottom"/>
            <w:tcBorders>
              <w:top w:val="single" w:sz="8" w:color="BDE1E9"/>
              <w:right w:val="single" w:sz="8" w:color="BDE1E9"/>
            </w:tcBorders>
            <w:shd w:val="clear" w:color="auto" w:fill="BDE1E9"/>
          </w:tcPr>
          <w:p>
            <w:pPr>
              <w:spacing w:after="0"/>
              <w:rPr>
                <w:sz w:val="2"/>
                <w:szCs w:val="2"/>
                <w:color w:val="auto"/>
              </w:rPr>
            </w:pPr>
          </w:p>
        </w:tc>
        <w:tc>
          <w:tcPr>
            <w:tcW w:w="40" w:type="dxa"/>
            <w:vAlign w:val="bottom"/>
            <w:tcBorders>
              <w:top w:val="single" w:sz="8" w:color="BDE1E9"/>
              <w:left w:val="single" w:sz="8" w:color="BDE1E9"/>
            </w:tcBorders>
            <w:shd w:val="clear" w:color="auto" w:fill="BDE1E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tcPr>
          <w:p>
            <w:pPr>
              <w:jc w:val="center"/>
              <w:ind w:left="139"/>
              <w:spacing w:after="0" w:line="162" w:lineRule="exact"/>
              <w:rPr>
                <w:sz w:val="20"/>
                <w:szCs w:val="20"/>
                <w:color w:val="auto"/>
              </w:rPr>
            </w:pPr>
            <w:r>
              <w:rPr>
                <w:rFonts w:ascii="Times New Roman" w:cs="Times New Roman" w:eastAsia="Times New Roman" w:hAnsi="Times New Roman"/>
                <w:sz w:val="16"/>
                <w:szCs w:val="16"/>
                <w:color w:val="auto"/>
                <w:w w:val="99"/>
              </w:rPr>
              <w:t>10.30†</w:t>
            </w:r>
          </w:p>
        </w:tc>
        <w:tc>
          <w:tcPr>
            <w:tcW w:w="48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Amendment Deed dated April 2, 2025, by and between Reading</w:t>
            </w:r>
          </w:p>
        </w:tc>
        <w:tc>
          <w:tcPr>
            <w:tcW w:w="40" w:type="dxa"/>
            <w:vAlign w:val="bottom"/>
          </w:tcPr>
          <w:p>
            <w:pPr>
              <w:spacing w:after="0"/>
              <w:rPr>
                <w:sz w:val="14"/>
                <w:szCs w:val="14"/>
                <w:color w:val="auto"/>
              </w:rPr>
            </w:pPr>
          </w:p>
        </w:tc>
        <w:tc>
          <w:tcPr>
            <w:tcW w:w="5260" w:type="dxa"/>
            <w:vAlign w:val="bottom"/>
            <w:gridSpan w:val="13"/>
          </w:tcPr>
          <w:p>
            <w:pPr>
              <w:spacing w:after="0" w:line="162" w:lineRule="exact"/>
              <w:rPr>
                <w:rFonts w:ascii="Times New Roman" w:cs="Times New Roman" w:eastAsia="Times New Roman" w:hAnsi="Times New Roman"/>
                <w:sz w:val="16"/>
                <w:szCs w:val="16"/>
                <w:color w:val="auto"/>
              </w:rPr>
            </w:pPr>
            <w:hyperlink r:id="rId77">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600" w:type="dxa"/>
            <w:vAlign w:val="bottom"/>
            <w:gridSpan w:val="2"/>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5300" w:type="dxa"/>
            <w:vAlign w:val="bottom"/>
            <w:gridSpan w:val="14"/>
          </w:tcPr>
          <w:p>
            <w:pPr>
              <w:ind w:left="40"/>
              <w:spacing w:after="0"/>
              <w:rPr>
                <w:rFonts w:ascii="Times New Roman" w:cs="Times New Roman" w:eastAsia="Times New Roman" w:hAnsi="Times New Roman"/>
                <w:sz w:val="16"/>
                <w:szCs w:val="16"/>
                <w:b w:val="1"/>
                <w:bCs w:val="1"/>
                <w:color w:val="0000FF"/>
              </w:rPr>
            </w:pPr>
            <w:hyperlink r:id="rId77">
              <w:r>
                <w:rPr>
                  <w:rFonts w:ascii="Times New Roman" w:cs="Times New Roman" w:eastAsia="Times New Roman" w:hAnsi="Times New Roman"/>
                  <w:sz w:val="16"/>
                  <w:szCs w:val="16"/>
                  <w:b w:val="1"/>
                  <w:bCs w:val="1"/>
                  <w:color w:val="0000FF"/>
                </w:rPr>
                <w:t>the quarter ended June 30,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tc>
        <w:tc>
          <w:tcPr>
            <w:tcW w:w="0" w:type="dxa"/>
            <w:vAlign w:val="bottom"/>
          </w:tcPr>
          <w:p>
            <w:pPr>
              <w:spacing w:after="0"/>
              <w:rPr>
                <w:sz w:val="1"/>
                <w:szCs w:val="1"/>
                <w:color w:val="auto"/>
              </w:rPr>
            </w:pPr>
          </w:p>
        </w:tc>
      </w:tr>
      <w:tr>
        <w:trPr>
          <w:trHeight w:val="34"/>
        </w:trPr>
        <w:tc>
          <w:tcPr>
            <w:tcW w:w="11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00" w:type="dxa"/>
            <w:vAlign w:val="bottom"/>
            <w:shd w:val="clear" w:color="auto" w:fill="BDE1E9"/>
          </w:tcPr>
          <w:p>
            <w:pPr>
              <w:jc w:val="center"/>
              <w:ind w:left="139"/>
              <w:spacing w:after="0" w:line="162" w:lineRule="exact"/>
              <w:rPr>
                <w:sz w:val="20"/>
                <w:szCs w:val="20"/>
                <w:color w:val="auto"/>
              </w:rPr>
            </w:pPr>
            <w:r>
              <w:rPr>
                <w:rFonts w:ascii="Times New Roman" w:cs="Times New Roman" w:eastAsia="Times New Roman" w:hAnsi="Times New Roman"/>
                <w:sz w:val="16"/>
                <w:szCs w:val="16"/>
                <w:color w:val="auto"/>
                <w:w w:val="99"/>
              </w:rPr>
              <w:t>10.31†</w:t>
            </w:r>
          </w:p>
        </w:tc>
        <w:tc>
          <w:tcPr>
            <w:tcW w:w="4840" w:type="dxa"/>
            <w:vAlign w:val="bottom"/>
            <w:shd w:val="clear" w:color="auto" w:fill="BDE1E9"/>
          </w:tcPr>
          <w:p>
            <w:pPr>
              <w:ind w:left="220"/>
              <w:spacing w:after="0" w:line="162" w:lineRule="exact"/>
              <w:rPr>
                <w:sz w:val="20"/>
                <w:szCs w:val="20"/>
                <w:color w:val="auto"/>
              </w:rPr>
            </w:pPr>
            <w:r>
              <w:rPr>
                <w:rFonts w:ascii="Times New Roman" w:cs="Times New Roman" w:eastAsia="Times New Roman" w:hAnsi="Times New Roman"/>
                <w:sz w:val="16"/>
                <w:szCs w:val="16"/>
                <w:color w:val="auto"/>
              </w:rPr>
              <w:t>Amendment Deed dated April 28, 2025, by and between Reading</w:t>
            </w:r>
          </w:p>
        </w:tc>
        <w:tc>
          <w:tcPr>
            <w:tcW w:w="5300" w:type="dxa"/>
            <w:vAlign w:val="bottom"/>
            <w:gridSpan w:val="14"/>
            <w:shd w:val="clear" w:color="auto" w:fill="BDE1E9"/>
          </w:tcPr>
          <w:p>
            <w:pPr>
              <w:ind w:left="40"/>
              <w:spacing w:after="0" w:line="162" w:lineRule="exact"/>
              <w:rPr>
                <w:rFonts w:ascii="Times New Roman" w:cs="Times New Roman" w:eastAsia="Times New Roman" w:hAnsi="Times New Roman"/>
                <w:sz w:val="16"/>
                <w:szCs w:val="16"/>
                <w:color w:val="auto"/>
              </w:rPr>
            </w:pPr>
            <w:hyperlink r:id="rId7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10.4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BDE1E9"/>
          </w:tcPr>
          <w:p>
            <w:pPr>
              <w:spacing w:after="0" w:line="20" w:lineRule="exact"/>
              <w:rPr>
                <w:sz w:val="1"/>
                <w:szCs w:val="1"/>
                <w:color w:val="auto"/>
              </w:rPr>
            </w:pPr>
          </w:p>
        </w:tc>
        <w:tc>
          <w:tcPr>
            <w:tcW w:w="4840" w:type="dxa"/>
            <w:vAlign w:val="bottom"/>
            <w:vMerge w:val="restart"/>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600" w:type="dxa"/>
            <w:vAlign w:val="bottom"/>
            <w:tcBorders>
              <w:right w:val="single" w:sz="8" w:color="BDE1E9"/>
            </w:tcBorders>
            <w:gridSpan w:val="2"/>
            <w:shd w:val="clear" w:color="auto" w:fill="BDE1E9"/>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BDE1E9"/>
            </w:tcBorders>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shd w:val="clear" w:color="auto" w:fill="BDE1E9"/>
          </w:tcPr>
          <w:p>
            <w:pPr>
              <w:spacing w:after="0"/>
              <w:rPr>
                <w:sz w:val="17"/>
                <w:szCs w:val="17"/>
                <w:color w:val="auto"/>
              </w:rPr>
            </w:pPr>
          </w:p>
        </w:tc>
        <w:tc>
          <w:tcPr>
            <w:tcW w:w="4840" w:type="dxa"/>
            <w:vAlign w:val="bottom"/>
            <w:vMerge w:val="continue"/>
            <w:shd w:val="clear" w:color="auto" w:fill="BDE1E9"/>
          </w:tcPr>
          <w:p>
            <w:pPr>
              <w:spacing w:after="0"/>
              <w:rPr>
                <w:sz w:val="17"/>
                <w:szCs w:val="17"/>
                <w:color w:val="auto"/>
              </w:rPr>
            </w:pPr>
          </w:p>
        </w:tc>
        <w:tc>
          <w:tcPr>
            <w:tcW w:w="40" w:type="dxa"/>
            <w:vAlign w:val="bottom"/>
            <w:shd w:val="clear" w:color="auto" w:fill="BDE1E9"/>
          </w:tcPr>
          <w:p>
            <w:pPr>
              <w:spacing w:after="0"/>
              <w:rPr>
                <w:sz w:val="17"/>
                <w:szCs w:val="17"/>
                <w:color w:val="auto"/>
              </w:rPr>
            </w:pPr>
          </w:p>
        </w:tc>
        <w:tc>
          <w:tcPr>
            <w:tcW w:w="5260" w:type="dxa"/>
            <w:vAlign w:val="bottom"/>
            <w:gridSpan w:val="13"/>
            <w:shd w:val="clear" w:color="auto" w:fill="BDE1E9"/>
          </w:tcPr>
          <w:p>
            <w:pPr>
              <w:spacing w:after="0"/>
              <w:rPr>
                <w:rFonts w:ascii="Times New Roman" w:cs="Times New Roman" w:eastAsia="Times New Roman" w:hAnsi="Times New Roman"/>
                <w:sz w:val="16"/>
                <w:szCs w:val="16"/>
                <w:b w:val="1"/>
                <w:bCs w:val="1"/>
                <w:color w:val="0000FF"/>
              </w:rPr>
            </w:pPr>
            <w:hyperlink r:id="rId78">
              <w:r>
                <w:rPr>
                  <w:rFonts w:ascii="Times New Roman" w:cs="Times New Roman" w:eastAsia="Times New Roman" w:hAnsi="Times New Roman"/>
                  <w:sz w:val="16"/>
                  <w:szCs w:val="16"/>
                  <w:b w:val="1"/>
                  <w:bCs w:val="1"/>
                  <w:color w:val="0000FF"/>
                </w:rPr>
                <w:t>the quarter ended June 30,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tc>
        <w:tc>
          <w:tcPr>
            <w:tcW w:w="0" w:type="dxa"/>
            <w:vAlign w:val="bottom"/>
          </w:tcPr>
          <w:p>
            <w:pPr>
              <w:spacing w:after="0"/>
              <w:rPr>
                <w:sz w:val="1"/>
                <w:szCs w:val="1"/>
                <w:color w:val="auto"/>
              </w:rPr>
            </w:pPr>
          </w:p>
        </w:tc>
      </w:tr>
      <w:tr>
        <w:trPr>
          <w:trHeight w:val="34"/>
        </w:trPr>
        <w:tc>
          <w:tcPr>
            <w:tcW w:w="1100" w:type="dxa"/>
            <w:vAlign w:val="bottom"/>
            <w:tcBorders>
              <w:top w:val="single" w:sz="8" w:color="BDE1E9"/>
            </w:tcBorders>
            <w:shd w:val="clear" w:color="auto" w:fill="BDE1E9"/>
          </w:tcPr>
          <w:p>
            <w:pPr>
              <w:spacing w:after="0"/>
              <w:rPr>
                <w:sz w:val="2"/>
                <w:szCs w:val="2"/>
                <w:color w:val="auto"/>
              </w:rPr>
            </w:pPr>
          </w:p>
        </w:tc>
        <w:tc>
          <w:tcPr>
            <w:tcW w:w="4840" w:type="dxa"/>
            <w:vAlign w:val="bottom"/>
            <w:tcBorders>
              <w:top w:val="single" w:sz="8" w:color="BDE1E9"/>
            </w:tcBorders>
            <w:shd w:val="clear" w:color="auto" w:fill="BDE1E9"/>
          </w:tcPr>
          <w:p>
            <w:pPr>
              <w:spacing w:after="0"/>
              <w:rPr>
                <w:sz w:val="2"/>
                <w:szCs w:val="2"/>
                <w:color w:val="auto"/>
              </w:rPr>
            </w:pPr>
          </w:p>
        </w:tc>
        <w:tc>
          <w:tcPr>
            <w:tcW w:w="40" w:type="dxa"/>
            <w:vAlign w:val="bottom"/>
            <w:tcBorders>
              <w:top w:val="single" w:sz="8" w:color="BDE1E9"/>
            </w:tcBorders>
            <w:shd w:val="clear" w:color="auto" w:fill="BDE1E9"/>
          </w:tcPr>
          <w:p>
            <w:pPr>
              <w:spacing w:after="0"/>
              <w:rPr>
                <w:sz w:val="2"/>
                <w:szCs w:val="2"/>
                <w:color w:val="auto"/>
              </w:rPr>
            </w:pPr>
          </w:p>
        </w:tc>
        <w:tc>
          <w:tcPr>
            <w:tcW w:w="560" w:type="dxa"/>
            <w:vAlign w:val="bottom"/>
            <w:tcBorders>
              <w:top w:val="single" w:sz="8" w:color="0000FF"/>
              <w:right w:val="single" w:sz="8" w:color="BDE1E9"/>
            </w:tcBorders>
            <w:shd w:val="clear" w:color="auto" w:fill="BDE1E9"/>
          </w:tcPr>
          <w:p>
            <w:pPr>
              <w:spacing w:after="0"/>
              <w:rPr>
                <w:sz w:val="2"/>
                <w:szCs w:val="2"/>
                <w:color w:val="auto"/>
              </w:rPr>
            </w:pPr>
          </w:p>
        </w:tc>
        <w:tc>
          <w:tcPr>
            <w:tcW w:w="1200" w:type="dxa"/>
            <w:vAlign w:val="bottom"/>
            <w:tcBorders>
              <w:top w:val="single" w:sz="8" w:color="0000FF"/>
            </w:tcBorders>
            <w:shd w:val="clear" w:color="auto" w:fill="BDE1E9"/>
          </w:tcPr>
          <w:p>
            <w:pPr>
              <w:spacing w:after="0"/>
              <w:rPr>
                <w:sz w:val="2"/>
                <w:szCs w:val="2"/>
                <w:color w:val="auto"/>
              </w:rPr>
            </w:pPr>
          </w:p>
        </w:tc>
        <w:tc>
          <w:tcPr>
            <w:tcW w:w="120" w:type="dxa"/>
            <w:vAlign w:val="bottom"/>
            <w:tcBorders>
              <w:top w:val="single" w:sz="8" w:color="0000FF"/>
            </w:tcBorders>
            <w:shd w:val="clear" w:color="auto" w:fill="BDE1E9"/>
          </w:tcPr>
          <w:p>
            <w:pPr>
              <w:spacing w:after="0"/>
              <w:rPr>
                <w:sz w:val="2"/>
                <w:szCs w:val="2"/>
                <w:color w:val="auto"/>
              </w:rPr>
            </w:pPr>
          </w:p>
        </w:tc>
        <w:tc>
          <w:tcPr>
            <w:tcW w:w="360" w:type="dxa"/>
            <w:vAlign w:val="bottom"/>
            <w:tcBorders>
              <w:top w:val="single" w:sz="8" w:color="0000FF"/>
            </w:tcBorders>
            <w:shd w:val="clear" w:color="auto" w:fill="BDE1E9"/>
          </w:tcPr>
          <w:p>
            <w:pPr>
              <w:spacing w:after="0"/>
              <w:rPr>
                <w:sz w:val="2"/>
                <w:szCs w:val="2"/>
                <w:color w:val="auto"/>
              </w:rPr>
            </w:pPr>
          </w:p>
        </w:tc>
        <w:tc>
          <w:tcPr>
            <w:tcW w:w="40" w:type="dxa"/>
            <w:vAlign w:val="bottom"/>
            <w:tcBorders>
              <w:top w:val="single" w:sz="8" w:color="BDE1E9"/>
            </w:tcBorders>
            <w:shd w:val="clear" w:color="auto" w:fill="BDE1E9"/>
          </w:tcPr>
          <w:p>
            <w:pPr>
              <w:spacing w:after="0"/>
              <w:rPr>
                <w:sz w:val="2"/>
                <w:szCs w:val="2"/>
                <w:color w:val="auto"/>
              </w:rPr>
            </w:pPr>
          </w:p>
        </w:tc>
        <w:tc>
          <w:tcPr>
            <w:tcW w:w="80" w:type="dxa"/>
            <w:vAlign w:val="bottom"/>
            <w:tcBorders>
              <w:top w:val="single" w:sz="8" w:color="BDE1E9"/>
            </w:tcBorders>
            <w:shd w:val="clear" w:color="auto" w:fill="BDE1E9"/>
          </w:tcPr>
          <w:p>
            <w:pPr>
              <w:spacing w:after="0"/>
              <w:rPr>
                <w:sz w:val="2"/>
                <w:szCs w:val="2"/>
                <w:color w:val="auto"/>
              </w:rPr>
            </w:pPr>
          </w:p>
        </w:tc>
        <w:tc>
          <w:tcPr>
            <w:tcW w:w="20" w:type="dxa"/>
            <w:vAlign w:val="bottom"/>
            <w:tcBorders>
              <w:top w:val="single" w:sz="8" w:color="BDE1E9"/>
            </w:tcBorders>
            <w:shd w:val="clear" w:color="auto" w:fill="BDE1E9"/>
          </w:tcPr>
          <w:p>
            <w:pPr>
              <w:spacing w:after="0"/>
              <w:rPr>
                <w:sz w:val="2"/>
                <w:szCs w:val="2"/>
                <w:color w:val="auto"/>
              </w:rPr>
            </w:pPr>
          </w:p>
        </w:tc>
        <w:tc>
          <w:tcPr>
            <w:tcW w:w="20" w:type="dxa"/>
            <w:vAlign w:val="bottom"/>
            <w:tcBorders>
              <w:top w:val="single" w:sz="8" w:color="BDE1E9"/>
            </w:tcBorders>
            <w:shd w:val="clear" w:color="auto" w:fill="BDE1E9"/>
          </w:tcPr>
          <w:p>
            <w:pPr>
              <w:spacing w:after="0"/>
              <w:rPr>
                <w:sz w:val="2"/>
                <w:szCs w:val="2"/>
                <w:color w:val="auto"/>
              </w:rPr>
            </w:pPr>
          </w:p>
        </w:tc>
        <w:tc>
          <w:tcPr>
            <w:tcW w:w="240" w:type="dxa"/>
            <w:vAlign w:val="bottom"/>
            <w:tcBorders>
              <w:top w:val="single" w:sz="8" w:color="BDE1E9"/>
            </w:tcBorders>
            <w:shd w:val="clear" w:color="auto" w:fill="BDE1E9"/>
          </w:tcPr>
          <w:p>
            <w:pPr>
              <w:spacing w:after="0"/>
              <w:rPr>
                <w:sz w:val="2"/>
                <w:szCs w:val="2"/>
                <w:color w:val="auto"/>
              </w:rPr>
            </w:pPr>
          </w:p>
        </w:tc>
        <w:tc>
          <w:tcPr>
            <w:tcW w:w="2300" w:type="dxa"/>
            <w:vAlign w:val="bottom"/>
            <w:tcBorders>
              <w:top w:val="single" w:sz="8" w:color="BDE1E9"/>
            </w:tcBorders>
            <w:shd w:val="clear" w:color="auto" w:fill="BDE1E9"/>
          </w:tcPr>
          <w:p>
            <w:pPr>
              <w:spacing w:after="0"/>
              <w:rPr>
                <w:sz w:val="2"/>
                <w:szCs w:val="2"/>
                <w:color w:val="auto"/>
              </w:rPr>
            </w:pPr>
          </w:p>
        </w:tc>
        <w:tc>
          <w:tcPr>
            <w:tcW w:w="180" w:type="dxa"/>
            <w:vAlign w:val="bottom"/>
            <w:tcBorders>
              <w:top w:val="single" w:sz="8" w:color="BDE1E9"/>
              <w:right w:val="single" w:sz="8" w:color="BDE1E9"/>
            </w:tcBorders>
            <w:shd w:val="clear" w:color="auto" w:fill="BDE1E9"/>
          </w:tcPr>
          <w:p>
            <w:pPr>
              <w:spacing w:after="0"/>
              <w:rPr>
                <w:sz w:val="2"/>
                <w:szCs w:val="2"/>
                <w:color w:val="auto"/>
              </w:rPr>
            </w:pPr>
          </w:p>
        </w:tc>
        <w:tc>
          <w:tcPr>
            <w:tcW w:w="100" w:type="dxa"/>
            <w:vAlign w:val="bottom"/>
            <w:tcBorders>
              <w:top w:val="single" w:sz="8" w:color="BDE1E9"/>
              <w:right w:val="single" w:sz="8" w:color="BDE1E9"/>
            </w:tcBorders>
            <w:shd w:val="clear" w:color="auto" w:fill="BDE1E9"/>
          </w:tcPr>
          <w:p>
            <w:pPr>
              <w:spacing w:after="0"/>
              <w:rPr>
                <w:sz w:val="2"/>
                <w:szCs w:val="2"/>
                <w:color w:val="auto"/>
              </w:rPr>
            </w:pPr>
          </w:p>
        </w:tc>
        <w:tc>
          <w:tcPr>
            <w:tcW w:w="40" w:type="dxa"/>
            <w:vAlign w:val="bottom"/>
            <w:tcBorders>
              <w:top w:val="single" w:sz="8" w:color="BDE1E9"/>
              <w:left w:val="single" w:sz="8" w:color="BDE1E9"/>
            </w:tcBorders>
            <w:shd w:val="clear" w:color="auto" w:fill="BDE1E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00" w:type="dxa"/>
            <w:vAlign w:val="bottom"/>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10.32†</w:t>
            </w:r>
          </w:p>
        </w:tc>
        <w:tc>
          <w:tcPr>
            <w:tcW w:w="4840" w:type="dxa"/>
            <w:vAlign w:val="bottom"/>
          </w:tcPr>
          <w:p>
            <w:pPr>
              <w:ind w:left="220"/>
              <w:spacing w:after="0" w:line="148" w:lineRule="exact"/>
              <w:rPr>
                <w:sz w:val="20"/>
                <w:szCs w:val="20"/>
                <w:color w:val="auto"/>
              </w:rPr>
            </w:pPr>
            <w:r>
              <w:rPr>
                <w:rFonts w:ascii="Times New Roman" w:cs="Times New Roman" w:eastAsia="Times New Roman" w:hAnsi="Times New Roman"/>
                <w:sz w:val="16"/>
                <w:szCs w:val="16"/>
                <w:color w:val="auto"/>
              </w:rPr>
              <w:t>Amendment Deed dated November 12, 2025, by and between Reading</w:t>
            </w:r>
          </w:p>
        </w:tc>
        <w:tc>
          <w:tcPr>
            <w:tcW w:w="40" w:type="dxa"/>
            <w:vAlign w:val="bottom"/>
          </w:tcPr>
          <w:p>
            <w:pPr>
              <w:spacing w:after="0"/>
              <w:rPr>
                <w:sz w:val="12"/>
                <w:szCs w:val="12"/>
                <w:color w:val="auto"/>
              </w:rPr>
            </w:pPr>
          </w:p>
        </w:tc>
        <w:tc>
          <w:tcPr>
            <w:tcW w:w="5260" w:type="dxa"/>
            <w:vAlign w:val="bottom"/>
            <w:gridSpan w:val="13"/>
          </w:tcPr>
          <w:p>
            <w:pPr>
              <w:spacing w:after="0" w:line="148" w:lineRule="exact"/>
              <w:rPr>
                <w:rFonts w:ascii="Times New Roman" w:cs="Times New Roman" w:eastAsia="Times New Roman" w:hAnsi="Times New Roman"/>
                <w:sz w:val="16"/>
                <w:szCs w:val="16"/>
                <w:b w:val="1"/>
                <w:bCs w:val="1"/>
                <w:color w:val="0000FF"/>
              </w:rPr>
            </w:pPr>
            <w:hyperlink r:id="rId79">
              <w:r>
                <w:rPr>
                  <w:rFonts w:ascii="Times New Roman" w:cs="Times New Roman" w:eastAsia="Times New Roman" w:hAnsi="Times New Roman"/>
                  <w:sz w:val="16"/>
                  <w:szCs w:val="16"/>
                  <w:b w:val="1"/>
                  <w:bCs w:val="1"/>
                  <w:color w:val="0000FF"/>
                </w:rPr>
                <w:t>Filed as Exhibit 10.32 to the Company’s Annual Report on Form 10-K for</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Entertainment Australia Pty Ltd and National Australia Bank Limited</w:t>
            </w:r>
          </w:p>
        </w:tc>
        <w:tc>
          <w:tcPr>
            <w:tcW w:w="40" w:type="dxa"/>
            <w:vAlign w:val="bottom"/>
          </w:tcPr>
          <w:p>
            <w:pPr>
              <w:spacing w:after="0"/>
              <w:rPr>
                <w:sz w:val="14"/>
                <w:szCs w:val="14"/>
                <w:color w:val="auto"/>
              </w:rPr>
            </w:pPr>
          </w:p>
        </w:tc>
        <w:tc>
          <w:tcPr>
            <w:tcW w:w="5220" w:type="dxa"/>
            <w:vAlign w:val="bottom"/>
            <w:tcBorders>
              <w:top w:val="single" w:sz="8" w:color="0000FF"/>
            </w:tcBorders>
            <w:gridSpan w:val="12"/>
          </w:tcPr>
          <w:p>
            <w:pPr>
              <w:spacing w:after="0" w:line="169" w:lineRule="exact"/>
              <w:rPr>
                <w:rFonts w:ascii="Times New Roman" w:cs="Times New Roman" w:eastAsia="Times New Roman" w:hAnsi="Times New Roman"/>
                <w:sz w:val="16"/>
                <w:szCs w:val="16"/>
                <w:b w:val="1"/>
                <w:bCs w:val="1"/>
                <w:color w:val="0000FF"/>
              </w:rPr>
            </w:pPr>
            <w:hyperlink r:id="rId79">
              <w:r>
                <w:rPr>
                  <w:rFonts w:ascii="Times New Roman" w:cs="Times New Roman" w:eastAsia="Times New Roman" w:hAnsi="Times New Roman"/>
                  <w:sz w:val="16"/>
                  <w:szCs w:val="16"/>
                  <w:b w:val="1"/>
                  <w:bCs w:val="1"/>
                  <w:color w:val="0000FF"/>
                </w:rPr>
                <w:t>the year ended December 31, 2025</w:t>
              </w:r>
              <w:r>
                <w:rPr>
                  <w:rFonts w:ascii="Times New Roman" w:cs="Times New Roman" w:eastAsia="Times New Roman" w:hAnsi="Times New Roman"/>
                  <w:sz w:val="16"/>
                  <w:szCs w:val="16"/>
                  <w:color w:val="000000"/>
                </w:rPr>
                <w:t>, and incorporated herein by reference.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00" w:type="dxa"/>
            <w:vAlign w:val="bottom"/>
            <w:shd w:val="clear" w:color="auto" w:fill="BDE1E9"/>
          </w:tcPr>
          <w:p>
            <w:pPr>
              <w:jc w:val="center"/>
              <w:ind w:left="139"/>
              <w:spacing w:after="0" w:line="149" w:lineRule="exact"/>
              <w:rPr>
                <w:sz w:val="20"/>
                <w:szCs w:val="20"/>
                <w:color w:val="auto"/>
              </w:rPr>
            </w:pPr>
            <w:r>
              <w:rPr>
                <w:rFonts w:ascii="Times New Roman" w:cs="Times New Roman" w:eastAsia="Times New Roman" w:hAnsi="Times New Roman"/>
                <w:sz w:val="16"/>
                <w:szCs w:val="16"/>
                <w:color w:val="auto"/>
                <w:w w:val="99"/>
              </w:rPr>
              <w:t>10.33†</w:t>
            </w:r>
          </w:p>
        </w:tc>
        <w:tc>
          <w:tcPr>
            <w:tcW w:w="4840" w:type="dxa"/>
            <w:vAlign w:val="bottom"/>
            <w:shd w:val="clear" w:color="auto" w:fill="BDE1E9"/>
          </w:tcPr>
          <w:p>
            <w:pPr>
              <w:ind w:left="220"/>
              <w:spacing w:after="0" w:line="149" w:lineRule="exact"/>
              <w:rPr>
                <w:sz w:val="20"/>
                <w:szCs w:val="20"/>
                <w:color w:val="auto"/>
              </w:rPr>
            </w:pPr>
            <w:r>
              <w:rPr>
                <w:rFonts w:ascii="Times New Roman" w:cs="Times New Roman" w:eastAsia="Times New Roman" w:hAnsi="Times New Roman"/>
                <w:sz w:val="16"/>
                <w:szCs w:val="16"/>
                <w:color w:val="auto"/>
              </w:rPr>
              <w:t>Renewal and Amendment of Banking Facilities dated December 17,</w:t>
            </w:r>
          </w:p>
        </w:tc>
        <w:tc>
          <w:tcPr>
            <w:tcW w:w="40" w:type="dxa"/>
            <w:vAlign w:val="bottom"/>
            <w:shd w:val="clear" w:color="auto" w:fill="BDE1E9"/>
          </w:tcPr>
          <w:p>
            <w:pPr>
              <w:spacing w:after="0"/>
              <w:rPr>
                <w:sz w:val="12"/>
                <w:szCs w:val="12"/>
                <w:color w:val="auto"/>
              </w:rPr>
            </w:pPr>
          </w:p>
        </w:tc>
        <w:tc>
          <w:tcPr>
            <w:tcW w:w="5120" w:type="dxa"/>
            <w:vAlign w:val="bottom"/>
            <w:tcBorders>
              <w:right w:val="single" w:sz="8" w:color="BDE1E9"/>
            </w:tcBorders>
            <w:gridSpan w:val="11"/>
            <w:shd w:val="clear" w:color="auto" w:fill="BDE1E9"/>
          </w:tcPr>
          <w:p>
            <w:pPr>
              <w:spacing w:after="0" w:line="149" w:lineRule="exact"/>
              <w:rPr>
                <w:rFonts w:ascii="Times New Roman" w:cs="Times New Roman" w:eastAsia="Times New Roman" w:hAnsi="Times New Roman"/>
                <w:sz w:val="16"/>
                <w:szCs w:val="16"/>
                <w:color w:val="auto"/>
                <w:shd w:val="clear" w:color="auto" w:fill="BDE1E9"/>
              </w:rPr>
            </w:pPr>
            <w:hyperlink r:id="rId80">
              <w:r>
                <w:rPr>
                  <w:rFonts w:ascii="Times New Roman" w:cs="Times New Roman" w:eastAsia="Times New Roman" w:hAnsi="Times New Roman"/>
                  <w:sz w:val="16"/>
                  <w:szCs w:val="16"/>
                  <w:color w:val="auto"/>
                  <w:shd w:val="clear" w:color="auto" w:fill="BDE1E9"/>
                </w:rPr>
                <w:t xml:space="preserve">Filed as </w:t>
              </w:r>
              <w:r>
                <w:rPr>
                  <w:rFonts w:ascii="Times New Roman" w:cs="Times New Roman" w:eastAsia="Times New Roman" w:hAnsi="Times New Roman"/>
                  <w:sz w:val="16"/>
                  <w:szCs w:val="16"/>
                  <w:b w:val="1"/>
                  <w:bCs w:val="1"/>
                  <w:color w:val="0000FF"/>
                  <w:shd w:val="clear" w:color="auto" w:fill="BDE1E9"/>
                </w:rPr>
                <w:t>Exhibit 10.28 to the Company’s Annual Report on Form 10-K for</w:t>
              </w:r>
            </w:hyperlink>
          </w:p>
        </w:tc>
        <w:tc>
          <w:tcPr>
            <w:tcW w:w="100" w:type="dxa"/>
            <w:vAlign w:val="bottom"/>
            <w:tcBorders>
              <w:right w:val="single" w:sz="8" w:color="BDE1E9"/>
            </w:tcBorders>
            <w:shd w:val="clear" w:color="auto" w:fill="BDE1E9"/>
          </w:tcPr>
          <w:p>
            <w:pPr>
              <w:spacing w:after="0"/>
              <w:rPr>
                <w:sz w:val="12"/>
                <w:szCs w:val="12"/>
                <w:color w:val="auto"/>
              </w:rPr>
            </w:pPr>
          </w:p>
        </w:tc>
        <w:tc>
          <w:tcPr>
            <w:tcW w:w="40" w:type="dxa"/>
            <w:vAlign w:val="bottom"/>
            <w:tcBorders>
              <w:left w:val="single" w:sz="8" w:color="BDE1E9"/>
            </w:tcBorders>
            <w:shd w:val="clear" w:color="auto" w:fill="BDE1E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BDE1E9"/>
          </w:tcPr>
          <w:p>
            <w:pPr>
              <w:spacing w:after="0" w:line="20" w:lineRule="exact"/>
              <w:rPr>
                <w:sz w:val="1"/>
                <w:szCs w:val="1"/>
                <w:color w:val="auto"/>
              </w:rPr>
            </w:pPr>
          </w:p>
        </w:tc>
        <w:tc>
          <w:tcPr>
            <w:tcW w:w="4840" w:type="dxa"/>
            <w:vAlign w:val="bottom"/>
            <w:vMerge w:val="restart"/>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2024, by and between Reading Entertainment Australia Pty Ltd and</w:t>
            </w:r>
          </w:p>
        </w:tc>
        <w:tc>
          <w:tcPr>
            <w:tcW w:w="40" w:type="dxa"/>
            <w:vAlign w:val="bottom"/>
            <w:shd w:val="clear" w:color="auto" w:fill="BDE1E9"/>
          </w:tcPr>
          <w:p>
            <w:pPr>
              <w:spacing w:after="0" w:line="20" w:lineRule="exact"/>
              <w:rPr>
                <w:sz w:val="1"/>
                <w:szCs w:val="1"/>
                <w:color w:val="auto"/>
              </w:rPr>
            </w:pPr>
          </w:p>
        </w:tc>
        <w:tc>
          <w:tcPr>
            <w:tcW w:w="560" w:type="dxa"/>
            <w:vAlign w:val="bottom"/>
            <w:tcBorders>
              <w:right w:val="single" w:sz="8" w:color="BDE1E9"/>
            </w:tcBorders>
            <w:shd w:val="clear" w:color="auto" w:fill="BDE1E9"/>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BDE1E9"/>
            </w:tcBorders>
            <w:shd w:val="clear" w:color="auto" w:fill="BDE1E9"/>
          </w:tcPr>
          <w:p>
            <w:pPr>
              <w:spacing w:after="0" w:line="20" w:lineRule="exact"/>
              <w:rPr>
                <w:sz w:val="1"/>
                <w:szCs w:val="1"/>
                <w:color w:val="auto"/>
              </w:rPr>
            </w:pPr>
          </w:p>
        </w:tc>
        <w:tc>
          <w:tcPr>
            <w:tcW w:w="40" w:type="dxa"/>
            <w:vAlign w:val="bottom"/>
            <w:tcBorders>
              <w:left w:val="single" w:sz="8" w:color="BDE1E9"/>
            </w:tcBorders>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tcBorders>
              <w:bottom w:val="single" w:sz="8" w:color="BDE1E9"/>
            </w:tcBorders>
            <w:shd w:val="clear" w:color="auto" w:fill="BDE1E9"/>
          </w:tcPr>
          <w:p>
            <w:pPr>
              <w:spacing w:after="0"/>
              <w:rPr>
                <w:sz w:val="14"/>
                <w:szCs w:val="14"/>
                <w:color w:val="auto"/>
              </w:rPr>
            </w:pPr>
          </w:p>
        </w:tc>
        <w:tc>
          <w:tcPr>
            <w:tcW w:w="4840" w:type="dxa"/>
            <w:vAlign w:val="bottom"/>
            <w:tcBorders>
              <w:bottom w:val="single" w:sz="8" w:color="BDE1E9"/>
            </w:tcBorders>
            <w:vMerge w:val="continue"/>
            <w:shd w:val="clear" w:color="auto" w:fill="BDE1E9"/>
          </w:tcPr>
          <w:p>
            <w:pPr>
              <w:spacing w:after="0"/>
              <w:rPr>
                <w:sz w:val="14"/>
                <w:szCs w:val="14"/>
                <w:color w:val="auto"/>
              </w:rPr>
            </w:pPr>
          </w:p>
        </w:tc>
        <w:tc>
          <w:tcPr>
            <w:tcW w:w="40" w:type="dxa"/>
            <w:vAlign w:val="bottom"/>
            <w:tcBorders>
              <w:bottom w:val="single" w:sz="8" w:color="BDE1E9"/>
            </w:tcBorders>
            <w:shd w:val="clear" w:color="auto" w:fill="BDE1E9"/>
          </w:tcPr>
          <w:p>
            <w:pPr>
              <w:spacing w:after="0"/>
              <w:rPr>
                <w:sz w:val="14"/>
                <w:szCs w:val="14"/>
                <w:color w:val="auto"/>
              </w:rPr>
            </w:pPr>
          </w:p>
        </w:tc>
        <w:tc>
          <w:tcPr>
            <w:tcW w:w="2380" w:type="dxa"/>
            <w:vAlign w:val="bottom"/>
            <w:tcBorders>
              <w:bottom w:val="single" w:sz="8" w:color="0000FF"/>
            </w:tcBorders>
            <w:gridSpan w:val="7"/>
            <w:shd w:val="clear" w:color="auto" w:fill="BDE1E9"/>
          </w:tcPr>
          <w:p>
            <w:pPr>
              <w:spacing w:after="0" w:line="169" w:lineRule="exact"/>
              <w:rPr>
                <w:rFonts w:ascii="Times New Roman" w:cs="Times New Roman" w:eastAsia="Times New Roman" w:hAnsi="Times New Roman"/>
                <w:sz w:val="16"/>
                <w:szCs w:val="16"/>
                <w:b w:val="1"/>
                <w:bCs w:val="1"/>
                <w:color w:val="0000FF"/>
                <w:shd w:val="clear" w:color="auto" w:fill="BDE1E9"/>
              </w:rPr>
            </w:pPr>
            <w:hyperlink r:id="rId80">
              <w:r>
                <w:rPr>
                  <w:rFonts w:ascii="Times New Roman" w:cs="Times New Roman" w:eastAsia="Times New Roman" w:hAnsi="Times New Roman"/>
                  <w:sz w:val="16"/>
                  <w:szCs w:val="16"/>
                  <w:b w:val="1"/>
                  <w:bCs w:val="1"/>
                  <w:color w:val="0000FF"/>
                  <w:shd w:val="clear" w:color="auto" w:fill="BDE1E9"/>
                </w:rPr>
                <w:t>the year ended December 31, 2024</w:t>
              </w:r>
            </w:hyperlink>
          </w:p>
        </w:tc>
        <w:tc>
          <w:tcPr>
            <w:tcW w:w="2560" w:type="dxa"/>
            <w:vAlign w:val="bottom"/>
            <w:tcBorders>
              <w:bottom w:val="single" w:sz="8" w:color="BDE1E9"/>
            </w:tcBorders>
            <w:gridSpan w:val="3"/>
            <w:shd w:val="clear" w:color="auto" w:fill="BDE1E9"/>
          </w:tcPr>
          <w:p>
            <w:pPr>
              <w:jc w:val="right"/>
              <w:ind w:right="60"/>
              <w:spacing w:after="0" w:line="169" w:lineRule="exact"/>
              <w:rPr>
                <w:rFonts w:ascii="Times New Roman" w:cs="Times New Roman" w:eastAsia="Times New Roman" w:hAnsi="Times New Roman"/>
                <w:sz w:val="16"/>
                <w:szCs w:val="16"/>
                <w:color w:val="auto"/>
                <w:shd w:val="clear" w:color="auto" w:fill="BDE1E9"/>
              </w:rPr>
            </w:pPr>
            <w:hyperlink r:id="rId80">
              <w:r>
                <w:rPr>
                  <w:rFonts w:ascii="Times New Roman" w:cs="Times New Roman" w:eastAsia="Times New Roman" w:hAnsi="Times New Roman"/>
                  <w:sz w:val="16"/>
                  <w:szCs w:val="16"/>
                  <w:color w:val="auto"/>
                  <w:shd w:val="clear" w:color="auto" w:fill="BDE1E9"/>
                </w:rPr>
                <w:t>, and incorporated herein by reference.</w:t>
              </w:r>
            </w:hyperlink>
          </w:p>
        </w:tc>
        <w:tc>
          <w:tcPr>
            <w:tcW w:w="180" w:type="dxa"/>
            <w:vAlign w:val="bottom"/>
            <w:tcBorders>
              <w:bottom w:val="single" w:sz="8" w:color="BDE1E9"/>
              <w:right w:val="single" w:sz="8" w:color="BDE1E9"/>
            </w:tcBorders>
            <w:shd w:val="clear" w:color="auto" w:fill="BDE1E9"/>
          </w:tcPr>
          <w:p>
            <w:pPr>
              <w:spacing w:after="0"/>
              <w:rPr>
                <w:sz w:val="14"/>
                <w:szCs w:val="14"/>
                <w:color w:val="auto"/>
              </w:rPr>
            </w:pPr>
          </w:p>
        </w:tc>
        <w:tc>
          <w:tcPr>
            <w:tcW w:w="100" w:type="dxa"/>
            <w:vAlign w:val="bottom"/>
            <w:tcBorders>
              <w:bottom w:val="single" w:sz="8" w:color="BDE1E9"/>
              <w:right w:val="single" w:sz="8" w:color="BDE1E9"/>
            </w:tcBorders>
            <w:shd w:val="clear" w:color="auto" w:fill="BDE1E9"/>
          </w:tcPr>
          <w:p>
            <w:pPr>
              <w:spacing w:after="0"/>
              <w:rPr>
                <w:sz w:val="14"/>
                <w:szCs w:val="14"/>
                <w:color w:val="auto"/>
              </w:rPr>
            </w:pPr>
          </w:p>
        </w:tc>
        <w:tc>
          <w:tcPr>
            <w:tcW w:w="40" w:type="dxa"/>
            <w:vAlign w:val="bottom"/>
            <w:tcBorders>
              <w:left w:val="single" w:sz="8" w:color="BDE1E9"/>
              <w:bottom w:val="single" w:sz="8" w:color="BDE1E9"/>
            </w:tcBorders>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BDE1E9"/>
          </w:tcPr>
          <w:p>
            <w:pPr>
              <w:spacing w:after="0"/>
              <w:rPr>
                <w:sz w:val="17"/>
                <w:szCs w:val="17"/>
                <w:color w:val="auto"/>
              </w:rPr>
            </w:pPr>
          </w:p>
        </w:tc>
        <w:tc>
          <w:tcPr>
            <w:tcW w:w="4840" w:type="dxa"/>
            <w:vAlign w:val="bottom"/>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National Australia Bank Limited</w:t>
            </w:r>
          </w:p>
        </w:tc>
        <w:tc>
          <w:tcPr>
            <w:tcW w:w="40" w:type="dxa"/>
            <w:vAlign w:val="bottom"/>
            <w:shd w:val="clear" w:color="auto" w:fill="BDE1E9"/>
          </w:tcPr>
          <w:p>
            <w:pPr>
              <w:spacing w:after="0"/>
              <w:rPr>
                <w:sz w:val="17"/>
                <w:szCs w:val="17"/>
                <w:color w:val="auto"/>
              </w:rPr>
            </w:pPr>
          </w:p>
        </w:tc>
        <w:tc>
          <w:tcPr>
            <w:tcW w:w="560" w:type="dxa"/>
            <w:vAlign w:val="bottom"/>
            <w:tcBorders>
              <w:right w:val="single" w:sz="8" w:color="BDE1E9"/>
            </w:tcBorders>
            <w:shd w:val="clear" w:color="auto" w:fill="BDE1E9"/>
          </w:tcPr>
          <w:p>
            <w:pPr>
              <w:spacing w:after="0"/>
              <w:rPr>
                <w:sz w:val="17"/>
                <w:szCs w:val="17"/>
                <w:color w:val="auto"/>
              </w:rPr>
            </w:pPr>
          </w:p>
        </w:tc>
        <w:tc>
          <w:tcPr>
            <w:tcW w:w="1200" w:type="dxa"/>
            <w:vAlign w:val="bottom"/>
            <w:shd w:val="clear" w:color="auto" w:fill="BDE1E9"/>
          </w:tcPr>
          <w:p>
            <w:pPr>
              <w:spacing w:after="0"/>
              <w:rPr>
                <w:sz w:val="17"/>
                <w:szCs w:val="17"/>
                <w:color w:val="auto"/>
              </w:rPr>
            </w:pPr>
          </w:p>
        </w:tc>
        <w:tc>
          <w:tcPr>
            <w:tcW w:w="120" w:type="dxa"/>
            <w:vAlign w:val="bottom"/>
            <w:shd w:val="clear" w:color="auto" w:fill="BDE1E9"/>
          </w:tcPr>
          <w:p>
            <w:pPr>
              <w:spacing w:after="0"/>
              <w:rPr>
                <w:sz w:val="17"/>
                <w:szCs w:val="17"/>
                <w:color w:val="auto"/>
              </w:rPr>
            </w:pPr>
          </w:p>
        </w:tc>
        <w:tc>
          <w:tcPr>
            <w:tcW w:w="360" w:type="dxa"/>
            <w:vAlign w:val="bottom"/>
            <w:shd w:val="clear" w:color="auto" w:fill="BDE1E9"/>
          </w:tcPr>
          <w:p>
            <w:pPr>
              <w:spacing w:after="0"/>
              <w:rPr>
                <w:sz w:val="17"/>
                <w:szCs w:val="17"/>
                <w:color w:val="auto"/>
              </w:rPr>
            </w:pPr>
          </w:p>
        </w:tc>
        <w:tc>
          <w:tcPr>
            <w:tcW w:w="40" w:type="dxa"/>
            <w:vAlign w:val="bottom"/>
            <w:shd w:val="clear" w:color="auto" w:fill="BDE1E9"/>
          </w:tcPr>
          <w:p>
            <w:pPr>
              <w:spacing w:after="0"/>
              <w:rPr>
                <w:sz w:val="17"/>
                <w:szCs w:val="17"/>
                <w:color w:val="auto"/>
              </w:rPr>
            </w:pPr>
          </w:p>
        </w:tc>
        <w:tc>
          <w:tcPr>
            <w:tcW w:w="80" w:type="dxa"/>
            <w:vAlign w:val="bottom"/>
            <w:shd w:val="clear" w:color="auto" w:fill="BDE1E9"/>
          </w:tcPr>
          <w:p>
            <w:pPr>
              <w:spacing w:after="0"/>
              <w:rPr>
                <w:sz w:val="17"/>
                <w:szCs w:val="17"/>
                <w:color w:val="auto"/>
              </w:rPr>
            </w:pPr>
          </w:p>
        </w:tc>
        <w:tc>
          <w:tcPr>
            <w:tcW w:w="20" w:type="dxa"/>
            <w:vAlign w:val="bottom"/>
            <w:shd w:val="clear" w:color="auto" w:fill="BDE1E9"/>
          </w:tcPr>
          <w:p>
            <w:pPr>
              <w:spacing w:after="0"/>
              <w:rPr>
                <w:sz w:val="17"/>
                <w:szCs w:val="17"/>
                <w:color w:val="auto"/>
              </w:rPr>
            </w:pPr>
          </w:p>
        </w:tc>
        <w:tc>
          <w:tcPr>
            <w:tcW w:w="20" w:type="dxa"/>
            <w:vAlign w:val="bottom"/>
            <w:shd w:val="clear" w:color="auto" w:fill="BDE1E9"/>
          </w:tcPr>
          <w:p>
            <w:pPr>
              <w:spacing w:after="0"/>
              <w:rPr>
                <w:sz w:val="17"/>
                <w:szCs w:val="17"/>
                <w:color w:val="auto"/>
              </w:rPr>
            </w:pPr>
          </w:p>
        </w:tc>
        <w:tc>
          <w:tcPr>
            <w:tcW w:w="240" w:type="dxa"/>
            <w:vAlign w:val="bottom"/>
            <w:shd w:val="clear" w:color="auto" w:fill="BDE1E9"/>
          </w:tcPr>
          <w:p>
            <w:pPr>
              <w:spacing w:after="0"/>
              <w:rPr>
                <w:sz w:val="17"/>
                <w:szCs w:val="17"/>
                <w:color w:val="auto"/>
              </w:rPr>
            </w:pPr>
          </w:p>
        </w:tc>
        <w:tc>
          <w:tcPr>
            <w:tcW w:w="2300" w:type="dxa"/>
            <w:vAlign w:val="bottom"/>
            <w:shd w:val="clear" w:color="auto" w:fill="BDE1E9"/>
          </w:tcPr>
          <w:p>
            <w:pPr>
              <w:spacing w:after="0"/>
              <w:rPr>
                <w:sz w:val="17"/>
                <w:szCs w:val="17"/>
                <w:color w:val="auto"/>
              </w:rPr>
            </w:pPr>
          </w:p>
        </w:tc>
        <w:tc>
          <w:tcPr>
            <w:tcW w:w="180" w:type="dxa"/>
            <w:vAlign w:val="bottom"/>
            <w:tcBorders>
              <w:right w:val="single" w:sz="8" w:color="BDE1E9"/>
            </w:tcBorders>
            <w:shd w:val="clear" w:color="auto" w:fill="BDE1E9"/>
          </w:tcPr>
          <w:p>
            <w:pPr>
              <w:spacing w:after="0"/>
              <w:rPr>
                <w:sz w:val="17"/>
                <w:szCs w:val="17"/>
                <w:color w:val="auto"/>
              </w:rPr>
            </w:pPr>
          </w:p>
        </w:tc>
        <w:tc>
          <w:tcPr>
            <w:tcW w:w="100" w:type="dxa"/>
            <w:vAlign w:val="bottom"/>
            <w:tcBorders>
              <w:right w:val="single" w:sz="8" w:color="BDE1E9"/>
            </w:tcBorders>
            <w:shd w:val="clear" w:color="auto" w:fill="BDE1E9"/>
          </w:tcPr>
          <w:p>
            <w:pPr>
              <w:spacing w:after="0"/>
              <w:rPr>
                <w:sz w:val="17"/>
                <w:szCs w:val="17"/>
                <w:color w:val="auto"/>
              </w:rPr>
            </w:pPr>
          </w:p>
        </w:tc>
        <w:tc>
          <w:tcPr>
            <w:tcW w:w="40" w:type="dxa"/>
            <w:vAlign w:val="bottom"/>
            <w:tcBorders>
              <w:left w:val="single" w:sz="8" w:color="BDE1E9"/>
            </w:tcBorders>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10.34</w:t>
            </w:r>
          </w:p>
        </w:tc>
        <w:tc>
          <w:tcPr>
            <w:tcW w:w="4840" w:type="dxa"/>
            <w:vAlign w:val="bottom"/>
          </w:tcPr>
          <w:p>
            <w:pPr>
              <w:ind w:left="220"/>
              <w:spacing w:after="0" w:line="148" w:lineRule="exact"/>
              <w:rPr>
                <w:sz w:val="20"/>
                <w:szCs w:val="20"/>
                <w:color w:val="auto"/>
              </w:rPr>
            </w:pPr>
            <w:r>
              <w:rPr>
                <w:rFonts w:ascii="Times New Roman" w:cs="Times New Roman" w:eastAsia="Times New Roman" w:hAnsi="Times New Roman"/>
                <w:sz w:val="16"/>
                <w:szCs w:val="16"/>
                <w:color w:val="auto"/>
              </w:rPr>
              <w:t>Second Amended and Restated Credit Agreement dated March 6,</w:t>
            </w:r>
          </w:p>
        </w:tc>
        <w:tc>
          <w:tcPr>
            <w:tcW w:w="5300" w:type="dxa"/>
            <w:vAlign w:val="bottom"/>
            <w:gridSpan w:val="14"/>
          </w:tcPr>
          <w:p>
            <w:pPr>
              <w:ind w:left="40"/>
              <w:spacing w:after="0" w:line="148" w:lineRule="exact"/>
              <w:rPr>
                <w:rFonts w:ascii="Times New Roman" w:cs="Times New Roman" w:eastAsia="Times New Roman" w:hAnsi="Times New Roman"/>
                <w:sz w:val="16"/>
                <w:szCs w:val="16"/>
                <w:color w:val="auto"/>
              </w:rPr>
            </w:pPr>
            <w:hyperlink r:id="rId5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10.2.1 to the Company’s report on Form 8-K (file no. 1-</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2020, among Consolidated Amusement Holdings, LLC, certain</w:t>
            </w:r>
          </w:p>
        </w:tc>
        <w:tc>
          <w:tcPr>
            <w:tcW w:w="600" w:type="dxa"/>
            <w:vAlign w:val="bottom"/>
            <w:gridSpan w:val="2"/>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vMerge w:val="continue"/>
          </w:tcPr>
          <w:p>
            <w:pPr>
              <w:spacing w:after="0"/>
              <w:rPr>
                <w:sz w:val="14"/>
                <w:szCs w:val="14"/>
                <w:color w:val="auto"/>
              </w:rPr>
            </w:pPr>
          </w:p>
        </w:tc>
        <w:tc>
          <w:tcPr>
            <w:tcW w:w="4980" w:type="dxa"/>
            <w:vAlign w:val="bottom"/>
            <w:gridSpan w:val="11"/>
          </w:tcPr>
          <w:p>
            <w:pPr>
              <w:ind w:left="40"/>
              <w:spacing w:after="0" w:line="169" w:lineRule="exact"/>
              <w:rPr>
                <w:rFonts w:ascii="Times New Roman" w:cs="Times New Roman" w:eastAsia="Times New Roman" w:hAnsi="Times New Roman"/>
                <w:sz w:val="16"/>
                <w:szCs w:val="16"/>
                <w:b w:val="1"/>
                <w:bCs w:val="1"/>
                <w:color w:val="0000FF"/>
              </w:rPr>
            </w:pPr>
            <w:hyperlink r:id="rId53">
              <w:r>
                <w:rPr>
                  <w:rFonts w:ascii="Times New Roman" w:cs="Times New Roman" w:eastAsia="Times New Roman" w:hAnsi="Times New Roman"/>
                  <w:sz w:val="16"/>
                  <w:szCs w:val="16"/>
                  <w:b w:val="1"/>
                  <w:bCs w:val="1"/>
                  <w:color w:val="0000FF"/>
                </w:rPr>
                <w:t>8625)</w:t>
              </w:r>
              <w:r>
                <w:rPr>
                  <w:rFonts w:ascii="Times New Roman" w:cs="Times New Roman" w:eastAsia="Times New Roman" w:hAnsi="Times New Roman"/>
                  <w:sz w:val="16"/>
                  <w:szCs w:val="16"/>
                  <w:b w:val="1"/>
                  <w:bCs w:val="1"/>
                  <w:u w:val="single" w:color="auto"/>
                  <w:color w:val="0000FF"/>
                </w:rPr>
                <w:t>,</w:t>
              </w:r>
              <w:r>
                <w:rPr>
                  <w:rFonts w:ascii="Times New Roman" w:cs="Times New Roman" w:eastAsia="Times New Roman" w:hAnsi="Times New Roman"/>
                  <w:sz w:val="16"/>
                  <w:szCs w:val="16"/>
                  <w:b w:val="1"/>
                  <w:bCs w:val="1"/>
                  <w:color w:val="0000FF"/>
                </w:rPr>
                <w:t xml:space="preserve"> filed on June 2, 2020</w:t>
              </w:r>
              <w:r>
                <w:rPr>
                  <w:rFonts w:ascii="Times New Roman" w:cs="Times New Roman" w:eastAsia="Times New Roman" w:hAnsi="Times New Roman"/>
                  <w:sz w:val="16"/>
                  <w:szCs w:val="16"/>
                  <w:color w:val="000000"/>
                </w:rPr>
                <w:t>, and incorporated herein by reference.</w:t>
              </w:r>
            </w:hyperlink>
          </w:p>
        </w:tc>
        <w:tc>
          <w:tcPr>
            <w:tcW w:w="2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affiliates of the Company, the financial institutions party thereto and</w:t>
            </w:r>
          </w:p>
        </w:tc>
        <w:tc>
          <w:tcPr>
            <w:tcW w:w="4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Bank of America, N.A., as administrative agent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100" w:type="dxa"/>
            <w:vAlign w:val="bottom"/>
            <w:shd w:val="clear" w:color="auto" w:fill="BDE1E9"/>
          </w:tcPr>
          <w:p>
            <w:pPr>
              <w:jc w:val="center"/>
              <w:ind w:left="139"/>
              <w:spacing w:after="0" w:line="152" w:lineRule="exact"/>
              <w:rPr>
                <w:sz w:val="20"/>
                <w:szCs w:val="20"/>
                <w:color w:val="auto"/>
              </w:rPr>
            </w:pPr>
            <w:r>
              <w:rPr>
                <w:rFonts w:ascii="Times New Roman" w:cs="Times New Roman" w:eastAsia="Times New Roman" w:hAnsi="Times New Roman"/>
                <w:sz w:val="16"/>
                <w:szCs w:val="16"/>
                <w:color w:val="auto"/>
                <w:w w:val="99"/>
              </w:rPr>
              <w:t>10.35</w:t>
            </w:r>
          </w:p>
        </w:tc>
        <w:tc>
          <w:tcPr>
            <w:tcW w:w="4840" w:type="dxa"/>
            <w:vAlign w:val="bottom"/>
            <w:shd w:val="clear" w:color="auto" w:fill="BDE1E9"/>
          </w:tcPr>
          <w:p>
            <w:pPr>
              <w:ind w:left="220"/>
              <w:spacing w:after="0" w:line="152" w:lineRule="exact"/>
              <w:rPr>
                <w:sz w:val="20"/>
                <w:szCs w:val="20"/>
                <w:color w:val="auto"/>
              </w:rPr>
            </w:pPr>
            <w:r>
              <w:rPr>
                <w:rFonts w:ascii="Times New Roman" w:cs="Times New Roman" w:eastAsia="Times New Roman" w:hAnsi="Times New Roman"/>
                <w:sz w:val="16"/>
                <w:szCs w:val="16"/>
                <w:color w:val="auto"/>
              </w:rPr>
              <w:t>Waiver and First Amendment to Second Amended and Restated Credit</w:t>
            </w:r>
          </w:p>
        </w:tc>
        <w:tc>
          <w:tcPr>
            <w:tcW w:w="5300" w:type="dxa"/>
            <w:vAlign w:val="bottom"/>
            <w:gridSpan w:val="14"/>
            <w:shd w:val="clear" w:color="auto" w:fill="BDE1E9"/>
          </w:tcPr>
          <w:p>
            <w:pPr>
              <w:ind w:left="40"/>
              <w:spacing w:after="0" w:line="152" w:lineRule="exact"/>
              <w:rPr>
                <w:rFonts w:ascii="Times New Roman" w:cs="Times New Roman" w:eastAsia="Times New Roman" w:hAnsi="Times New Roman"/>
                <w:sz w:val="16"/>
                <w:szCs w:val="16"/>
                <w:color w:val="auto"/>
              </w:rPr>
            </w:pPr>
            <w:hyperlink r:id="rId5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10.2.2 to the Company’s report on Form 8-K (file no. 1-</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BDE1E9"/>
          </w:tcPr>
          <w:p>
            <w:pPr>
              <w:spacing w:after="0" w:line="20" w:lineRule="exact"/>
              <w:rPr>
                <w:sz w:val="1"/>
                <w:szCs w:val="1"/>
                <w:color w:val="auto"/>
              </w:rPr>
            </w:pPr>
          </w:p>
        </w:tc>
        <w:tc>
          <w:tcPr>
            <w:tcW w:w="4840" w:type="dxa"/>
            <w:vAlign w:val="bottom"/>
            <w:vMerge w:val="restart"/>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Agreement dated May 15, 2020, among Consolidated Amusement</w:t>
            </w:r>
          </w:p>
        </w:tc>
        <w:tc>
          <w:tcPr>
            <w:tcW w:w="600" w:type="dxa"/>
            <w:vAlign w:val="bottom"/>
            <w:tcBorders>
              <w:right w:val="single" w:sz="8" w:color="BDE1E9"/>
            </w:tcBorders>
            <w:gridSpan w:val="2"/>
            <w:shd w:val="clear" w:color="auto" w:fill="BDE1E9"/>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80" w:type="dxa"/>
            <w:vAlign w:val="bottom"/>
            <w:tcBorders>
              <w:right w:val="single" w:sz="8" w:color="BDE1E9"/>
            </w:tcBorders>
            <w:gridSpan w:val="2"/>
            <w:vMerge w:val="restart"/>
            <w:shd w:val="clear" w:color="auto" w:fill="BDE1E9"/>
          </w:tcPr>
          <w:p>
            <w:pPr>
              <w:spacing w:after="0" w:line="20" w:lineRule="exact"/>
              <w:rPr>
                <w:sz w:val="1"/>
                <w:szCs w:val="1"/>
                <w:color w:val="auto"/>
              </w:rPr>
            </w:pPr>
          </w:p>
        </w:tc>
        <w:tc>
          <w:tcPr>
            <w:tcW w:w="40" w:type="dxa"/>
            <w:vAlign w:val="bottom"/>
            <w:tcBorders>
              <w:left w:val="single" w:sz="8" w:color="BDE1E9"/>
            </w:tcBorders>
            <w:vMerge w:val="restart"/>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shd w:val="clear" w:color="auto" w:fill="BDE1E9"/>
          </w:tcPr>
          <w:p>
            <w:pPr>
              <w:spacing w:after="0"/>
              <w:rPr>
                <w:sz w:val="14"/>
                <w:szCs w:val="14"/>
                <w:color w:val="auto"/>
              </w:rPr>
            </w:pPr>
          </w:p>
        </w:tc>
        <w:tc>
          <w:tcPr>
            <w:tcW w:w="4840" w:type="dxa"/>
            <w:vAlign w:val="bottom"/>
            <w:vMerge w:val="continue"/>
            <w:shd w:val="clear" w:color="auto" w:fill="BDE1E9"/>
          </w:tcPr>
          <w:p>
            <w:pPr>
              <w:spacing w:after="0"/>
              <w:rPr>
                <w:sz w:val="14"/>
                <w:szCs w:val="14"/>
                <w:color w:val="auto"/>
              </w:rPr>
            </w:pPr>
          </w:p>
        </w:tc>
        <w:tc>
          <w:tcPr>
            <w:tcW w:w="4980" w:type="dxa"/>
            <w:vAlign w:val="bottom"/>
            <w:gridSpan w:val="11"/>
            <w:shd w:val="clear" w:color="auto" w:fill="BDE1E9"/>
          </w:tcPr>
          <w:p>
            <w:pPr>
              <w:ind w:left="40"/>
              <w:spacing w:after="0" w:line="169" w:lineRule="exact"/>
              <w:rPr>
                <w:rFonts w:ascii="Times New Roman" w:cs="Times New Roman" w:eastAsia="Times New Roman" w:hAnsi="Times New Roman"/>
                <w:sz w:val="16"/>
                <w:szCs w:val="16"/>
                <w:b w:val="1"/>
                <w:bCs w:val="1"/>
                <w:color w:val="0000FF"/>
              </w:rPr>
            </w:pPr>
            <w:hyperlink r:id="rId53">
              <w:r>
                <w:rPr>
                  <w:rFonts w:ascii="Times New Roman" w:cs="Times New Roman" w:eastAsia="Times New Roman" w:hAnsi="Times New Roman"/>
                  <w:sz w:val="16"/>
                  <w:szCs w:val="16"/>
                  <w:b w:val="1"/>
                  <w:bCs w:val="1"/>
                  <w:color w:val="0000FF"/>
                </w:rPr>
                <w:t>8625)</w:t>
              </w:r>
              <w:r>
                <w:rPr>
                  <w:rFonts w:ascii="Times New Roman" w:cs="Times New Roman" w:eastAsia="Times New Roman" w:hAnsi="Times New Roman"/>
                  <w:sz w:val="16"/>
                  <w:szCs w:val="16"/>
                  <w:b w:val="1"/>
                  <w:bCs w:val="1"/>
                  <w:u w:val="single" w:color="auto"/>
                  <w:color w:val="0000FF"/>
                </w:rPr>
                <w:t>,</w:t>
              </w:r>
              <w:r>
                <w:rPr>
                  <w:rFonts w:ascii="Times New Roman" w:cs="Times New Roman" w:eastAsia="Times New Roman" w:hAnsi="Times New Roman"/>
                  <w:sz w:val="16"/>
                  <w:szCs w:val="16"/>
                  <w:b w:val="1"/>
                  <w:bCs w:val="1"/>
                  <w:color w:val="0000FF"/>
                </w:rPr>
                <w:t xml:space="preserve"> filed on June 2, 2020</w:t>
              </w:r>
              <w:r>
                <w:rPr>
                  <w:rFonts w:ascii="Times New Roman" w:cs="Times New Roman" w:eastAsia="Times New Roman" w:hAnsi="Times New Roman"/>
                  <w:sz w:val="16"/>
                  <w:szCs w:val="16"/>
                  <w:color w:val="000000"/>
                </w:rPr>
                <w:t>, and incorporated herein by reference.</w:t>
              </w:r>
            </w:hyperlink>
          </w:p>
        </w:tc>
        <w:tc>
          <w:tcPr>
            <w:tcW w:w="280" w:type="dxa"/>
            <w:vAlign w:val="bottom"/>
            <w:tcBorders>
              <w:right w:val="single" w:sz="8" w:color="BDE1E9"/>
            </w:tcBorders>
            <w:gridSpan w:val="2"/>
            <w:vMerge w:val="continue"/>
            <w:shd w:val="clear" w:color="auto" w:fill="BDE1E9"/>
          </w:tcPr>
          <w:p>
            <w:pPr>
              <w:spacing w:after="0"/>
              <w:rPr>
                <w:sz w:val="14"/>
                <w:szCs w:val="14"/>
                <w:color w:val="auto"/>
              </w:rPr>
            </w:pPr>
          </w:p>
        </w:tc>
        <w:tc>
          <w:tcPr>
            <w:tcW w:w="40" w:type="dxa"/>
            <w:vAlign w:val="bottom"/>
            <w:tcBorders>
              <w:left w:val="single" w:sz="8" w:color="BDE1E9"/>
            </w:tcBorders>
            <w:vMerge w:val="continue"/>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Borders>
              <w:top w:val="single" w:sz="8" w:color="BDE1E9"/>
            </w:tcBorders>
            <w:shd w:val="clear" w:color="auto" w:fill="BDE1E9"/>
          </w:tcPr>
          <w:p>
            <w:pPr>
              <w:spacing w:after="0"/>
              <w:rPr>
                <w:sz w:val="14"/>
                <w:szCs w:val="14"/>
                <w:color w:val="auto"/>
              </w:rPr>
            </w:pPr>
          </w:p>
        </w:tc>
        <w:tc>
          <w:tcPr>
            <w:tcW w:w="4840" w:type="dxa"/>
            <w:vAlign w:val="bottom"/>
            <w:tcBorders>
              <w:top w:val="single" w:sz="8" w:color="BDE1E9"/>
            </w:tcBorders>
            <w:shd w:val="clear" w:color="auto" w:fill="BDE1E9"/>
          </w:tcPr>
          <w:p>
            <w:pPr>
              <w:ind w:left="220"/>
              <w:spacing w:after="0" w:line="169" w:lineRule="exact"/>
              <w:rPr>
                <w:sz w:val="20"/>
                <w:szCs w:val="20"/>
                <w:color w:val="auto"/>
              </w:rPr>
            </w:pPr>
            <w:r>
              <w:rPr>
                <w:rFonts w:ascii="Times New Roman" w:cs="Times New Roman" w:eastAsia="Times New Roman" w:hAnsi="Times New Roman"/>
                <w:sz w:val="16"/>
                <w:szCs w:val="16"/>
                <w:color w:val="auto"/>
              </w:rPr>
              <w:t>Holdings, LLC, certain affiliates of the Company, the financial</w:t>
            </w:r>
          </w:p>
        </w:tc>
        <w:tc>
          <w:tcPr>
            <w:tcW w:w="40" w:type="dxa"/>
            <w:vAlign w:val="bottom"/>
            <w:tcBorders>
              <w:top w:val="single" w:sz="8" w:color="BDE1E9"/>
            </w:tcBorders>
            <w:shd w:val="clear" w:color="auto" w:fill="BDE1E9"/>
          </w:tcPr>
          <w:p>
            <w:pPr>
              <w:spacing w:after="0"/>
              <w:rPr>
                <w:sz w:val="14"/>
                <w:szCs w:val="14"/>
                <w:color w:val="auto"/>
              </w:rPr>
            </w:pPr>
          </w:p>
        </w:tc>
        <w:tc>
          <w:tcPr>
            <w:tcW w:w="560" w:type="dxa"/>
            <w:vAlign w:val="bottom"/>
            <w:tcBorders>
              <w:top w:val="single" w:sz="8" w:color="0000FF"/>
              <w:right w:val="single" w:sz="8" w:color="BDE1E9"/>
            </w:tcBorders>
            <w:shd w:val="clear" w:color="auto" w:fill="BDE1E9"/>
          </w:tcPr>
          <w:p>
            <w:pPr>
              <w:spacing w:after="0"/>
              <w:rPr>
                <w:sz w:val="14"/>
                <w:szCs w:val="14"/>
                <w:color w:val="auto"/>
              </w:rPr>
            </w:pPr>
          </w:p>
        </w:tc>
        <w:tc>
          <w:tcPr>
            <w:tcW w:w="1200" w:type="dxa"/>
            <w:vAlign w:val="bottom"/>
            <w:tcBorders>
              <w:top w:val="single" w:sz="8" w:color="0000FF"/>
            </w:tcBorders>
            <w:shd w:val="clear" w:color="auto" w:fill="BDE1E9"/>
          </w:tcPr>
          <w:p>
            <w:pPr>
              <w:spacing w:after="0"/>
              <w:rPr>
                <w:sz w:val="14"/>
                <w:szCs w:val="14"/>
                <w:color w:val="auto"/>
              </w:rPr>
            </w:pPr>
          </w:p>
        </w:tc>
        <w:tc>
          <w:tcPr>
            <w:tcW w:w="120" w:type="dxa"/>
            <w:vAlign w:val="bottom"/>
            <w:tcBorders>
              <w:top w:val="single" w:sz="8" w:color="0000FF"/>
            </w:tcBorders>
            <w:shd w:val="clear" w:color="auto" w:fill="BDE1E9"/>
          </w:tcPr>
          <w:p>
            <w:pPr>
              <w:spacing w:after="0"/>
              <w:rPr>
                <w:sz w:val="14"/>
                <w:szCs w:val="14"/>
                <w:color w:val="auto"/>
              </w:rPr>
            </w:pPr>
          </w:p>
        </w:tc>
        <w:tc>
          <w:tcPr>
            <w:tcW w:w="360" w:type="dxa"/>
            <w:vAlign w:val="bottom"/>
            <w:tcBorders>
              <w:top w:val="single" w:sz="8" w:color="BDE1E9"/>
            </w:tcBorders>
            <w:shd w:val="clear" w:color="auto" w:fill="BDE1E9"/>
          </w:tcPr>
          <w:p>
            <w:pPr>
              <w:spacing w:after="0"/>
              <w:rPr>
                <w:sz w:val="14"/>
                <w:szCs w:val="14"/>
                <w:color w:val="auto"/>
              </w:rPr>
            </w:pPr>
          </w:p>
        </w:tc>
        <w:tc>
          <w:tcPr>
            <w:tcW w:w="40" w:type="dxa"/>
            <w:vAlign w:val="bottom"/>
            <w:tcBorders>
              <w:top w:val="single" w:sz="8" w:color="BDE1E9"/>
            </w:tcBorders>
            <w:shd w:val="clear" w:color="auto" w:fill="BDE1E9"/>
          </w:tcPr>
          <w:p>
            <w:pPr>
              <w:spacing w:after="0"/>
              <w:rPr>
                <w:sz w:val="14"/>
                <w:szCs w:val="14"/>
                <w:color w:val="auto"/>
              </w:rPr>
            </w:pPr>
          </w:p>
        </w:tc>
        <w:tc>
          <w:tcPr>
            <w:tcW w:w="80" w:type="dxa"/>
            <w:vAlign w:val="bottom"/>
            <w:tcBorders>
              <w:top w:val="single" w:sz="8" w:color="BDE1E9"/>
            </w:tcBorders>
            <w:shd w:val="clear" w:color="auto" w:fill="BDE1E9"/>
          </w:tcPr>
          <w:p>
            <w:pPr>
              <w:spacing w:after="0"/>
              <w:rPr>
                <w:sz w:val="14"/>
                <w:szCs w:val="14"/>
                <w:color w:val="auto"/>
              </w:rPr>
            </w:pPr>
          </w:p>
        </w:tc>
        <w:tc>
          <w:tcPr>
            <w:tcW w:w="20" w:type="dxa"/>
            <w:vAlign w:val="bottom"/>
            <w:tcBorders>
              <w:top w:val="single" w:sz="8" w:color="BDE1E9"/>
            </w:tcBorders>
            <w:shd w:val="clear" w:color="auto" w:fill="BDE1E9"/>
          </w:tcPr>
          <w:p>
            <w:pPr>
              <w:spacing w:after="0"/>
              <w:rPr>
                <w:sz w:val="14"/>
                <w:szCs w:val="14"/>
                <w:color w:val="auto"/>
              </w:rPr>
            </w:pPr>
          </w:p>
        </w:tc>
        <w:tc>
          <w:tcPr>
            <w:tcW w:w="20" w:type="dxa"/>
            <w:vAlign w:val="bottom"/>
            <w:tcBorders>
              <w:top w:val="single" w:sz="8" w:color="BDE1E9"/>
            </w:tcBorders>
            <w:shd w:val="clear" w:color="auto" w:fill="BDE1E9"/>
          </w:tcPr>
          <w:p>
            <w:pPr>
              <w:spacing w:after="0"/>
              <w:rPr>
                <w:sz w:val="14"/>
                <w:szCs w:val="14"/>
                <w:color w:val="auto"/>
              </w:rPr>
            </w:pPr>
          </w:p>
        </w:tc>
        <w:tc>
          <w:tcPr>
            <w:tcW w:w="240" w:type="dxa"/>
            <w:vAlign w:val="bottom"/>
            <w:tcBorders>
              <w:top w:val="single" w:sz="8" w:color="BDE1E9"/>
            </w:tcBorders>
            <w:shd w:val="clear" w:color="auto" w:fill="BDE1E9"/>
          </w:tcPr>
          <w:p>
            <w:pPr>
              <w:spacing w:after="0"/>
              <w:rPr>
                <w:sz w:val="14"/>
                <w:szCs w:val="14"/>
                <w:color w:val="auto"/>
              </w:rPr>
            </w:pPr>
          </w:p>
        </w:tc>
        <w:tc>
          <w:tcPr>
            <w:tcW w:w="2300" w:type="dxa"/>
            <w:vAlign w:val="bottom"/>
            <w:tcBorders>
              <w:top w:val="single" w:sz="8" w:color="BDE1E9"/>
            </w:tcBorders>
            <w:shd w:val="clear" w:color="auto" w:fill="BDE1E9"/>
          </w:tcPr>
          <w:p>
            <w:pPr>
              <w:spacing w:after="0"/>
              <w:rPr>
                <w:sz w:val="14"/>
                <w:szCs w:val="14"/>
                <w:color w:val="auto"/>
              </w:rPr>
            </w:pPr>
          </w:p>
        </w:tc>
        <w:tc>
          <w:tcPr>
            <w:tcW w:w="180" w:type="dxa"/>
            <w:vAlign w:val="bottom"/>
            <w:tcBorders>
              <w:top w:val="single" w:sz="8" w:color="BDE1E9"/>
              <w:right w:val="single" w:sz="8" w:color="BDE1E9"/>
            </w:tcBorders>
            <w:shd w:val="clear" w:color="auto" w:fill="BDE1E9"/>
          </w:tcPr>
          <w:p>
            <w:pPr>
              <w:spacing w:after="0"/>
              <w:rPr>
                <w:sz w:val="14"/>
                <w:szCs w:val="14"/>
                <w:color w:val="auto"/>
              </w:rPr>
            </w:pPr>
          </w:p>
        </w:tc>
        <w:tc>
          <w:tcPr>
            <w:tcW w:w="100" w:type="dxa"/>
            <w:vAlign w:val="bottom"/>
            <w:tcBorders>
              <w:top w:val="single" w:sz="8" w:color="BDE1E9"/>
              <w:right w:val="single" w:sz="8" w:color="BDE1E9"/>
            </w:tcBorders>
            <w:shd w:val="clear" w:color="auto" w:fill="BDE1E9"/>
          </w:tcPr>
          <w:p>
            <w:pPr>
              <w:spacing w:after="0"/>
              <w:rPr>
                <w:sz w:val="14"/>
                <w:szCs w:val="14"/>
                <w:color w:val="auto"/>
              </w:rPr>
            </w:pPr>
          </w:p>
        </w:tc>
        <w:tc>
          <w:tcPr>
            <w:tcW w:w="40" w:type="dxa"/>
            <w:vAlign w:val="bottom"/>
            <w:tcBorders>
              <w:top w:val="single" w:sz="8" w:color="BDE1E9"/>
              <w:left w:val="single" w:sz="8" w:color="BDE1E9"/>
            </w:tcBorders>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0" w:type="dxa"/>
            <w:vAlign w:val="bottom"/>
            <w:shd w:val="clear" w:color="auto" w:fill="BDE1E9"/>
          </w:tcPr>
          <w:p>
            <w:pPr>
              <w:spacing w:after="0"/>
              <w:rPr>
                <w:sz w:val="16"/>
                <w:szCs w:val="16"/>
                <w:color w:val="auto"/>
              </w:rPr>
            </w:pPr>
          </w:p>
        </w:tc>
        <w:tc>
          <w:tcPr>
            <w:tcW w:w="4840" w:type="dxa"/>
            <w:vAlign w:val="bottom"/>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institutions party thereto and Bank of America, N.A., as administrative</w:t>
            </w:r>
          </w:p>
        </w:tc>
        <w:tc>
          <w:tcPr>
            <w:tcW w:w="40" w:type="dxa"/>
            <w:vAlign w:val="bottom"/>
            <w:shd w:val="clear" w:color="auto" w:fill="BDE1E9"/>
          </w:tcPr>
          <w:p>
            <w:pPr>
              <w:spacing w:after="0"/>
              <w:rPr>
                <w:sz w:val="16"/>
                <w:szCs w:val="16"/>
                <w:color w:val="auto"/>
              </w:rPr>
            </w:pPr>
          </w:p>
        </w:tc>
        <w:tc>
          <w:tcPr>
            <w:tcW w:w="560" w:type="dxa"/>
            <w:vAlign w:val="bottom"/>
            <w:tcBorders>
              <w:right w:val="single" w:sz="8" w:color="BDE1E9"/>
            </w:tcBorders>
            <w:shd w:val="clear" w:color="auto" w:fill="BDE1E9"/>
          </w:tcPr>
          <w:p>
            <w:pPr>
              <w:spacing w:after="0"/>
              <w:rPr>
                <w:sz w:val="16"/>
                <w:szCs w:val="16"/>
                <w:color w:val="auto"/>
              </w:rPr>
            </w:pPr>
          </w:p>
        </w:tc>
        <w:tc>
          <w:tcPr>
            <w:tcW w:w="1200" w:type="dxa"/>
            <w:vAlign w:val="bottom"/>
            <w:shd w:val="clear" w:color="auto" w:fill="BDE1E9"/>
          </w:tcPr>
          <w:p>
            <w:pPr>
              <w:spacing w:after="0"/>
              <w:rPr>
                <w:sz w:val="16"/>
                <w:szCs w:val="16"/>
                <w:color w:val="auto"/>
              </w:rPr>
            </w:pPr>
          </w:p>
        </w:tc>
        <w:tc>
          <w:tcPr>
            <w:tcW w:w="120" w:type="dxa"/>
            <w:vAlign w:val="bottom"/>
            <w:shd w:val="clear" w:color="auto" w:fill="BDE1E9"/>
          </w:tcPr>
          <w:p>
            <w:pPr>
              <w:spacing w:after="0"/>
              <w:rPr>
                <w:sz w:val="16"/>
                <w:szCs w:val="16"/>
                <w:color w:val="auto"/>
              </w:rPr>
            </w:pPr>
          </w:p>
        </w:tc>
        <w:tc>
          <w:tcPr>
            <w:tcW w:w="360" w:type="dxa"/>
            <w:vAlign w:val="bottom"/>
            <w:shd w:val="clear" w:color="auto" w:fill="BDE1E9"/>
          </w:tcPr>
          <w:p>
            <w:pPr>
              <w:spacing w:after="0"/>
              <w:rPr>
                <w:sz w:val="16"/>
                <w:szCs w:val="16"/>
                <w:color w:val="auto"/>
              </w:rPr>
            </w:pPr>
          </w:p>
        </w:tc>
        <w:tc>
          <w:tcPr>
            <w:tcW w:w="40" w:type="dxa"/>
            <w:vAlign w:val="bottom"/>
            <w:shd w:val="clear" w:color="auto" w:fill="BDE1E9"/>
          </w:tcPr>
          <w:p>
            <w:pPr>
              <w:spacing w:after="0"/>
              <w:rPr>
                <w:sz w:val="16"/>
                <w:szCs w:val="16"/>
                <w:color w:val="auto"/>
              </w:rPr>
            </w:pPr>
          </w:p>
        </w:tc>
        <w:tc>
          <w:tcPr>
            <w:tcW w:w="80" w:type="dxa"/>
            <w:vAlign w:val="bottom"/>
            <w:shd w:val="clear" w:color="auto" w:fill="BDE1E9"/>
          </w:tcPr>
          <w:p>
            <w:pPr>
              <w:spacing w:after="0"/>
              <w:rPr>
                <w:sz w:val="16"/>
                <w:szCs w:val="16"/>
                <w:color w:val="auto"/>
              </w:rPr>
            </w:pPr>
          </w:p>
        </w:tc>
        <w:tc>
          <w:tcPr>
            <w:tcW w:w="20" w:type="dxa"/>
            <w:vAlign w:val="bottom"/>
            <w:shd w:val="clear" w:color="auto" w:fill="BDE1E9"/>
          </w:tcPr>
          <w:p>
            <w:pPr>
              <w:spacing w:after="0"/>
              <w:rPr>
                <w:sz w:val="16"/>
                <w:szCs w:val="16"/>
                <w:color w:val="auto"/>
              </w:rPr>
            </w:pPr>
          </w:p>
        </w:tc>
        <w:tc>
          <w:tcPr>
            <w:tcW w:w="20" w:type="dxa"/>
            <w:vAlign w:val="bottom"/>
            <w:shd w:val="clear" w:color="auto" w:fill="BDE1E9"/>
          </w:tcPr>
          <w:p>
            <w:pPr>
              <w:spacing w:after="0"/>
              <w:rPr>
                <w:sz w:val="16"/>
                <w:szCs w:val="16"/>
                <w:color w:val="auto"/>
              </w:rPr>
            </w:pPr>
          </w:p>
        </w:tc>
        <w:tc>
          <w:tcPr>
            <w:tcW w:w="240" w:type="dxa"/>
            <w:vAlign w:val="bottom"/>
            <w:shd w:val="clear" w:color="auto" w:fill="BDE1E9"/>
          </w:tcPr>
          <w:p>
            <w:pPr>
              <w:spacing w:after="0"/>
              <w:rPr>
                <w:sz w:val="16"/>
                <w:szCs w:val="16"/>
                <w:color w:val="auto"/>
              </w:rPr>
            </w:pPr>
          </w:p>
        </w:tc>
        <w:tc>
          <w:tcPr>
            <w:tcW w:w="2300" w:type="dxa"/>
            <w:vAlign w:val="bottom"/>
            <w:shd w:val="clear" w:color="auto" w:fill="BDE1E9"/>
          </w:tcPr>
          <w:p>
            <w:pPr>
              <w:spacing w:after="0"/>
              <w:rPr>
                <w:sz w:val="16"/>
                <w:szCs w:val="16"/>
                <w:color w:val="auto"/>
              </w:rPr>
            </w:pPr>
          </w:p>
        </w:tc>
        <w:tc>
          <w:tcPr>
            <w:tcW w:w="180" w:type="dxa"/>
            <w:vAlign w:val="bottom"/>
            <w:tcBorders>
              <w:right w:val="single" w:sz="8" w:color="BDE1E9"/>
            </w:tcBorders>
            <w:shd w:val="clear" w:color="auto" w:fill="BDE1E9"/>
          </w:tcPr>
          <w:p>
            <w:pPr>
              <w:spacing w:after="0"/>
              <w:rPr>
                <w:sz w:val="16"/>
                <w:szCs w:val="16"/>
                <w:color w:val="auto"/>
              </w:rPr>
            </w:pPr>
          </w:p>
        </w:tc>
        <w:tc>
          <w:tcPr>
            <w:tcW w:w="100" w:type="dxa"/>
            <w:vAlign w:val="bottom"/>
            <w:tcBorders>
              <w:right w:val="single" w:sz="8" w:color="BDE1E9"/>
            </w:tcBorders>
            <w:shd w:val="clear" w:color="auto" w:fill="BDE1E9"/>
          </w:tcPr>
          <w:p>
            <w:pPr>
              <w:spacing w:after="0"/>
              <w:rPr>
                <w:sz w:val="16"/>
                <w:szCs w:val="16"/>
                <w:color w:val="auto"/>
              </w:rPr>
            </w:pPr>
          </w:p>
        </w:tc>
        <w:tc>
          <w:tcPr>
            <w:tcW w:w="40" w:type="dxa"/>
            <w:vAlign w:val="bottom"/>
            <w:tcBorders>
              <w:left w:val="single" w:sz="8" w:color="BDE1E9"/>
            </w:tcBorders>
            <w:shd w:val="clear" w:color="auto" w:fill="BDE1E9"/>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BDE1E9"/>
          </w:tcPr>
          <w:p>
            <w:pPr>
              <w:spacing w:after="0"/>
              <w:rPr>
                <w:sz w:val="18"/>
                <w:szCs w:val="18"/>
                <w:color w:val="auto"/>
              </w:rPr>
            </w:pPr>
          </w:p>
        </w:tc>
        <w:tc>
          <w:tcPr>
            <w:tcW w:w="4840" w:type="dxa"/>
            <w:vAlign w:val="bottom"/>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agent</w:t>
            </w:r>
          </w:p>
        </w:tc>
        <w:tc>
          <w:tcPr>
            <w:tcW w:w="40" w:type="dxa"/>
            <w:vAlign w:val="bottom"/>
            <w:shd w:val="clear" w:color="auto" w:fill="BDE1E9"/>
          </w:tcPr>
          <w:p>
            <w:pPr>
              <w:spacing w:after="0"/>
              <w:rPr>
                <w:sz w:val="18"/>
                <w:szCs w:val="18"/>
                <w:color w:val="auto"/>
              </w:rPr>
            </w:pPr>
          </w:p>
        </w:tc>
        <w:tc>
          <w:tcPr>
            <w:tcW w:w="560" w:type="dxa"/>
            <w:vAlign w:val="bottom"/>
            <w:tcBorders>
              <w:right w:val="single" w:sz="8" w:color="BDE1E9"/>
            </w:tcBorders>
            <w:shd w:val="clear" w:color="auto" w:fill="BDE1E9"/>
          </w:tcPr>
          <w:p>
            <w:pPr>
              <w:spacing w:after="0"/>
              <w:rPr>
                <w:sz w:val="18"/>
                <w:szCs w:val="18"/>
                <w:color w:val="auto"/>
              </w:rPr>
            </w:pPr>
          </w:p>
        </w:tc>
        <w:tc>
          <w:tcPr>
            <w:tcW w:w="1200" w:type="dxa"/>
            <w:vAlign w:val="bottom"/>
            <w:shd w:val="clear" w:color="auto" w:fill="BDE1E9"/>
          </w:tcPr>
          <w:p>
            <w:pPr>
              <w:spacing w:after="0"/>
              <w:rPr>
                <w:sz w:val="18"/>
                <w:szCs w:val="18"/>
                <w:color w:val="auto"/>
              </w:rPr>
            </w:pPr>
          </w:p>
        </w:tc>
        <w:tc>
          <w:tcPr>
            <w:tcW w:w="120" w:type="dxa"/>
            <w:vAlign w:val="bottom"/>
            <w:shd w:val="clear" w:color="auto" w:fill="BDE1E9"/>
          </w:tcPr>
          <w:p>
            <w:pPr>
              <w:spacing w:after="0"/>
              <w:rPr>
                <w:sz w:val="18"/>
                <w:szCs w:val="18"/>
                <w:color w:val="auto"/>
              </w:rPr>
            </w:pPr>
          </w:p>
        </w:tc>
        <w:tc>
          <w:tcPr>
            <w:tcW w:w="360" w:type="dxa"/>
            <w:vAlign w:val="bottom"/>
            <w:shd w:val="clear" w:color="auto" w:fill="BDE1E9"/>
          </w:tcPr>
          <w:p>
            <w:pPr>
              <w:spacing w:after="0"/>
              <w:rPr>
                <w:sz w:val="18"/>
                <w:szCs w:val="18"/>
                <w:color w:val="auto"/>
              </w:rPr>
            </w:pPr>
          </w:p>
        </w:tc>
        <w:tc>
          <w:tcPr>
            <w:tcW w:w="40" w:type="dxa"/>
            <w:vAlign w:val="bottom"/>
            <w:shd w:val="clear" w:color="auto" w:fill="BDE1E9"/>
          </w:tcPr>
          <w:p>
            <w:pPr>
              <w:spacing w:after="0"/>
              <w:rPr>
                <w:sz w:val="18"/>
                <w:szCs w:val="18"/>
                <w:color w:val="auto"/>
              </w:rPr>
            </w:pPr>
          </w:p>
        </w:tc>
        <w:tc>
          <w:tcPr>
            <w:tcW w:w="80" w:type="dxa"/>
            <w:vAlign w:val="bottom"/>
            <w:shd w:val="clear" w:color="auto" w:fill="BDE1E9"/>
          </w:tcPr>
          <w:p>
            <w:pPr>
              <w:spacing w:after="0"/>
              <w:rPr>
                <w:sz w:val="18"/>
                <w:szCs w:val="18"/>
                <w:color w:val="auto"/>
              </w:rPr>
            </w:pPr>
          </w:p>
        </w:tc>
        <w:tc>
          <w:tcPr>
            <w:tcW w:w="20" w:type="dxa"/>
            <w:vAlign w:val="bottom"/>
            <w:shd w:val="clear" w:color="auto" w:fill="BDE1E9"/>
          </w:tcPr>
          <w:p>
            <w:pPr>
              <w:spacing w:after="0"/>
              <w:rPr>
                <w:sz w:val="18"/>
                <w:szCs w:val="18"/>
                <w:color w:val="auto"/>
              </w:rPr>
            </w:pPr>
          </w:p>
        </w:tc>
        <w:tc>
          <w:tcPr>
            <w:tcW w:w="20" w:type="dxa"/>
            <w:vAlign w:val="bottom"/>
            <w:shd w:val="clear" w:color="auto" w:fill="BDE1E9"/>
          </w:tcPr>
          <w:p>
            <w:pPr>
              <w:spacing w:after="0"/>
              <w:rPr>
                <w:sz w:val="18"/>
                <w:szCs w:val="18"/>
                <w:color w:val="auto"/>
              </w:rPr>
            </w:pPr>
          </w:p>
        </w:tc>
        <w:tc>
          <w:tcPr>
            <w:tcW w:w="240" w:type="dxa"/>
            <w:vAlign w:val="bottom"/>
            <w:shd w:val="clear" w:color="auto" w:fill="BDE1E9"/>
          </w:tcPr>
          <w:p>
            <w:pPr>
              <w:spacing w:after="0"/>
              <w:rPr>
                <w:sz w:val="18"/>
                <w:szCs w:val="18"/>
                <w:color w:val="auto"/>
              </w:rPr>
            </w:pPr>
          </w:p>
        </w:tc>
        <w:tc>
          <w:tcPr>
            <w:tcW w:w="2300" w:type="dxa"/>
            <w:vAlign w:val="bottom"/>
            <w:shd w:val="clear" w:color="auto" w:fill="BDE1E9"/>
          </w:tcPr>
          <w:p>
            <w:pPr>
              <w:spacing w:after="0"/>
              <w:rPr>
                <w:sz w:val="18"/>
                <w:szCs w:val="18"/>
                <w:color w:val="auto"/>
              </w:rPr>
            </w:pPr>
          </w:p>
        </w:tc>
        <w:tc>
          <w:tcPr>
            <w:tcW w:w="180" w:type="dxa"/>
            <w:vAlign w:val="bottom"/>
            <w:tcBorders>
              <w:right w:val="single" w:sz="8" w:color="BDE1E9"/>
            </w:tcBorders>
            <w:shd w:val="clear" w:color="auto" w:fill="BDE1E9"/>
          </w:tcPr>
          <w:p>
            <w:pPr>
              <w:spacing w:after="0"/>
              <w:rPr>
                <w:sz w:val="18"/>
                <w:szCs w:val="18"/>
                <w:color w:val="auto"/>
              </w:rPr>
            </w:pPr>
          </w:p>
        </w:tc>
        <w:tc>
          <w:tcPr>
            <w:tcW w:w="100" w:type="dxa"/>
            <w:vAlign w:val="bottom"/>
            <w:tcBorders>
              <w:right w:val="single" w:sz="8" w:color="BDE1E9"/>
            </w:tcBorders>
            <w:shd w:val="clear" w:color="auto" w:fill="BDE1E9"/>
          </w:tcPr>
          <w:p>
            <w:pPr>
              <w:spacing w:after="0"/>
              <w:rPr>
                <w:sz w:val="18"/>
                <w:szCs w:val="18"/>
                <w:color w:val="auto"/>
              </w:rPr>
            </w:pPr>
          </w:p>
        </w:tc>
        <w:tc>
          <w:tcPr>
            <w:tcW w:w="40" w:type="dxa"/>
            <w:vAlign w:val="bottom"/>
            <w:tcBorders>
              <w:left w:val="single" w:sz="8" w:color="BDE1E9"/>
            </w:tcBorders>
            <w:shd w:val="clear" w:color="auto" w:fill="BDE1E9"/>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00" w:type="dxa"/>
            <w:vAlign w:val="bottom"/>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10.36</w:t>
            </w:r>
          </w:p>
        </w:tc>
        <w:tc>
          <w:tcPr>
            <w:tcW w:w="4840" w:type="dxa"/>
            <w:vAlign w:val="bottom"/>
          </w:tcPr>
          <w:p>
            <w:pPr>
              <w:ind w:left="220"/>
              <w:spacing w:after="0" w:line="148" w:lineRule="exact"/>
              <w:rPr>
                <w:sz w:val="20"/>
                <w:szCs w:val="20"/>
                <w:color w:val="auto"/>
              </w:rPr>
            </w:pPr>
            <w:r>
              <w:rPr>
                <w:rFonts w:ascii="Times New Roman" w:cs="Times New Roman" w:eastAsia="Times New Roman" w:hAnsi="Times New Roman"/>
                <w:sz w:val="16"/>
                <w:szCs w:val="16"/>
                <w:color w:val="auto"/>
              </w:rPr>
              <w:t>Waiver and Second Amendment to Second Amended and Restated</w:t>
            </w:r>
          </w:p>
        </w:tc>
        <w:tc>
          <w:tcPr>
            <w:tcW w:w="5300" w:type="dxa"/>
            <w:vAlign w:val="bottom"/>
            <w:gridSpan w:val="14"/>
          </w:tcPr>
          <w:p>
            <w:pPr>
              <w:ind w:left="40"/>
              <w:spacing w:after="0" w:line="148" w:lineRule="exact"/>
              <w:rPr>
                <w:rFonts w:ascii="Times New Roman" w:cs="Times New Roman" w:eastAsia="Times New Roman" w:hAnsi="Times New Roman"/>
                <w:sz w:val="16"/>
                <w:szCs w:val="16"/>
                <w:color w:val="auto"/>
              </w:rPr>
            </w:pPr>
            <w:hyperlink r:id="rId5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10.3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Credit Agreement dated August 7, 2020 between Consolidated</w:t>
            </w:r>
          </w:p>
        </w:tc>
        <w:tc>
          <w:tcPr>
            <w:tcW w:w="600" w:type="dxa"/>
            <w:vAlign w:val="bottom"/>
            <w:gridSpan w:val="2"/>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vMerge w:val="continue"/>
          </w:tcPr>
          <w:p>
            <w:pPr>
              <w:spacing w:after="0"/>
              <w:rPr>
                <w:sz w:val="14"/>
                <w:szCs w:val="14"/>
                <w:color w:val="auto"/>
              </w:rPr>
            </w:pPr>
          </w:p>
        </w:tc>
        <w:tc>
          <w:tcPr>
            <w:tcW w:w="5260" w:type="dxa"/>
            <w:vAlign w:val="bottom"/>
            <w:gridSpan w:val="13"/>
          </w:tcPr>
          <w:p>
            <w:pPr>
              <w:ind w:left="40"/>
              <w:spacing w:after="0" w:line="169" w:lineRule="exact"/>
              <w:rPr>
                <w:rFonts w:ascii="Times New Roman" w:cs="Times New Roman" w:eastAsia="Times New Roman" w:hAnsi="Times New Roman"/>
                <w:sz w:val="16"/>
                <w:szCs w:val="16"/>
                <w:b w:val="1"/>
                <w:bCs w:val="1"/>
                <w:color w:val="0000FF"/>
              </w:rPr>
            </w:pPr>
            <w:hyperlink r:id="rId58">
              <w:r>
                <w:rPr>
                  <w:rFonts w:ascii="Times New Roman" w:cs="Times New Roman" w:eastAsia="Times New Roman" w:hAnsi="Times New Roman"/>
                  <w:sz w:val="16"/>
                  <w:szCs w:val="16"/>
                  <w:b w:val="1"/>
                  <w:bCs w:val="1"/>
                  <w:color w:val="0000FF"/>
                </w:rPr>
                <w:t>the quarter ended June 30, 2020</w:t>
              </w:r>
              <w:r>
                <w:rPr>
                  <w:rFonts w:ascii="Times New Roman" w:cs="Times New Roman" w:eastAsia="Times New Roman" w:hAnsi="Times New Roman"/>
                  <w:sz w:val="16"/>
                  <w:szCs w:val="16"/>
                  <w:color w:val="000000"/>
                </w:rPr>
                <w:t>, and incorporated herein by reference.</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4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BDE1E9"/>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10.37†</w:t>
            </w:r>
          </w:p>
        </w:tc>
        <w:tc>
          <w:tcPr>
            <w:tcW w:w="4840" w:type="dxa"/>
            <w:vAlign w:val="bottom"/>
            <w:shd w:val="clear" w:color="auto" w:fill="BDE1E9"/>
          </w:tcPr>
          <w:p>
            <w:pPr>
              <w:ind w:left="220"/>
              <w:spacing w:after="0" w:line="148" w:lineRule="exact"/>
              <w:rPr>
                <w:sz w:val="20"/>
                <w:szCs w:val="20"/>
                <w:color w:val="auto"/>
              </w:rPr>
            </w:pPr>
            <w:r>
              <w:rPr>
                <w:rFonts w:ascii="Times New Roman" w:cs="Times New Roman" w:eastAsia="Times New Roman" w:hAnsi="Times New Roman"/>
                <w:sz w:val="16"/>
                <w:szCs w:val="16"/>
                <w:color w:val="auto"/>
              </w:rPr>
              <w:t>Waiver and Third Amendment to Second Amended and Restated</w:t>
            </w:r>
          </w:p>
        </w:tc>
        <w:tc>
          <w:tcPr>
            <w:tcW w:w="5300" w:type="dxa"/>
            <w:vAlign w:val="bottom"/>
            <w:gridSpan w:val="14"/>
            <w:shd w:val="clear" w:color="auto" w:fill="BDE1E9"/>
          </w:tcPr>
          <w:p>
            <w:pPr>
              <w:ind w:left="40"/>
              <w:spacing w:after="0" w:line="148" w:lineRule="exact"/>
              <w:rPr>
                <w:rFonts w:ascii="Times New Roman" w:cs="Times New Roman" w:eastAsia="Times New Roman" w:hAnsi="Times New Roman"/>
                <w:sz w:val="16"/>
                <w:szCs w:val="16"/>
                <w:color w:val="auto"/>
              </w:rPr>
            </w:pPr>
            <w:hyperlink r:id="rId8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BDE1E9"/>
          </w:tcPr>
          <w:p>
            <w:pPr>
              <w:spacing w:after="0" w:line="20" w:lineRule="exact"/>
              <w:rPr>
                <w:sz w:val="1"/>
                <w:szCs w:val="1"/>
                <w:color w:val="auto"/>
              </w:rPr>
            </w:pPr>
          </w:p>
        </w:tc>
        <w:tc>
          <w:tcPr>
            <w:tcW w:w="4840" w:type="dxa"/>
            <w:vAlign w:val="bottom"/>
            <w:vMerge w:val="restart"/>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 xml:space="preserve">Credit Agreement, dated </w:t>
            </w:r>
            <w:r>
              <w:rPr>
                <w:rFonts w:ascii="Times New Roman" w:cs="Times New Roman" w:eastAsia="Times New Roman" w:hAnsi="Times New Roman"/>
                <w:sz w:val="14"/>
                <w:szCs w:val="14"/>
                <w:color w:val="auto"/>
              </w:rPr>
              <w:t>N</w:t>
            </w:r>
            <w:r>
              <w:rPr>
                <w:rFonts w:ascii="Times New Roman" w:cs="Times New Roman" w:eastAsia="Times New Roman" w:hAnsi="Times New Roman"/>
                <w:sz w:val="16"/>
                <w:szCs w:val="16"/>
                <w:color w:val="auto"/>
              </w:rPr>
              <w:t>ovember 8, 2021, between Consolidated</w:t>
            </w:r>
          </w:p>
        </w:tc>
        <w:tc>
          <w:tcPr>
            <w:tcW w:w="600" w:type="dxa"/>
            <w:vAlign w:val="bottom"/>
            <w:tcBorders>
              <w:right w:val="single" w:sz="8" w:color="BDE1E9"/>
            </w:tcBorders>
            <w:gridSpan w:val="2"/>
            <w:shd w:val="clear" w:color="auto" w:fill="BDE1E9"/>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BDE1E9"/>
            </w:tcBorders>
            <w:vMerge w:val="restart"/>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shd w:val="clear" w:color="auto" w:fill="BDE1E9"/>
          </w:tcPr>
          <w:p>
            <w:pPr>
              <w:spacing w:after="0"/>
              <w:rPr>
                <w:sz w:val="14"/>
                <w:szCs w:val="14"/>
                <w:color w:val="auto"/>
              </w:rPr>
            </w:pPr>
          </w:p>
        </w:tc>
        <w:tc>
          <w:tcPr>
            <w:tcW w:w="4840" w:type="dxa"/>
            <w:vAlign w:val="bottom"/>
            <w:vMerge w:val="continue"/>
            <w:shd w:val="clear" w:color="auto" w:fill="BDE1E9"/>
          </w:tcPr>
          <w:p>
            <w:pPr>
              <w:spacing w:after="0"/>
              <w:rPr>
                <w:sz w:val="14"/>
                <w:szCs w:val="14"/>
                <w:color w:val="auto"/>
              </w:rPr>
            </w:pPr>
          </w:p>
        </w:tc>
        <w:tc>
          <w:tcPr>
            <w:tcW w:w="5260" w:type="dxa"/>
            <w:vAlign w:val="bottom"/>
            <w:tcBorders>
              <w:right w:val="single" w:sz="8" w:color="BDE1E9"/>
            </w:tcBorders>
            <w:gridSpan w:val="13"/>
            <w:shd w:val="clear" w:color="auto" w:fill="BDE1E9"/>
          </w:tcPr>
          <w:p>
            <w:pPr>
              <w:ind w:left="40"/>
              <w:spacing w:after="0" w:line="169" w:lineRule="exact"/>
              <w:rPr>
                <w:rFonts w:ascii="Times New Roman" w:cs="Times New Roman" w:eastAsia="Times New Roman" w:hAnsi="Times New Roman"/>
                <w:sz w:val="16"/>
                <w:szCs w:val="16"/>
                <w:b w:val="1"/>
                <w:bCs w:val="1"/>
                <w:color w:val="0000FF"/>
              </w:rPr>
            </w:pPr>
            <w:hyperlink r:id="rId81">
              <w:r>
                <w:rPr>
                  <w:rFonts w:ascii="Times New Roman" w:cs="Times New Roman" w:eastAsia="Times New Roman" w:hAnsi="Times New Roman"/>
                  <w:sz w:val="16"/>
                  <w:szCs w:val="16"/>
                  <w:b w:val="1"/>
                  <w:bCs w:val="1"/>
                  <w:color w:val="0000FF"/>
                </w:rPr>
                <w:t>the quarter ended September 30, 2021</w:t>
              </w:r>
              <w:r>
                <w:rPr>
                  <w:rFonts w:ascii="Times New Roman" w:cs="Times New Roman" w:eastAsia="Times New Roman" w:hAnsi="Times New Roman"/>
                  <w:sz w:val="16"/>
                  <w:szCs w:val="16"/>
                  <w:color w:val="000000"/>
                </w:rPr>
                <w:t>, and incorporated herein by reference.</w:t>
              </w:r>
            </w:hyperlink>
          </w:p>
        </w:tc>
        <w:tc>
          <w:tcPr>
            <w:tcW w:w="40" w:type="dxa"/>
            <w:vAlign w:val="bottom"/>
            <w:tcBorders>
              <w:left w:val="single" w:sz="8" w:color="BDE1E9"/>
            </w:tcBorders>
            <w:vMerge w:val="continue"/>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Borders>
              <w:top w:val="single" w:sz="8" w:color="BDE1E9"/>
            </w:tcBorders>
            <w:shd w:val="clear" w:color="auto" w:fill="BDE1E9"/>
          </w:tcPr>
          <w:p>
            <w:pPr>
              <w:spacing w:after="0"/>
              <w:rPr>
                <w:sz w:val="17"/>
                <w:szCs w:val="17"/>
                <w:color w:val="auto"/>
              </w:rPr>
            </w:pPr>
          </w:p>
        </w:tc>
        <w:tc>
          <w:tcPr>
            <w:tcW w:w="4840" w:type="dxa"/>
            <w:vAlign w:val="bottom"/>
            <w:tcBorders>
              <w:top w:val="single" w:sz="8" w:color="BDE1E9"/>
            </w:tcBorders>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40" w:type="dxa"/>
            <w:vAlign w:val="bottom"/>
            <w:tcBorders>
              <w:top w:val="single" w:sz="8" w:color="BDE1E9"/>
            </w:tcBorders>
            <w:shd w:val="clear" w:color="auto" w:fill="BDE1E9"/>
          </w:tcPr>
          <w:p>
            <w:pPr>
              <w:spacing w:after="0"/>
              <w:rPr>
                <w:sz w:val="17"/>
                <w:szCs w:val="17"/>
                <w:color w:val="auto"/>
              </w:rPr>
            </w:pPr>
          </w:p>
        </w:tc>
        <w:tc>
          <w:tcPr>
            <w:tcW w:w="560" w:type="dxa"/>
            <w:vAlign w:val="bottom"/>
            <w:tcBorders>
              <w:top w:val="single" w:sz="8" w:color="0000FF"/>
              <w:right w:val="single" w:sz="8" w:color="BDE1E9"/>
            </w:tcBorders>
            <w:shd w:val="clear" w:color="auto" w:fill="BDE1E9"/>
          </w:tcPr>
          <w:p>
            <w:pPr>
              <w:spacing w:after="0"/>
              <w:rPr>
                <w:sz w:val="17"/>
                <w:szCs w:val="17"/>
                <w:color w:val="auto"/>
              </w:rPr>
            </w:pPr>
          </w:p>
        </w:tc>
        <w:tc>
          <w:tcPr>
            <w:tcW w:w="1200" w:type="dxa"/>
            <w:vAlign w:val="bottom"/>
            <w:tcBorders>
              <w:top w:val="single" w:sz="8" w:color="0000FF"/>
            </w:tcBorders>
            <w:shd w:val="clear" w:color="auto" w:fill="BDE1E9"/>
          </w:tcPr>
          <w:p>
            <w:pPr>
              <w:spacing w:after="0"/>
              <w:rPr>
                <w:sz w:val="17"/>
                <w:szCs w:val="17"/>
                <w:color w:val="auto"/>
              </w:rPr>
            </w:pPr>
          </w:p>
        </w:tc>
        <w:tc>
          <w:tcPr>
            <w:tcW w:w="120" w:type="dxa"/>
            <w:vAlign w:val="bottom"/>
            <w:tcBorders>
              <w:top w:val="single" w:sz="8" w:color="0000FF"/>
            </w:tcBorders>
            <w:shd w:val="clear" w:color="auto" w:fill="BDE1E9"/>
          </w:tcPr>
          <w:p>
            <w:pPr>
              <w:spacing w:after="0"/>
              <w:rPr>
                <w:sz w:val="17"/>
                <w:szCs w:val="17"/>
                <w:color w:val="auto"/>
              </w:rPr>
            </w:pPr>
          </w:p>
        </w:tc>
        <w:tc>
          <w:tcPr>
            <w:tcW w:w="360" w:type="dxa"/>
            <w:vAlign w:val="bottom"/>
            <w:tcBorders>
              <w:top w:val="single" w:sz="8" w:color="0000FF"/>
            </w:tcBorders>
            <w:shd w:val="clear" w:color="auto" w:fill="BDE1E9"/>
          </w:tcPr>
          <w:p>
            <w:pPr>
              <w:spacing w:after="0"/>
              <w:rPr>
                <w:sz w:val="17"/>
                <w:szCs w:val="17"/>
                <w:color w:val="auto"/>
              </w:rPr>
            </w:pPr>
          </w:p>
        </w:tc>
        <w:tc>
          <w:tcPr>
            <w:tcW w:w="40" w:type="dxa"/>
            <w:vAlign w:val="bottom"/>
            <w:tcBorders>
              <w:top w:val="single" w:sz="8" w:color="0000FF"/>
            </w:tcBorders>
            <w:shd w:val="clear" w:color="auto" w:fill="BDE1E9"/>
          </w:tcPr>
          <w:p>
            <w:pPr>
              <w:spacing w:after="0"/>
              <w:rPr>
                <w:sz w:val="17"/>
                <w:szCs w:val="17"/>
                <w:color w:val="auto"/>
              </w:rPr>
            </w:pPr>
          </w:p>
        </w:tc>
        <w:tc>
          <w:tcPr>
            <w:tcW w:w="80" w:type="dxa"/>
            <w:vAlign w:val="bottom"/>
            <w:tcBorders>
              <w:top w:val="single" w:sz="8" w:color="0000FF"/>
            </w:tcBorders>
            <w:shd w:val="clear" w:color="auto" w:fill="BDE1E9"/>
          </w:tcPr>
          <w:p>
            <w:pPr>
              <w:spacing w:after="0"/>
              <w:rPr>
                <w:sz w:val="17"/>
                <w:szCs w:val="17"/>
                <w:color w:val="auto"/>
              </w:rPr>
            </w:pPr>
          </w:p>
        </w:tc>
        <w:tc>
          <w:tcPr>
            <w:tcW w:w="20" w:type="dxa"/>
            <w:vAlign w:val="bottom"/>
            <w:tcBorders>
              <w:top w:val="single" w:sz="8" w:color="0000FF"/>
            </w:tcBorders>
            <w:shd w:val="clear" w:color="auto" w:fill="BDE1E9"/>
          </w:tcPr>
          <w:p>
            <w:pPr>
              <w:spacing w:after="0"/>
              <w:rPr>
                <w:sz w:val="17"/>
                <w:szCs w:val="17"/>
                <w:color w:val="auto"/>
              </w:rPr>
            </w:pPr>
          </w:p>
        </w:tc>
        <w:tc>
          <w:tcPr>
            <w:tcW w:w="20" w:type="dxa"/>
            <w:vAlign w:val="bottom"/>
            <w:tcBorders>
              <w:top w:val="single" w:sz="8" w:color="0000FF"/>
            </w:tcBorders>
            <w:shd w:val="clear" w:color="auto" w:fill="BDE1E9"/>
          </w:tcPr>
          <w:p>
            <w:pPr>
              <w:spacing w:after="0"/>
              <w:rPr>
                <w:sz w:val="17"/>
                <w:szCs w:val="17"/>
                <w:color w:val="auto"/>
              </w:rPr>
            </w:pPr>
          </w:p>
        </w:tc>
        <w:tc>
          <w:tcPr>
            <w:tcW w:w="240" w:type="dxa"/>
            <w:vAlign w:val="bottom"/>
            <w:tcBorders>
              <w:top w:val="single" w:sz="8" w:color="0000FF"/>
            </w:tcBorders>
            <w:shd w:val="clear" w:color="auto" w:fill="BDE1E9"/>
          </w:tcPr>
          <w:p>
            <w:pPr>
              <w:spacing w:after="0"/>
              <w:rPr>
                <w:sz w:val="17"/>
                <w:szCs w:val="17"/>
                <w:color w:val="auto"/>
              </w:rPr>
            </w:pPr>
          </w:p>
        </w:tc>
        <w:tc>
          <w:tcPr>
            <w:tcW w:w="2300" w:type="dxa"/>
            <w:vAlign w:val="bottom"/>
            <w:tcBorders>
              <w:top w:val="single" w:sz="8" w:color="BDE1E9"/>
            </w:tcBorders>
            <w:shd w:val="clear" w:color="auto" w:fill="BDE1E9"/>
          </w:tcPr>
          <w:p>
            <w:pPr>
              <w:spacing w:after="0"/>
              <w:rPr>
                <w:sz w:val="17"/>
                <w:szCs w:val="17"/>
                <w:color w:val="auto"/>
              </w:rPr>
            </w:pPr>
          </w:p>
        </w:tc>
        <w:tc>
          <w:tcPr>
            <w:tcW w:w="180" w:type="dxa"/>
            <w:vAlign w:val="bottom"/>
            <w:tcBorders>
              <w:top w:val="single" w:sz="8" w:color="BDE1E9"/>
              <w:right w:val="single" w:sz="8" w:color="BDE1E9"/>
            </w:tcBorders>
            <w:shd w:val="clear" w:color="auto" w:fill="BDE1E9"/>
          </w:tcPr>
          <w:p>
            <w:pPr>
              <w:spacing w:after="0"/>
              <w:rPr>
                <w:sz w:val="17"/>
                <w:szCs w:val="17"/>
                <w:color w:val="auto"/>
              </w:rPr>
            </w:pPr>
          </w:p>
        </w:tc>
        <w:tc>
          <w:tcPr>
            <w:tcW w:w="100" w:type="dxa"/>
            <w:vAlign w:val="bottom"/>
            <w:tcBorders>
              <w:top w:val="single" w:sz="8" w:color="BDE1E9"/>
              <w:right w:val="single" w:sz="8" w:color="BDE1E9"/>
            </w:tcBorders>
            <w:shd w:val="clear" w:color="auto" w:fill="BDE1E9"/>
          </w:tcPr>
          <w:p>
            <w:pPr>
              <w:spacing w:after="0"/>
              <w:rPr>
                <w:sz w:val="17"/>
                <w:szCs w:val="17"/>
                <w:color w:val="auto"/>
              </w:rPr>
            </w:pPr>
          </w:p>
        </w:tc>
        <w:tc>
          <w:tcPr>
            <w:tcW w:w="40" w:type="dxa"/>
            <w:vAlign w:val="bottom"/>
            <w:tcBorders>
              <w:top w:val="single" w:sz="8" w:color="BDE1E9"/>
              <w:left w:val="single" w:sz="8" w:color="BDE1E9"/>
            </w:tcBorders>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10.38†</w:t>
            </w:r>
          </w:p>
        </w:tc>
        <w:tc>
          <w:tcPr>
            <w:tcW w:w="4840" w:type="dxa"/>
            <w:vAlign w:val="bottom"/>
          </w:tcPr>
          <w:p>
            <w:pPr>
              <w:ind w:left="220"/>
              <w:spacing w:after="0" w:line="148" w:lineRule="exact"/>
              <w:rPr>
                <w:sz w:val="20"/>
                <w:szCs w:val="20"/>
                <w:color w:val="auto"/>
              </w:rPr>
            </w:pPr>
            <w:r>
              <w:rPr>
                <w:rFonts w:ascii="Times New Roman" w:cs="Times New Roman" w:eastAsia="Times New Roman" w:hAnsi="Times New Roman"/>
                <w:sz w:val="16"/>
                <w:szCs w:val="16"/>
                <w:color w:val="auto"/>
              </w:rPr>
              <w:t>Waiver and Fourth Amendment to Second Amended and Restated</w:t>
            </w:r>
          </w:p>
        </w:tc>
        <w:tc>
          <w:tcPr>
            <w:tcW w:w="5300" w:type="dxa"/>
            <w:vAlign w:val="bottom"/>
            <w:gridSpan w:val="14"/>
          </w:tcPr>
          <w:p>
            <w:pPr>
              <w:ind w:left="40"/>
              <w:spacing w:after="0" w:line="148" w:lineRule="exact"/>
              <w:rPr>
                <w:rFonts w:ascii="Times New Roman" w:cs="Times New Roman" w:eastAsia="Times New Roman" w:hAnsi="Times New Roman"/>
                <w:sz w:val="16"/>
                <w:szCs w:val="16"/>
                <w:color w:val="auto"/>
              </w:rPr>
            </w:pPr>
            <w:hyperlink r:id="rId8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 to the Company’s report on Form 8-K (file no. 1-8625),</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tcPr>
          <w:p>
            <w:pPr>
              <w:ind w:left="220"/>
              <w:spacing w:after="0" w:line="169" w:lineRule="exact"/>
              <w:rPr>
                <w:sz w:val="20"/>
                <w:szCs w:val="20"/>
                <w:color w:val="auto"/>
              </w:rPr>
            </w:pPr>
            <w:r>
              <w:rPr>
                <w:rFonts w:ascii="Times New Roman" w:cs="Times New Roman" w:eastAsia="Times New Roman" w:hAnsi="Times New Roman"/>
                <w:sz w:val="16"/>
                <w:szCs w:val="16"/>
                <w:color w:val="auto"/>
              </w:rPr>
              <w:t>Credit Agreement, dated November 29, 2022, between Consolidated</w:t>
            </w:r>
          </w:p>
        </w:tc>
        <w:tc>
          <w:tcPr>
            <w:tcW w:w="600" w:type="dxa"/>
            <w:vAlign w:val="bottom"/>
            <w:gridSpan w:val="2"/>
          </w:tcPr>
          <w:p>
            <w:pPr>
              <w:ind w:left="40"/>
              <w:spacing w:after="0" w:line="169" w:lineRule="exact"/>
              <w:rPr>
                <w:rFonts w:ascii="Times New Roman" w:cs="Times New Roman" w:eastAsia="Times New Roman" w:hAnsi="Times New Roman"/>
                <w:sz w:val="16"/>
                <w:szCs w:val="16"/>
                <w:b w:val="1"/>
                <w:bCs w:val="1"/>
                <w:color w:val="0000FF"/>
              </w:rPr>
            </w:pPr>
            <w:hyperlink r:id="rId82">
              <w:r>
                <w:rPr>
                  <w:rFonts w:ascii="Times New Roman" w:cs="Times New Roman" w:eastAsia="Times New Roman" w:hAnsi="Times New Roman"/>
                  <w:sz w:val="16"/>
                  <w:szCs w:val="16"/>
                  <w:b w:val="1"/>
                  <w:bCs w:val="1"/>
                  <w:color w:val="0000FF"/>
                </w:rPr>
                <w:t>filed on</w:t>
              </w:r>
            </w:hyperlink>
          </w:p>
        </w:tc>
        <w:tc>
          <w:tcPr>
            <w:tcW w:w="4660" w:type="dxa"/>
            <w:vAlign w:val="bottom"/>
            <w:tcBorders>
              <w:top w:val="single" w:sz="8" w:color="0000FF"/>
            </w:tcBorders>
            <w:gridSpan w:val="11"/>
          </w:tcPr>
          <w:p>
            <w:pPr>
              <w:spacing w:after="0" w:line="169" w:lineRule="exact"/>
              <w:rPr>
                <w:rFonts w:ascii="Times New Roman" w:cs="Times New Roman" w:eastAsia="Times New Roman" w:hAnsi="Times New Roman"/>
                <w:sz w:val="16"/>
                <w:szCs w:val="16"/>
                <w:b w:val="1"/>
                <w:bCs w:val="1"/>
                <w:color w:val="0000FF"/>
              </w:rPr>
            </w:pPr>
            <w:hyperlink r:id="rId82">
              <w:r>
                <w:rPr>
                  <w:rFonts w:ascii="Times New Roman" w:cs="Times New Roman" w:eastAsia="Times New Roman" w:hAnsi="Times New Roman"/>
                  <w:sz w:val="16"/>
                  <w:szCs w:val="16"/>
                  <w:b w:val="1"/>
                  <w:bCs w:val="1"/>
                  <w:color w:val="0000FF"/>
                </w:rPr>
                <w:t>December 16, 2022</w:t>
              </w:r>
              <w:r>
                <w:rPr>
                  <w:rFonts w:ascii="Times New Roman" w:cs="Times New Roman" w:eastAsia="Times New Roman" w:hAnsi="Times New Roman"/>
                  <w:sz w:val="16"/>
                  <w:szCs w:val="16"/>
                  <w:color w:val="000000"/>
                </w:rPr>
                <w:t>, and incorporated herein by reference.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4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BDE1E9"/>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10.39†</w:t>
            </w:r>
          </w:p>
        </w:tc>
        <w:tc>
          <w:tcPr>
            <w:tcW w:w="10140" w:type="dxa"/>
            <w:vAlign w:val="bottom"/>
            <w:gridSpan w:val="15"/>
            <w:shd w:val="clear" w:color="auto" w:fill="BDE1E9"/>
          </w:tcPr>
          <w:p>
            <w:pPr>
              <w:ind w:left="220"/>
              <w:spacing w:after="0" w:line="148"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Waiver and Fifth Amendment to Second Amended and Restated Credit </w:t>
            </w:r>
            <w:hyperlink r:id="rId8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BDE1E9"/>
          </w:tcPr>
          <w:p>
            <w:pPr>
              <w:spacing w:after="0" w:line="20" w:lineRule="exact"/>
              <w:rPr>
                <w:sz w:val="1"/>
                <w:szCs w:val="1"/>
                <w:color w:val="auto"/>
              </w:rPr>
            </w:pPr>
          </w:p>
        </w:tc>
        <w:tc>
          <w:tcPr>
            <w:tcW w:w="4840" w:type="dxa"/>
            <w:vAlign w:val="bottom"/>
            <w:vMerge w:val="restart"/>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Agreement, dated March 30, 2023, between Consolidated Amusement</w:t>
            </w:r>
          </w:p>
        </w:tc>
        <w:tc>
          <w:tcPr>
            <w:tcW w:w="600" w:type="dxa"/>
            <w:vAlign w:val="bottom"/>
            <w:tcBorders>
              <w:right w:val="single" w:sz="8" w:color="BDE1E9"/>
            </w:tcBorders>
            <w:gridSpan w:val="2"/>
            <w:shd w:val="clear" w:color="auto" w:fill="BDE1E9"/>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BDE1E9"/>
            </w:tcBorders>
            <w:vMerge w:val="restart"/>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shd w:val="clear" w:color="auto" w:fill="BDE1E9"/>
          </w:tcPr>
          <w:p>
            <w:pPr>
              <w:spacing w:after="0"/>
              <w:rPr>
                <w:sz w:val="14"/>
                <w:szCs w:val="14"/>
                <w:color w:val="auto"/>
              </w:rPr>
            </w:pPr>
          </w:p>
        </w:tc>
        <w:tc>
          <w:tcPr>
            <w:tcW w:w="4840" w:type="dxa"/>
            <w:vAlign w:val="bottom"/>
            <w:vMerge w:val="continue"/>
            <w:shd w:val="clear" w:color="auto" w:fill="BDE1E9"/>
          </w:tcPr>
          <w:p>
            <w:pPr>
              <w:spacing w:after="0"/>
              <w:rPr>
                <w:sz w:val="14"/>
                <w:szCs w:val="14"/>
                <w:color w:val="auto"/>
              </w:rPr>
            </w:pPr>
          </w:p>
        </w:tc>
        <w:tc>
          <w:tcPr>
            <w:tcW w:w="5260" w:type="dxa"/>
            <w:vAlign w:val="bottom"/>
            <w:tcBorders>
              <w:right w:val="single" w:sz="8" w:color="BDE1E9"/>
            </w:tcBorders>
            <w:gridSpan w:val="13"/>
            <w:shd w:val="clear" w:color="auto" w:fill="BDE1E9"/>
          </w:tcPr>
          <w:p>
            <w:pPr>
              <w:ind w:left="40"/>
              <w:spacing w:after="0" w:line="169" w:lineRule="exact"/>
              <w:rPr>
                <w:rFonts w:ascii="Times New Roman" w:cs="Times New Roman" w:eastAsia="Times New Roman" w:hAnsi="Times New Roman"/>
                <w:sz w:val="16"/>
                <w:szCs w:val="16"/>
                <w:b w:val="1"/>
                <w:bCs w:val="1"/>
                <w:color w:val="0000FF"/>
              </w:rPr>
            </w:pPr>
            <w:hyperlink r:id="rId83">
              <w:r>
                <w:rPr>
                  <w:rFonts w:ascii="Times New Roman" w:cs="Times New Roman" w:eastAsia="Times New Roman" w:hAnsi="Times New Roman"/>
                  <w:sz w:val="16"/>
                  <w:szCs w:val="16"/>
                  <w:b w:val="1"/>
                  <w:bCs w:val="1"/>
                  <w:color w:val="0000FF"/>
                </w:rPr>
                <w:t>the Quarter ended March 31, 2023</w:t>
              </w:r>
              <w:r>
                <w:rPr>
                  <w:rFonts w:ascii="Times New Roman" w:cs="Times New Roman" w:eastAsia="Times New Roman" w:hAnsi="Times New Roman"/>
                  <w:sz w:val="16"/>
                  <w:szCs w:val="16"/>
                  <w:color w:val="000000"/>
                </w:rPr>
                <w:t>, and incorporated herein by reference.</w:t>
              </w:r>
            </w:hyperlink>
          </w:p>
        </w:tc>
        <w:tc>
          <w:tcPr>
            <w:tcW w:w="40" w:type="dxa"/>
            <w:vAlign w:val="bottom"/>
            <w:tcBorders>
              <w:left w:val="single" w:sz="8" w:color="BDE1E9"/>
            </w:tcBorders>
            <w:vMerge w:val="continue"/>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Borders>
              <w:top w:val="single" w:sz="8" w:color="BDE1E9"/>
            </w:tcBorders>
            <w:shd w:val="clear" w:color="auto" w:fill="BDE1E9"/>
          </w:tcPr>
          <w:p>
            <w:pPr>
              <w:spacing w:after="0"/>
              <w:rPr>
                <w:sz w:val="17"/>
                <w:szCs w:val="17"/>
                <w:color w:val="auto"/>
              </w:rPr>
            </w:pPr>
          </w:p>
        </w:tc>
        <w:tc>
          <w:tcPr>
            <w:tcW w:w="4840" w:type="dxa"/>
            <w:vAlign w:val="bottom"/>
            <w:tcBorders>
              <w:top w:val="single" w:sz="8" w:color="BDE1E9"/>
            </w:tcBorders>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Holdings, LLC, and Bank of America, N.A.</w:t>
            </w:r>
          </w:p>
        </w:tc>
        <w:tc>
          <w:tcPr>
            <w:tcW w:w="40" w:type="dxa"/>
            <w:vAlign w:val="bottom"/>
            <w:tcBorders>
              <w:top w:val="single" w:sz="8" w:color="BDE1E9"/>
            </w:tcBorders>
            <w:shd w:val="clear" w:color="auto" w:fill="BDE1E9"/>
          </w:tcPr>
          <w:p>
            <w:pPr>
              <w:spacing w:after="0"/>
              <w:rPr>
                <w:sz w:val="17"/>
                <w:szCs w:val="17"/>
                <w:color w:val="auto"/>
              </w:rPr>
            </w:pPr>
          </w:p>
        </w:tc>
        <w:tc>
          <w:tcPr>
            <w:tcW w:w="560" w:type="dxa"/>
            <w:vAlign w:val="bottom"/>
            <w:tcBorders>
              <w:top w:val="single" w:sz="8" w:color="0000FF"/>
              <w:right w:val="single" w:sz="8" w:color="BDE1E9"/>
            </w:tcBorders>
            <w:shd w:val="clear" w:color="auto" w:fill="BDE1E9"/>
          </w:tcPr>
          <w:p>
            <w:pPr>
              <w:spacing w:after="0"/>
              <w:rPr>
                <w:sz w:val="17"/>
                <w:szCs w:val="17"/>
                <w:color w:val="auto"/>
              </w:rPr>
            </w:pPr>
          </w:p>
        </w:tc>
        <w:tc>
          <w:tcPr>
            <w:tcW w:w="1200" w:type="dxa"/>
            <w:vAlign w:val="bottom"/>
            <w:tcBorders>
              <w:top w:val="single" w:sz="8" w:color="0000FF"/>
            </w:tcBorders>
            <w:shd w:val="clear" w:color="auto" w:fill="BDE1E9"/>
          </w:tcPr>
          <w:p>
            <w:pPr>
              <w:spacing w:after="0"/>
              <w:rPr>
                <w:sz w:val="17"/>
                <w:szCs w:val="17"/>
                <w:color w:val="auto"/>
              </w:rPr>
            </w:pPr>
          </w:p>
        </w:tc>
        <w:tc>
          <w:tcPr>
            <w:tcW w:w="120" w:type="dxa"/>
            <w:vAlign w:val="bottom"/>
            <w:tcBorders>
              <w:top w:val="single" w:sz="8" w:color="0000FF"/>
            </w:tcBorders>
            <w:shd w:val="clear" w:color="auto" w:fill="BDE1E9"/>
          </w:tcPr>
          <w:p>
            <w:pPr>
              <w:spacing w:after="0"/>
              <w:rPr>
                <w:sz w:val="17"/>
                <w:szCs w:val="17"/>
                <w:color w:val="auto"/>
              </w:rPr>
            </w:pPr>
          </w:p>
        </w:tc>
        <w:tc>
          <w:tcPr>
            <w:tcW w:w="360" w:type="dxa"/>
            <w:vAlign w:val="bottom"/>
            <w:tcBorders>
              <w:top w:val="single" w:sz="8" w:color="0000FF"/>
            </w:tcBorders>
            <w:shd w:val="clear" w:color="auto" w:fill="BDE1E9"/>
          </w:tcPr>
          <w:p>
            <w:pPr>
              <w:spacing w:after="0"/>
              <w:rPr>
                <w:sz w:val="17"/>
                <w:szCs w:val="17"/>
                <w:color w:val="auto"/>
              </w:rPr>
            </w:pPr>
          </w:p>
        </w:tc>
        <w:tc>
          <w:tcPr>
            <w:tcW w:w="40" w:type="dxa"/>
            <w:vAlign w:val="bottom"/>
            <w:tcBorders>
              <w:top w:val="single" w:sz="8" w:color="0000FF"/>
            </w:tcBorders>
            <w:shd w:val="clear" w:color="auto" w:fill="BDE1E9"/>
          </w:tcPr>
          <w:p>
            <w:pPr>
              <w:spacing w:after="0"/>
              <w:rPr>
                <w:sz w:val="17"/>
                <w:szCs w:val="17"/>
                <w:color w:val="auto"/>
              </w:rPr>
            </w:pPr>
          </w:p>
        </w:tc>
        <w:tc>
          <w:tcPr>
            <w:tcW w:w="80" w:type="dxa"/>
            <w:vAlign w:val="bottom"/>
            <w:tcBorders>
              <w:top w:val="single" w:sz="8" w:color="0000FF"/>
            </w:tcBorders>
            <w:shd w:val="clear" w:color="auto" w:fill="BDE1E9"/>
          </w:tcPr>
          <w:p>
            <w:pPr>
              <w:spacing w:after="0"/>
              <w:rPr>
                <w:sz w:val="17"/>
                <w:szCs w:val="17"/>
                <w:color w:val="auto"/>
              </w:rPr>
            </w:pPr>
          </w:p>
        </w:tc>
        <w:tc>
          <w:tcPr>
            <w:tcW w:w="20" w:type="dxa"/>
            <w:vAlign w:val="bottom"/>
            <w:tcBorders>
              <w:top w:val="single" w:sz="8" w:color="0000FF"/>
            </w:tcBorders>
            <w:shd w:val="clear" w:color="auto" w:fill="BDE1E9"/>
          </w:tcPr>
          <w:p>
            <w:pPr>
              <w:spacing w:after="0"/>
              <w:rPr>
                <w:sz w:val="17"/>
                <w:szCs w:val="17"/>
                <w:color w:val="auto"/>
              </w:rPr>
            </w:pPr>
          </w:p>
        </w:tc>
        <w:tc>
          <w:tcPr>
            <w:tcW w:w="20" w:type="dxa"/>
            <w:vAlign w:val="bottom"/>
            <w:tcBorders>
              <w:top w:val="single" w:sz="8" w:color="0000FF"/>
            </w:tcBorders>
            <w:shd w:val="clear" w:color="auto" w:fill="BDE1E9"/>
          </w:tcPr>
          <w:p>
            <w:pPr>
              <w:spacing w:after="0"/>
              <w:rPr>
                <w:sz w:val="17"/>
                <w:szCs w:val="17"/>
                <w:color w:val="auto"/>
              </w:rPr>
            </w:pPr>
          </w:p>
        </w:tc>
        <w:tc>
          <w:tcPr>
            <w:tcW w:w="240" w:type="dxa"/>
            <w:vAlign w:val="bottom"/>
            <w:tcBorders>
              <w:top w:val="single" w:sz="8" w:color="BDE1E9"/>
            </w:tcBorders>
            <w:shd w:val="clear" w:color="auto" w:fill="BDE1E9"/>
          </w:tcPr>
          <w:p>
            <w:pPr>
              <w:spacing w:after="0"/>
              <w:rPr>
                <w:sz w:val="17"/>
                <w:szCs w:val="17"/>
                <w:color w:val="auto"/>
              </w:rPr>
            </w:pPr>
          </w:p>
        </w:tc>
        <w:tc>
          <w:tcPr>
            <w:tcW w:w="2300" w:type="dxa"/>
            <w:vAlign w:val="bottom"/>
            <w:tcBorders>
              <w:top w:val="single" w:sz="8" w:color="BDE1E9"/>
            </w:tcBorders>
            <w:shd w:val="clear" w:color="auto" w:fill="BDE1E9"/>
          </w:tcPr>
          <w:p>
            <w:pPr>
              <w:spacing w:after="0"/>
              <w:rPr>
                <w:sz w:val="17"/>
                <w:szCs w:val="17"/>
                <w:color w:val="auto"/>
              </w:rPr>
            </w:pPr>
          </w:p>
        </w:tc>
        <w:tc>
          <w:tcPr>
            <w:tcW w:w="180" w:type="dxa"/>
            <w:vAlign w:val="bottom"/>
            <w:tcBorders>
              <w:top w:val="single" w:sz="8" w:color="BDE1E9"/>
              <w:right w:val="single" w:sz="8" w:color="BDE1E9"/>
            </w:tcBorders>
            <w:shd w:val="clear" w:color="auto" w:fill="BDE1E9"/>
          </w:tcPr>
          <w:p>
            <w:pPr>
              <w:spacing w:after="0"/>
              <w:rPr>
                <w:sz w:val="17"/>
                <w:szCs w:val="17"/>
                <w:color w:val="auto"/>
              </w:rPr>
            </w:pPr>
          </w:p>
        </w:tc>
        <w:tc>
          <w:tcPr>
            <w:tcW w:w="100" w:type="dxa"/>
            <w:vAlign w:val="bottom"/>
            <w:tcBorders>
              <w:top w:val="single" w:sz="8" w:color="BDE1E9"/>
              <w:right w:val="single" w:sz="8" w:color="BDE1E9"/>
            </w:tcBorders>
            <w:shd w:val="clear" w:color="auto" w:fill="BDE1E9"/>
          </w:tcPr>
          <w:p>
            <w:pPr>
              <w:spacing w:after="0"/>
              <w:rPr>
                <w:sz w:val="17"/>
                <w:szCs w:val="17"/>
                <w:color w:val="auto"/>
              </w:rPr>
            </w:pPr>
          </w:p>
        </w:tc>
        <w:tc>
          <w:tcPr>
            <w:tcW w:w="40" w:type="dxa"/>
            <w:vAlign w:val="bottom"/>
            <w:tcBorders>
              <w:top w:val="single" w:sz="8" w:color="BDE1E9"/>
              <w:left w:val="single" w:sz="8" w:color="BDE1E9"/>
            </w:tcBorders>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00" w:type="dxa"/>
            <w:vAlign w:val="bottom"/>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10.40†</w:t>
            </w:r>
          </w:p>
        </w:tc>
        <w:tc>
          <w:tcPr>
            <w:tcW w:w="10140" w:type="dxa"/>
            <w:vAlign w:val="bottom"/>
            <w:gridSpan w:val="15"/>
          </w:tcPr>
          <w:p>
            <w:pPr>
              <w:ind w:left="220"/>
              <w:spacing w:after="0" w:line="148"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Waiver and Sixth Amendment to Second Amended and Restated Credit </w:t>
            </w:r>
            <w:hyperlink r:id="rId8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 to the Company’s Quarterly Report on Form 10-Q for</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Agreement, dated March 27, 2024, between Consolidated Amusement</w:t>
            </w:r>
          </w:p>
        </w:tc>
        <w:tc>
          <w:tcPr>
            <w:tcW w:w="600" w:type="dxa"/>
            <w:vAlign w:val="bottom"/>
            <w:gridSpan w:val="2"/>
          </w:tcPr>
          <w:p>
            <w:pPr>
              <w:spacing w:after="0" w:line="20" w:lineRule="exact"/>
              <w:rPr>
                <w:sz w:val="1"/>
                <w:szCs w:val="1"/>
                <w:color w:val="auto"/>
              </w:rPr>
            </w:pPr>
          </w:p>
        </w:tc>
        <w:tc>
          <w:tcPr>
            <w:tcW w:w="4660" w:type="dxa"/>
            <w:vAlign w:val="bottom"/>
            <w:tcBorders>
              <w:right w:val="single" w:sz="8" w:color="0000FF"/>
            </w:tcBorders>
            <w:gridSpan w:val="11"/>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tcPr>
          <w:p>
            <w:pPr>
              <w:spacing w:after="0"/>
              <w:rPr>
                <w:sz w:val="14"/>
                <w:szCs w:val="14"/>
                <w:color w:val="auto"/>
              </w:rPr>
            </w:pPr>
          </w:p>
        </w:tc>
        <w:tc>
          <w:tcPr>
            <w:tcW w:w="4840" w:type="dxa"/>
            <w:vAlign w:val="bottom"/>
            <w:vMerge w:val="continue"/>
          </w:tcPr>
          <w:p>
            <w:pPr>
              <w:spacing w:after="0"/>
              <w:rPr>
                <w:sz w:val="14"/>
                <w:szCs w:val="14"/>
                <w:color w:val="auto"/>
              </w:rPr>
            </w:pPr>
          </w:p>
        </w:tc>
        <w:tc>
          <w:tcPr>
            <w:tcW w:w="5260" w:type="dxa"/>
            <w:vAlign w:val="bottom"/>
            <w:gridSpan w:val="13"/>
          </w:tcPr>
          <w:p>
            <w:pPr>
              <w:ind w:left="40"/>
              <w:spacing w:after="0" w:line="169" w:lineRule="exact"/>
              <w:rPr>
                <w:rFonts w:ascii="Times New Roman" w:cs="Times New Roman" w:eastAsia="Times New Roman" w:hAnsi="Times New Roman"/>
                <w:sz w:val="16"/>
                <w:szCs w:val="16"/>
                <w:b w:val="1"/>
                <w:bCs w:val="1"/>
                <w:color w:val="0000FF"/>
              </w:rPr>
            </w:pPr>
            <w:hyperlink r:id="rId84">
              <w:r>
                <w:rPr>
                  <w:rFonts w:ascii="Times New Roman" w:cs="Times New Roman" w:eastAsia="Times New Roman" w:hAnsi="Times New Roman"/>
                  <w:sz w:val="16"/>
                  <w:szCs w:val="16"/>
                  <w:b w:val="1"/>
                  <w:bCs w:val="1"/>
                  <w:color w:val="0000FF"/>
                </w:rPr>
                <w:t>the Quarter ended March 31, 2024</w:t>
              </w:r>
              <w:r>
                <w:rPr>
                  <w:rFonts w:ascii="Times New Roman" w:cs="Times New Roman" w:eastAsia="Times New Roman" w:hAnsi="Times New Roman"/>
                  <w:sz w:val="16"/>
                  <w:szCs w:val="16"/>
                  <w:color w:val="000000"/>
                </w:rPr>
                <w:t>, and incorporated herein by reference.</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Holdings, LLC, and Bank of America, N.A.</w:t>
            </w:r>
          </w:p>
        </w:tc>
        <w:tc>
          <w:tcPr>
            <w:tcW w:w="4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BDE1E9"/>
          </w:tcPr>
          <w:p>
            <w:pPr>
              <w:jc w:val="center"/>
              <w:ind w:left="139"/>
              <w:spacing w:after="0" w:line="148" w:lineRule="exact"/>
              <w:rPr>
                <w:sz w:val="20"/>
                <w:szCs w:val="20"/>
                <w:color w:val="auto"/>
              </w:rPr>
            </w:pPr>
            <w:r>
              <w:rPr>
                <w:rFonts w:ascii="Times New Roman" w:cs="Times New Roman" w:eastAsia="Times New Roman" w:hAnsi="Times New Roman"/>
                <w:sz w:val="16"/>
                <w:szCs w:val="16"/>
                <w:color w:val="auto"/>
                <w:w w:val="99"/>
              </w:rPr>
              <w:t>10.41</w:t>
            </w:r>
          </w:p>
        </w:tc>
        <w:tc>
          <w:tcPr>
            <w:tcW w:w="4840" w:type="dxa"/>
            <w:vAlign w:val="bottom"/>
            <w:shd w:val="clear" w:color="auto" w:fill="BDE1E9"/>
          </w:tcPr>
          <w:p>
            <w:pPr>
              <w:ind w:left="220"/>
              <w:spacing w:after="0" w:line="148" w:lineRule="exact"/>
              <w:rPr>
                <w:sz w:val="20"/>
                <w:szCs w:val="20"/>
                <w:color w:val="auto"/>
              </w:rPr>
            </w:pPr>
            <w:r>
              <w:rPr>
                <w:rFonts w:ascii="Times New Roman" w:cs="Times New Roman" w:eastAsia="Times New Roman" w:hAnsi="Times New Roman"/>
                <w:sz w:val="16"/>
                <w:szCs w:val="16"/>
                <w:color w:val="auto"/>
              </w:rPr>
              <w:t>Waiver and Seventh Amendment to Second Amended and Restated</w:t>
            </w:r>
          </w:p>
        </w:tc>
        <w:tc>
          <w:tcPr>
            <w:tcW w:w="5300" w:type="dxa"/>
            <w:vAlign w:val="bottom"/>
            <w:gridSpan w:val="14"/>
            <w:shd w:val="clear" w:color="auto" w:fill="BDE1E9"/>
          </w:tcPr>
          <w:p>
            <w:pPr>
              <w:ind w:left="40"/>
              <w:spacing w:after="0" w:line="148" w:lineRule="exact"/>
              <w:rPr>
                <w:rFonts w:ascii="Times New Roman" w:cs="Times New Roman" w:eastAsia="Times New Roman" w:hAnsi="Times New Roman"/>
                <w:sz w:val="16"/>
                <w:szCs w:val="16"/>
                <w:color w:val="auto"/>
              </w:rPr>
            </w:pPr>
            <w:hyperlink r:id="rId85">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10.36 to the Company’s Annual Report on Form 10-K for</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BDE1E9"/>
            </w:tcBorders>
            <w:shd w:val="clear" w:color="auto" w:fill="BDE1E9"/>
          </w:tcPr>
          <w:p>
            <w:pPr>
              <w:spacing w:after="0"/>
              <w:rPr>
                <w:sz w:val="14"/>
                <w:szCs w:val="14"/>
                <w:color w:val="auto"/>
              </w:rPr>
            </w:pPr>
          </w:p>
        </w:tc>
        <w:tc>
          <w:tcPr>
            <w:tcW w:w="4840" w:type="dxa"/>
            <w:vAlign w:val="bottom"/>
            <w:tcBorders>
              <w:top w:val="single" w:sz="8" w:color="BDE1E9"/>
            </w:tcBorders>
            <w:shd w:val="clear" w:color="auto" w:fill="BDE1E9"/>
          </w:tcPr>
          <w:p>
            <w:pPr>
              <w:ind w:left="220"/>
              <w:spacing w:after="0" w:line="169" w:lineRule="exact"/>
              <w:rPr>
                <w:sz w:val="20"/>
                <w:szCs w:val="20"/>
                <w:color w:val="auto"/>
              </w:rPr>
            </w:pPr>
            <w:r>
              <w:rPr>
                <w:rFonts w:ascii="Times New Roman" w:cs="Times New Roman" w:eastAsia="Times New Roman" w:hAnsi="Times New Roman"/>
                <w:sz w:val="16"/>
                <w:szCs w:val="16"/>
                <w:color w:val="auto"/>
              </w:rPr>
              <w:t>Credit Agreement, dated October 3, 2024, between Consolidated</w:t>
            </w:r>
          </w:p>
        </w:tc>
        <w:tc>
          <w:tcPr>
            <w:tcW w:w="600" w:type="dxa"/>
            <w:vAlign w:val="bottom"/>
            <w:tcBorders>
              <w:top w:val="single" w:sz="8" w:color="BDE1E9"/>
              <w:right w:val="single" w:sz="8" w:color="BDE1E9"/>
            </w:tcBorders>
            <w:gridSpan w:val="2"/>
            <w:shd w:val="clear" w:color="auto" w:fill="BDE1E9"/>
          </w:tcPr>
          <w:p>
            <w:pPr>
              <w:ind w:left="40"/>
              <w:spacing w:after="0" w:line="169" w:lineRule="exact"/>
              <w:rPr>
                <w:rFonts w:ascii="Times New Roman" w:cs="Times New Roman" w:eastAsia="Times New Roman" w:hAnsi="Times New Roman"/>
                <w:sz w:val="16"/>
                <w:szCs w:val="16"/>
                <w:b w:val="1"/>
                <w:bCs w:val="1"/>
                <w:color w:val="0000FF"/>
                <w:w w:val="93"/>
              </w:rPr>
            </w:pPr>
            <w:hyperlink r:id="rId85">
              <w:r>
                <w:rPr>
                  <w:rFonts w:ascii="Times New Roman" w:cs="Times New Roman" w:eastAsia="Times New Roman" w:hAnsi="Times New Roman"/>
                  <w:sz w:val="16"/>
                  <w:szCs w:val="16"/>
                  <w:b w:val="1"/>
                  <w:bCs w:val="1"/>
                  <w:color w:val="0000FF"/>
                  <w:w w:val="93"/>
                </w:rPr>
                <w:t>the year</w:t>
              </w:r>
            </w:hyperlink>
          </w:p>
        </w:tc>
        <w:tc>
          <w:tcPr>
            <w:tcW w:w="4560" w:type="dxa"/>
            <w:vAlign w:val="bottom"/>
            <w:tcBorders>
              <w:top w:val="single" w:sz="8" w:color="0000FF"/>
              <w:right w:val="single" w:sz="8" w:color="BDE1E9"/>
            </w:tcBorders>
            <w:gridSpan w:val="10"/>
            <w:shd w:val="clear" w:color="auto" w:fill="BDE1E9"/>
          </w:tcPr>
          <w:p>
            <w:pPr>
              <w:jc w:val="right"/>
              <w:ind w:right="240"/>
              <w:spacing w:after="0" w:line="169" w:lineRule="exact"/>
              <w:rPr>
                <w:rFonts w:ascii="Times New Roman" w:cs="Times New Roman" w:eastAsia="Times New Roman" w:hAnsi="Times New Roman"/>
                <w:sz w:val="16"/>
                <w:szCs w:val="16"/>
                <w:b w:val="1"/>
                <w:bCs w:val="1"/>
                <w:color w:val="0000FF"/>
              </w:rPr>
            </w:pPr>
            <w:hyperlink r:id="rId85">
              <w:r>
                <w:rPr>
                  <w:rFonts w:ascii="Times New Roman" w:cs="Times New Roman" w:eastAsia="Times New Roman" w:hAnsi="Times New Roman"/>
                  <w:sz w:val="16"/>
                  <w:szCs w:val="16"/>
                  <w:b w:val="1"/>
                  <w:bCs w:val="1"/>
                  <w:color w:val="0000FF"/>
                </w:rPr>
                <w:t>ended December 31, 2024</w:t>
              </w:r>
              <w:r>
                <w:rPr>
                  <w:rFonts w:ascii="Times New Roman" w:cs="Times New Roman" w:eastAsia="Times New Roman" w:hAnsi="Times New Roman"/>
                  <w:sz w:val="16"/>
                  <w:szCs w:val="16"/>
                  <w:color w:val="000000"/>
                </w:rPr>
                <w:t>, and incorporated herein by reference.</w:t>
              </w:r>
            </w:hyperlink>
          </w:p>
        </w:tc>
        <w:tc>
          <w:tcPr>
            <w:tcW w:w="140" w:type="dxa"/>
            <w:vAlign w:val="bottom"/>
            <w:tcBorders>
              <w:top w:val="single" w:sz="8" w:color="BDE1E9"/>
            </w:tcBorders>
            <w:gridSpan w:val="2"/>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00" w:type="dxa"/>
            <w:vAlign w:val="bottom"/>
            <w:tcBorders>
              <w:top w:val="single" w:sz="8" w:color="BDE1E9"/>
            </w:tcBorders>
            <w:shd w:val="clear" w:color="auto" w:fill="BDE1E9"/>
          </w:tcPr>
          <w:p>
            <w:pPr>
              <w:spacing w:after="0"/>
              <w:rPr>
                <w:sz w:val="17"/>
                <w:szCs w:val="17"/>
                <w:color w:val="auto"/>
              </w:rPr>
            </w:pPr>
          </w:p>
        </w:tc>
        <w:tc>
          <w:tcPr>
            <w:tcW w:w="4840" w:type="dxa"/>
            <w:vAlign w:val="bottom"/>
            <w:tcBorders>
              <w:top w:val="single" w:sz="8" w:color="BDE1E9"/>
            </w:tcBorders>
            <w:shd w:val="clear" w:color="auto" w:fill="BDE1E9"/>
          </w:tcPr>
          <w:p>
            <w:pPr>
              <w:ind w:left="220"/>
              <w:spacing w:after="0"/>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40" w:type="dxa"/>
            <w:vAlign w:val="bottom"/>
            <w:tcBorders>
              <w:top w:val="single" w:sz="8" w:color="BDE1E9"/>
            </w:tcBorders>
            <w:shd w:val="clear" w:color="auto" w:fill="BDE1E9"/>
          </w:tcPr>
          <w:p>
            <w:pPr>
              <w:spacing w:after="0"/>
              <w:rPr>
                <w:sz w:val="17"/>
                <w:szCs w:val="17"/>
                <w:color w:val="auto"/>
              </w:rPr>
            </w:pPr>
          </w:p>
        </w:tc>
        <w:tc>
          <w:tcPr>
            <w:tcW w:w="560" w:type="dxa"/>
            <w:vAlign w:val="bottom"/>
            <w:tcBorders>
              <w:top w:val="single" w:sz="8" w:color="0000FF"/>
              <w:right w:val="single" w:sz="8" w:color="BDE1E9"/>
            </w:tcBorders>
            <w:shd w:val="clear" w:color="auto" w:fill="BDE1E9"/>
          </w:tcPr>
          <w:p>
            <w:pPr>
              <w:spacing w:after="0"/>
              <w:rPr>
                <w:sz w:val="17"/>
                <w:szCs w:val="17"/>
                <w:color w:val="auto"/>
              </w:rPr>
            </w:pPr>
          </w:p>
        </w:tc>
        <w:tc>
          <w:tcPr>
            <w:tcW w:w="1200" w:type="dxa"/>
            <w:vAlign w:val="bottom"/>
            <w:tcBorders>
              <w:top w:val="single" w:sz="8" w:color="0000FF"/>
            </w:tcBorders>
            <w:shd w:val="clear" w:color="auto" w:fill="BDE1E9"/>
          </w:tcPr>
          <w:p>
            <w:pPr>
              <w:spacing w:after="0"/>
              <w:rPr>
                <w:sz w:val="17"/>
                <w:szCs w:val="17"/>
                <w:color w:val="auto"/>
              </w:rPr>
            </w:pPr>
          </w:p>
        </w:tc>
        <w:tc>
          <w:tcPr>
            <w:tcW w:w="120" w:type="dxa"/>
            <w:vAlign w:val="bottom"/>
            <w:tcBorders>
              <w:top w:val="single" w:sz="8" w:color="0000FF"/>
            </w:tcBorders>
            <w:shd w:val="clear" w:color="auto" w:fill="BDE1E9"/>
          </w:tcPr>
          <w:p>
            <w:pPr>
              <w:spacing w:after="0"/>
              <w:rPr>
                <w:sz w:val="17"/>
                <w:szCs w:val="17"/>
                <w:color w:val="auto"/>
              </w:rPr>
            </w:pPr>
          </w:p>
        </w:tc>
        <w:tc>
          <w:tcPr>
            <w:tcW w:w="360" w:type="dxa"/>
            <w:vAlign w:val="bottom"/>
            <w:tcBorders>
              <w:top w:val="single" w:sz="8" w:color="0000FF"/>
            </w:tcBorders>
            <w:shd w:val="clear" w:color="auto" w:fill="BDE1E9"/>
          </w:tcPr>
          <w:p>
            <w:pPr>
              <w:spacing w:after="0"/>
              <w:rPr>
                <w:sz w:val="17"/>
                <w:szCs w:val="17"/>
                <w:color w:val="auto"/>
              </w:rPr>
            </w:pPr>
          </w:p>
        </w:tc>
        <w:tc>
          <w:tcPr>
            <w:tcW w:w="40" w:type="dxa"/>
            <w:vAlign w:val="bottom"/>
            <w:tcBorders>
              <w:top w:val="single" w:sz="8" w:color="0000FF"/>
            </w:tcBorders>
            <w:shd w:val="clear" w:color="auto" w:fill="BDE1E9"/>
          </w:tcPr>
          <w:p>
            <w:pPr>
              <w:spacing w:after="0"/>
              <w:rPr>
                <w:sz w:val="17"/>
                <w:szCs w:val="17"/>
                <w:color w:val="auto"/>
              </w:rPr>
            </w:pPr>
          </w:p>
        </w:tc>
        <w:tc>
          <w:tcPr>
            <w:tcW w:w="80" w:type="dxa"/>
            <w:vAlign w:val="bottom"/>
            <w:tcBorders>
              <w:top w:val="single" w:sz="8" w:color="0000FF"/>
            </w:tcBorders>
            <w:shd w:val="clear" w:color="auto" w:fill="BDE1E9"/>
          </w:tcPr>
          <w:p>
            <w:pPr>
              <w:spacing w:after="0"/>
              <w:rPr>
                <w:sz w:val="17"/>
                <w:szCs w:val="17"/>
                <w:color w:val="auto"/>
              </w:rPr>
            </w:pPr>
          </w:p>
        </w:tc>
        <w:tc>
          <w:tcPr>
            <w:tcW w:w="20" w:type="dxa"/>
            <w:vAlign w:val="bottom"/>
            <w:tcBorders>
              <w:top w:val="single" w:sz="8" w:color="0000FF"/>
            </w:tcBorders>
            <w:shd w:val="clear" w:color="auto" w:fill="BDE1E9"/>
          </w:tcPr>
          <w:p>
            <w:pPr>
              <w:spacing w:after="0"/>
              <w:rPr>
                <w:sz w:val="17"/>
                <w:szCs w:val="17"/>
                <w:color w:val="auto"/>
              </w:rPr>
            </w:pPr>
          </w:p>
        </w:tc>
        <w:tc>
          <w:tcPr>
            <w:tcW w:w="20" w:type="dxa"/>
            <w:vAlign w:val="bottom"/>
            <w:tcBorders>
              <w:top w:val="single" w:sz="8" w:color="BDE1E9"/>
            </w:tcBorders>
            <w:shd w:val="clear" w:color="auto" w:fill="BDE1E9"/>
          </w:tcPr>
          <w:p>
            <w:pPr>
              <w:spacing w:after="0"/>
              <w:rPr>
                <w:sz w:val="17"/>
                <w:szCs w:val="17"/>
                <w:color w:val="auto"/>
              </w:rPr>
            </w:pPr>
          </w:p>
        </w:tc>
        <w:tc>
          <w:tcPr>
            <w:tcW w:w="240" w:type="dxa"/>
            <w:vAlign w:val="bottom"/>
            <w:tcBorders>
              <w:top w:val="single" w:sz="8" w:color="BDE1E9"/>
            </w:tcBorders>
            <w:shd w:val="clear" w:color="auto" w:fill="BDE1E9"/>
          </w:tcPr>
          <w:p>
            <w:pPr>
              <w:spacing w:after="0"/>
              <w:rPr>
                <w:sz w:val="17"/>
                <w:szCs w:val="17"/>
                <w:color w:val="auto"/>
              </w:rPr>
            </w:pPr>
          </w:p>
        </w:tc>
        <w:tc>
          <w:tcPr>
            <w:tcW w:w="2300" w:type="dxa"/>
            <w:vAlign w:val="bottom"/>
            <w:tcBorders>
              <w:top w:val="single" w:sz="8" w:color="BDE1E9"/>
            </w:tcBorders>
            <w:shd w:val="clear" w:color="auto" w:fill="BDE1E9"/>
          </w:tcPr>
          <w:p>
            <w:pPr>
              <w:spacing w:after="0"/>
              <w:rPr>
                <w:sz w:val="17"/>
                <w:szCs w:val="17"/>
                <w:color w:val="auto"/>
              </w:rPr>
            </w:pPr>
          </w:p>
        </w:tc>
        <w:tc>
          <w:tcPr>
            <w:tcW w:w="180" w:type="dxa"/>
            <w:vAlign w:val="bottom"/>
            <w:tcBorders>
              <w:top w:val="single" w:sz="8" w:color="BDE1E9"/>
              <w:right w:val="single" w:sz="8" w:color="BDE1E9"/>
            </w:tcBorders>
            <w:shd w:val="clear" w:color="auto" w:fill="BDE1E9"/>
          </w:tcPr>
          <w:p>
            <w:pPr>
              <w:spacing w:after="0"/>
              <w:rPr>
                <w:sz w:val="17"/>
                <w:szCs w:val="17"/>
                <w:color w:val="auto"/>
              </w:rPr>
            </w:pPr>
          </w:p>
        </w:tc>
        <w:tc>
          <w:tcPr>
            <w:tcW w:w="100" w:type="dxa"/>
            <w:vAlign w:val="bottom"/>
            <w:tcBorders>
              <w:top w:val="single" w:sz="8" w:color="BDE1E9"/>
              <w:right w:val="single" w:sz="8" w:color="BDE1E9"/>
            </w:tcBorders>
            <w:shd w:val="clear" w:color="auto" w:fill="BDE1E9"/>
          </w:tcPr>
          <w:p>
            <w:pPr>
              <w:spacing w:after="0"/>
              <w:rPr>
                <w:sz w:val="17"/>
                <w:szCs w:val="17"/>
                <w:color w:val="auto"/>
              </w:rPr>
            </w:pPr>
          </w:p>
        </w:tc>
        <w:tc>
          <w:tcPr>
            <w:tcW w:w="40" w:type="dxa"/>
            <w:vAlign w:val="bottom"/>
            <w:tcBorders>
              <w:top w:val="single" w:sz="8" w:color="BDE1E9"/>
              <w:left w:val="single" w:sz="8" w:color="BDE1E9"/>
            </w:tcBorders>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48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1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10.42</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10.45†</w:t>
      </w: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10.46</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Waiver and Eighth Amendment to Second Amended and Restated</w:t>
            </w:r>
          </w:p>
        </w:tc>
        <w:tc>
          <w:tcPr>
            <w:tcW w:w="5340" w:type="dxa"/>
            <w:vAlign w:val="bottom"/>
            <w:gridSpan w:val="10"/>
          </w:tcPr>
          <w:p>
            <w:pPr>
              <w:ind w:left="120"/>
              <w:spacing w:after="0"/>
              <w:rPr>
                <w:rFonts w:ascii="Times New Roman" w:cs="Times New Roman" w:eastAsia="Times New Roman" w:hAnsi="Times New Roman"/>
                <w:sz w:val="16"/>
                <w:szCs w:val="16"/>
                <w:color w:val="auto"/>
              </w:rPr>
            </w:pPr>
            <w:hyperlink r:id="rId8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10.37 to the Company’s Annual Report on Form 10-K for</w:t>
              </w:r>
            </w:hyperlink>
          </w:p>
        </w:tc>
        <w:tc>
          <w:tcPr>
            <w:tcW w:w="0" w:type="dxa"/>
            <w:vAlign w:val="bottom"/>
          </w:tcPr>
          <w:p>
            <w:pPr>
              <w:spacing w:after="0"/>
              <w:rPr>
                <w:sz w:val="1"/>
                <w:szCs w:val="1"/>
                <w:color w:val="auto"/>
              </w:rPr>
            </w:pPr>
          </w:p>
        </w:tc>
      </w:tr>
      <w:tr>
        <w:trPr>
          <w:trHeight w:val="169"/>
        </w:trPr>
        <w:tc>
          <w:tcPr>
            <w:tcW w:w="45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Credit Agreement, dated January 3, 2025, between Consolidated</w:t>
            </w:r>
          </w:p>
        </w:tc>
        <w:tc>
          <w:tcPr>
            <w:tcW w:w="680" w:type="dxa"/>
            <w:vAlign w:val="bottom"/>
            <w:gridSpan w:val="2"/>
          </w:tcPr>
          <w:p>
            <w:pPr>
              <w:ind w:left="120"/>
              <w:spacing w:after="0" w:line="169" w:lineRule="exact"/>
              <w:rPr>
                <w:rFonts w:ascii="Times New Roman" w:cs="Times New Roman" w:eastAsia="Times New Roman" w:hAnsi="Times New Roman"/>
                <w:sz w:val="16"/>
                <w:szCs w:val="16"/>
                <w:b w:val="1"/>
                <w:bCs w:val="1"/>
                <w:color w:val="0000FF"/>
                <w:w w:val="97"/>
              </w:rPr>
            </w:pPr>
            <w:hyperlink r:id="rId88">
              <w:r>
                <w:rPr>
                  <w:rFonts w:ascii="Times New Roman" w:cs="Times New Roman" w:eastAsia="Times New Roman" w:hAnsi="Times New Roman"/>
                  <w:sz w:val="16"/>
                  <w:szCs w:val="16"/>
                  <w:b w:val="1"/>
                  <w:bCs w:val="1"/>
                  <w:color w:val="0000FF"/>
                  <w:w w:val="97"/>
                </w:rPr>
                <w:t>the year</w:t>
              </w:r>
            </w:hyperlink>
          </w:p>
        </w:tc>
        <w:tc>
          <w:tcPr>
            <w:tcW w:w="20" w:type="dxa"/>
            <w:vAlign w:val="bottom"/>
            <w:tcBorders>
              <w:top w:val="single" w:sz="8" w:color="0000FF"/>
            </w:tcBorders>
          </w:tcPr>
          <w:p>
            <w:pPr>
              <w:spacing w:after="0"/>
              <w:rPr>
                <w:sz w:val="14"/>
                <w:szCs w:val="14"/>
                <w:color w:val="auto"/>
              </w:rPr>
            </w:pPr>
          </w:p>
        </w:tc>
        <w:tc>
          <w:tcPr>
            <w:tcW w:w="4560" w:type="dxa"/>
            <w:vAlign w:val="bottom"/>
            <w:tcBorders>
              <w:top w:val="single" w:sz="8" w:color="0000FF"/>
            </w:tcBorders>
            <w:gridSpan w:val="6"/>
          </w:tcPr>
          <w:p>
            <w:pPr>
              <w:ind w:left="40"/>
              <w:spacing w:after="0" w:line="169" w:lineRule="exact"/>
              <w:rPr>
                <w:rFonts w:ascii="Times New Roman" w:cs="Times New Roman" w:eastAsia="Times New Roman" w:hAnsi="Times New Roman"/>
                <w:sz w:val="16"/>
                <w:szCs w:val="16"/>
                <w:b w:val="1"/>
                <w:bCs w:val="1"/>
                <w:color w:val="0000FF"/>
              </w:rPr>
            </w:pPr>
            <w:hyperlink r:id="rId88">
              <w:r>
                <w:rPr>
                  <w:rFonts w:ascii="Times New Roman" w:cs="Times New Roman" w:eastAsia="Times New Roman" w:hAnsi="Times New Roman"/>
                  <w:sz w:val="16"/>
                  <w:szCs w:val="16"/>
                  <w:b w:val="1"/>
                  <w:bCs w:val="1"/>
                  <w:color w:val="0000FF"/>
                </w:rPr>
                <w:t>ended December 31, 2024</w:t>
              </w:r>
              <w:r>
                <w:rPr>
                  <w:rFonts w:ascii="Times New Roman" w:cs="Times New Roman" w:eastAsia="Times New Roman" w:hAnsi="Times New Roman"/>
                  <w:sz w:val="16"/>
                  <w:szCs w:val="16"/>
                  <w:color w:val="000000"/>
                </w:rPr>
                <w:t>, and incorporated herein by reference.</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12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Waiver and Ninth Amendment to Second Amended and Restated</w:t>
            </w:r>
          </w:p>
        </w:tc>
        <w:tc>
          <w:tcPr>
            <w:tcW w:w="680" w:type="dxa"/>
            <w:vAlign w:val="bottom"/>
            <w:gridSpan w:val="2"/>
          </w:tcPr>
          <w:p>
            <w:pPr>
              <w:ind w:left="120"/>
              <w:spacing w:after="0" w:line="162" w:lineRule="exact"/>
              <w:rPr>
                <w:rFonts w:ascii="Times New Roman" w:cs="Times New Roman" w:eastAsia="Times New Roman" w:hAnsi="Times New Roman"/>
                <w:sz w:val="16"/>
                <w:szCs w:val="16"/>
                <w:color w:val="auto"/>
              </w:rPr>
            </w:pPr>
            <w:hyperlink r:id="rId89">
              <w:r>
                <w:rPr>
                  <w:rFonts w:ascii="Times New Roman" w:cs="Times New Roman" w:eastAsia="Times New Roman" w:hAnsi="Times New Roman"/>
                  <w:sz w:val="16"/>
                  <w:szCs w:val="16"/>
                  <w:color w:val="auto"/>
                </w:rPr>
                <w:t>Filed as</w:t>
              </w:r>
            </w:hyperlink>
          </w:p>
        </w:tc>
        <w:tc>
          <w:tcPr>
            <w:tcW w:w="20" w:type="dxa"/>
            <w:vAlign w:val="bottom"/>
            <w:tcBorders>
              <w:bottom w:val="single" w:sz="8" w:color="0000FF"/>
            </w:tcBorders>
          </w:tcPr>
          <w:p>
            <w:pPr>
              <w:spacing w:after="0"/>
              <w:rPr>
                <w:sz w:val="15"/>
                <w:szCs w:val="15"/>
                <w:color w:val="auto"/>
              </w:rPr>
            </w:pPr>
          </w:p>
        </w:tc>
        <w:tc>
          <w:tcPr>
            <w:tcW w:w="4640" w:type="dxa"/>
            <w:vAlign w:val="bottom"/>
            <w:tcBorders>
              <w:bottom w:val="single" w:sz="8" w:color="0000FF"/>
            </w:tcBorders>
            <w:gridSpan w:val="7"/>
            <w:shd w:val="clear" w:color="auto" w:fill="BDE1E9"/>
          </w:tcPr>
          <w:p>
            <w:pPr>
              <w:spacing w:after="0" w:line="162" w:lineRule="exact"/>
              <w:rPr>
                <w:rFonts w:ascii="Times New Roman" w:cs="Times New Roman" w:eastAsia="Times New Roman" w:hAnsi="Times New Roman"/>
                <w:sz w:val="16"/>
                <w:szCs w:val="16"/>
                <w:b w:val="1"/>
                <w:bCs w:val="1"/>
                <w:color w:val="0000FF"/>
                <w:shd w:val="clear" w:color="auto" w:fill="BDE1E9"/>
              </w:rPr>
            </w:pPr>
            <w:hyperlink r:id="rId89">
              <w:r>
                <w:rPr>
                  <w:rFonts w:ascii="Times New Roman" w:cs="Times New Roman" w:eastAsia="Times New Roman" w:hAnsi="Times New Roman"/>
                  <w:sz w:val="16"/>
                  <w:szCs w:val="16"/>
                  <w:b w:val="1"/>
                  <w:bCs w:val="1"/>
                  <w:color w:val="0000FF"/>
                  <w:shd w:val="clear" w:color="auto" w:fill="BDE1E9"/>
                </w:rPr>
                <w:t>Exhibit 10.1 to the Company’s Quarterly Report on Form 10-Q for</w:t>
              </w:r>
            </w:hyperlink>
          </w:p>
        </w:tc>
        <w:tc>
          <w:tcPr>
            <w:tcW w:w="0" w:type="dxa"/>
            <w:vAlign w:val="bottom"/>
          </w:tcPr>
          <w:p>
            <w:pPr>
              <w:spacing w:after="0"/>
              <w:rPr>
                <w:sz w:val="1"/>
                <w:szCs w:val="1"/>
                <w:color w:val="auto"/>
              </w:rPr>
            </w:pPr>
          </w:p>
        </w:tc>
      </w:tr>
      <w:tr>
        <w:trPr>
          <w:trHeight w:val="156"/>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6"/>
                <w:szCs w:val="16"/>
                <w:color w:val="auto"/>
              </w:rPr>
              <w:t>Credit Agreement, dated April 3, 2025, between Consolidated</w:t>
            </w:r>
          </w:p>
        </w:tc>
        <w:tc>
          <w:tcPr>
            <w:tcW w:w="120" w:type="dxa"/>
            <w:vAlign w:val="bottom"/>
          </w:tcPr>
          <w:p>
            <w:pPr>
              <w:spacing w:after="0"/>
              <w:rPr>
                <w:sz w:val="13"/>
                <w:szCs w:val="13"/>
                <w:color w:val="auto"/>
              </w:rPr>
            </w:pPr>
          </w:p>
        </w:tc>
        <w:tc>
          <w:tcPr>
            <w:tcW w:w="2260" w:type="dxa"/>
            <w:vAlign w:val="bottom"/>
            <w:tcBorders>
              <w:bottom w:val="single" w:sz="8" w:color="0000FF"/>
            </w:tcBorders>
            <w:gridSpan w:val="3"/>
            <w:shd w:val="clear" w:color="auto" w:fill="BDE1E9"/>
          </w:tcPr>
          <w:p>
            <w:pPr>
              <w:spacing w:after="0" w:line="149" w:lineRule="exact"/>
              <w:rPr>
                <w:rFonts w:ascii="Times New Roman" w:cs="Times New Roman" w:eastAsia="Times New Roman" w:hAnsi="Times New Roman"/>
                <w:sz w:val="16"/>
                <w:szCs w:val="16"/>
                <w:b w:val="1"/>
                <w:bCs w:val="1"/>
                <w:color w:val="0000FF"/>
                <w:shd w:val="clear" w:color="auto" w:fill="BDE1E9"/>
              </w:rPr>
            </w:pPr>
            <w:hyperlink r:id="rId89">
              <w:r>
                <w:rPr>
                  <w:rFonts w:ascii="Times New Roman" w:cs="Times New Roman" w:eastAsia="Times New Roman" w:hAnsi="Times New Roman"/>
                  <w:sz w:val="16"/>
                  <w:szCs w:val="16"/>
                  <w:b w:val="1"/>
                  <w:bCs w:val="1"/>
                  <w:color w:val="0000FF"/>
                  <w:shd w:val="clear" w:color="auto" w:fill="BDE1E9"/>
                </w:rPr>
                <w:t>the Quarter ended June 30, 2025</w:t>
              </w:r>
            </w:hyperlink>
          </w:p>
        </w:tc>
        <w:tc>
          <w:tcPr>
            <w:tcW w:w="2520" w:type="dxa"/>
            <w:vAlign w:val="bottom"/>
            <w:tcBorders>
              <w:bottom w:val="single" w:sz="8" w:color="BDE1E9"/>
            </w:tcBorders>
            <w:gridSpan w:val="3"/>
            <w:shd w:val="clear" w:color="auto" w:fill="BDE1E9"/>
          </w:tcPr>
          <w:p>
            <w:pPr>
              <w:spacing w:after="0" w:line="149" w:lineRule="exact"/>
              <w:rPr>
                <w:rFonts w:ascii="Times New Roman" w:cs="Times New Roman" w:eastAsia="Times New Roman" w:hAnsi="Times New Roman"/>
                <w:sz w:val="16"/>
                <w:szCs w:val="16"/>
                <w:color w:val="auto"/>
                <w:shd w:val="clear" w:color="auto" w:fill="BDE1E9"/>
              </w:rPr>
            </w:pPr>
            <w:hyperlink r:id="rId89">
              <w:r>
                <w:rPr>
                  <w:rFonts w:ascii="Times New Roman" w:cs="Times New Roman" w:eastAsia="Times New Roman" w:hAnsi="Times New Roman"/>
                  <w:sz w:val="16"/>
                  <w:szCs w:val="16"/>
                  <w:color w:val="auto"/>
                  <w:shd w:val="clear" w:color="auto" w:fill="BDE1E9"/>
                </w:rPr>
                <w:t>, and incorporated herein by reference.</w:t>
              </w:r>
            </w:hyperlink>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5340" w:type="dxa"/>
            <w:vAlign w:val="bottom"/>
            <w:gridSpan w:val="10"/>
            <w:vMerge w:val="restart"/>
          </w:tcPr>
          <w:p>
            <w:pPr>
              <w:ind w:left="120"/>
              <w:spacing w:after="0"/>
              <w:rPr>
                <w:rFonts w:ascii="Times New Roman" w:cs="Times New Roman" w:eastAsia="Times New Roman" w:hAnsi="Times New Roman"/>
                <w:sz w:val="16"/>
                <w:szCs w:val="16"/>
                <w:color w:val="auto"/>
              </w:rPr>
            </w:pPr>
            <w:hyperlink r:id="rId9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 to the Company’s Quarterly Report on Form 10-Q for</w:t>
              </w:r>
            </w:hyperlink>
          </w:p>
        </w:tc>
        <w:tc>
          <w:tcPr>
            <w:tcW w:w="0" w:type="dxa"/>
            <w:vAlign w:val="bottom"/>
          </w:tcPr>
          <w:p>
            <w:pPr>
              <w:spacing w:after="0"/>
              <w:rPr>
                <w:sz w:val="1"/>
                <w:szCs w:val="1"/>
                <w:color w:val="auto"/>
              </w:rPr>
            </w:pPr>
          </w:p>
        </w:tc>
      </w:tr>
      <w:tr>
        <w:trPr>
          <w:trHeight w:val="176"/>
        </w:trPr>
        <w:tc>
          <w:tcPr>
            <w:tcW w:w="45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Waiver and Tenth Amendment to Second Amended and Restated</w:t>
            </w:r>
          </w:p>
        </w:tc>
        <w:tc>
          <w:tcPr>
            <w:tcW w:w="534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Credit Agreement, dated July 3, 2025, between Consolidated</w:t>
            </w:r>
          </w:p>
        </w:tc>
        <w:tc>
          <w:tcPr>
            <w:tcW w:w="680" w:type="dxa"/>
            <w:vAlign w:val="bottom"/>
            <w:gridSpan w:val="2"/>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vMerge w:val="continue"/>
          </w:tcPr>
          <w:p>
            <w:pPr>
              <w:spacing w:after="0"/>
              <w:rPr>
                <w:sz w:val="14"/>
                <w:szCs w:val="14"/>
                <w:color w:val="auto"/>
              </w:rPr>
            </w:pPr>
          </w:p>
        </w:tc>
        <w:tc>
          <w:tcPr>
            <w:tcW w:w="5340" w:type="dxa"/>
            <w:vAlign w:val="bottom"/>
            <w:gridSpan w:val="10"/>
          </w:tcPr>
          <w:p>
            <w:pPr>
              <w:ind w:left="120"/>
              <w:spacing w:after="0" w:line="169" w:lineRule="exact"/>
              <w:rPr>
                <w:rFonts w:ascii="Times New Roman" w:cs="Times New Roman" w:eastAsia="Times New Roman" w:hAnsi="Times New Roman"/>
                <w:sz w:val="16"/>
                <w:szCs w:val="16"/>
                <w:b w:val="1"/>
                <w:bCs w:val="1"/>
                <w:color w:val="0000FF"/>
              </w:rPr>
            </w:pPr>
            <w:hyperlink r:id="rId90">
              <w:r>
                <w:rPr>
                  <w:rFonts w:ascii="Times New Roman" w:cs="Times New Roman" w:eastAsia="Times New Roman" w:hAnsi="Times New Roman"/>
                  <w:sz w:val="16"/>
                  <w:szCs w:val="16"/>
                  <w:b w:val="1"/>
                  <w:bCs w:val="1"/>
                  <w:color w:val="0000FF"/>
                </w:rPr>
                <w:t>the Quarter ended September 30, 2025</w:t>
              </w:r>
              <w:r>
                <w:rPr>
                  <w:rFonts w:ascii="Times New Roman" w:cs="Times New Roman" w:eastAsia="Times New Roman" w:hAnsi="Times New Roman"/>
                  <w:sz w:val="16"/>
                  <w:szCs w:val="16"/>
                  <w:color w:val="000000"/>
                </w:rPr>
                <w:t>, and incorporated herein by reference.</w:t>
              </w:r>
            </w:hyperlink>
          </w:p>
        </w:tc>
        <w:tc>
          <w:tcPr>
            <w:tcW w:w="0" w:type="dxa"/>
            <w:vAlign w:val="bottom"/>
          </w:tcPr>
          <w:p>
            <w:pPr>
              <w:spacing w:after="0"/>
              <w:rPr>
                <w:sz w:val="1"/>
                <w:szCs w:val="1"/>
                <w:color w:val="auto"/>
              </w:rPr>
            </w:pPr>
          </w:p>
        </w:tc>
      </w:tr>
      <w:tr>
        <w:trPr>
          <w:trHeight w:val="183"/>
        </w:trPr>
        <w:tc>
          <w:tcPr>
            <w:tcW w:w="45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Amusement Holdings, LLC, and Bank of America, N.A.</w:t>
            </w:r>
          </w:p>
        </w:tc>
        <w:tc>
          <w:tcPr>
            <w:tcW w:w="120" w:type="dxa"/>
            <w:vAlign w:val="bottom"/>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Waiver and Eleventh Amendment to Second Amended and Restated</w:t>
            </w:r>
          </w:p>
        </w:tc>
        <w:tc>
          <w:tcPr>
            <w:tcW w:w="680" w:type="dxa"/>
            <w:vAlign w:val="bottom"/>
            <w:gridSpan w:val="2"/>
          </w:tcPr>
          <w:p>
            <w:pPr>
              <w:ind w:left="120"/>
              <w:spacing w:after="0" w:line="162" w:lineRule="exact"/>
              <w:rPr>
                <w:rFonts w:ascii="Times New Roman" w:cs="Times New Roman" w:eastAsia="Times New Roman" w:hAnsi="Times New Roman"/>
                <w:sz w:val="16"/>
                <w:szCs w:val="16"/>
                <w:color w:val="auto"/>
              </w:rPr>
            </w:pPr>
            <w:hyperlink r:id="rId91">
              <w:r>
                <w:rPr>
                  <w:rFonts w:ascii="Times New Roman" w:cs="Times New Roman" w:eastAsia="Times New Roman" w:hAnsi="Times New Roman"/>
                  <w:sz w:val="16"/>
                  <w:szCs w:val="16"/>
                  <w:color w:val="auto"/>
                </w:rPr>
                <w:t>Filed as</w:t>
              </w:r>
            </w:hyperlink>
          </w:p>
        </w:tc>
        <w:tc>
          <w:tcPr>
            <w:tcW w:w="20" w:type="dxa"/>
            <w:vAlign w:val="bottom"/>
            <w:tcBorders>
              <w:bottom w:val="single" w:sz="8" w:color="0000FF"/>
            </w:tcBorders>
          </w:tcPr>
          <w:p>
            <w:pPr>
              <w:spacing w:after="0"/>
              <w:rPr>
                <w:sz w:val="15"/>
                <w:szCs w:val="15"/>
                <w:color w:val="auto"/>
              </w:rPr>
            </w:pPr>
          </w:p>
        </w:tc>
        <w:tc>
          <w:tcPr>
            <w:tcW w:w="4560" w:type="dxa"/>
            <w:vAlign w:val="bottom"/>
            <w:tcBorders>
              <w:bottom w:val="single" w:sz="8" w:color="0000FF"/>
              <w:right w:val="single" w:sz="8" w:color="BCE7FC"/>
            </w:tcBorders>
            <w:gridSpan w:val="6"/>
            <w:shd w:val="clear" w:color="auto" w:fill="BCE7FC"/>
          </w:tcPr>
          <w:p>
            <w:pPr>
              <w:spacing w:after="0" w:line="162" w:lineRule="exact"/>
              <w:rPr>
                <w:rFonts w:ascii="Times New Roman" w:cs="Times New Roman" w:eastAsia="Times New Roman" w:hAnsi="Times New Roman"/>
                <w:sz w:val="16"/>
                <w:szCs w:val="16"/>
                <w:b w:val="1"/>
                <w:bCs w:val="1"/>
                <w:color w:val="0000FF"/>
                <w:shd w:val="clear" w:color="auto" w:fill="BCE7FC"/>
              </w:rPr>
            </w:pPr>
            <w:hyperlink r:id="rId91">
              <w:r>
                <w:rPr>
                  <w:rFonts w:ascii="Times New Roman" w:cs="Times New Roman" w:eastAsia="Times New Roman" w:hAnsi="Times New Roman"/>
                  <w:sz w:val="16"/>
                  <w:szCs w:val="16"/>
                  <w:b w:val="1"/>
                  <w:bCs w:val="1"/>
                  <w:color w:val="0000FF"/>
                  <w:shd w:val="clear" w:color="auto" w:fill="BCE7FC"/>
                </w:rPr>
                <w:t>Exhibit 10.45 to the Company’s Annual Report on Form 10-K for</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line="149" w:lineRule="exact"/>
              <w:rPr>
                <w:sz w:val="20"/>
                <w:szCs w:val="20"/>
                <w:color w:val="auto"/>
              </w:rPr>
            </w:pPr>
            <w:r>
              <w:rPr>
                <w:rFonts w:ascii="Times New Roman" w:cs="Times New Roman" w:eastAsia="Times New Roman" w:hAnsi="Times New Roman"/>
                <w:sz w:val="16"/>
                <w:szCs w:val="16"/>
                <w:color w:val="auto"/>
              </w:rPr>
              <w:t>Credit Agreement, dated December 29, 2025, between Consolidated</w:t>
            </w:r>
          </w:p>
        </w:tc>
        <w:tc>
          <w:tcPr>
            <w:tcW w:w="120" w:type="dxa"/>
            <w:vAlign w:val="bottom"/>
          </w:tcPr>
          <w:p>
            <w:pPr>
              <w:spacing w:after="0"/>
              <w:rPr>
                <w:sz w:val="13"/>
                <w:szCs w:val="13"/>
                <w:color w:val="auto"/>
              </w:rPr>
            </w:pPr>
          </w:p>
        </w:tc>
        <w:tc>
          <w:tcPr>
            <w:tcW w:w="560" w:type="dxa"/>
            <w:vAlign w:val="bottom"/>
            <w:tcBorders>
              <w:bottom w:val="single" w:sz="8" w:color="0000FF"/>
            </w:tcBorders>
            <w:shd w:val="clear" w:color="auto" w:fill="BCE7FC"/>
          </w:tcPr>
          <w:p>
            <w:pPr>
              <w:spacing w:after="0" w:line="149" w:lineRule="exact"/>
              <w:rPr>
                <w:rFonts w:ascii="Times New Roman" w:cs="Times New Roman" w:eastAsia="Times New Roman" w:hAnsi="Times New Roman"/>
                <w:sz w:val="16"/>
                <w:szCs w:val="16"/>
                <w:b w:val="1"/>
                <w:bCs w:val="1"/>
                <w:color w:val="0000FF"/>
                <w:w w:val="97"/>
                <w:shd w:val="clear" w:color="auto" w:fill="BCE7FC"/>
              </w:rPr>
            </w:pPr>
            <w:hyperlink r:id="rId91">
              <w:r>
                <w:rPr>
                  <w:rFonts w:ascii="Times New Roman" w:cs="Times New Roman" w:eastAsia="Times New Roman" w:hAnsi="Times New Roman"/>
                  <w:sz w:val="16"/>
                  <w:szCs w:val="16"/>
                  <w:b w:val="1"/>
                  <w:bCs w:val="1"/>
                  <w:color w:val="0000FF"/>
                  <w:w w:val="97"/>
                  <w:shd w:val="clear" w:color="auto" w:fill="BCE7FC"/>
                </w:rPr>
                <w:t>the year</w:t>
              </w:r>
            </w:hyperlink>
          </w:p>
        </w:tc>
        <w:tc>
          <w:tcPr>
            <w:tcW w:w="20" w:type="dxa"/>
            <w:vAlign w:val="bottom"/>
            <w:tcBorders>
              <w:bottom w:val="single" w:sz="8" w:color="0000FF"/>
            </w:tcBorders>
            <w:shd w:val="clear" w:color="auto" w:fill="BCE7FC"/>
          </w:tcPr>
          <w:p>
            <w:pPr>
              <w:spacing w:after="0"/>
              <w:rPr>
                <w:sz w:val="13"/>
                <w:szCs w:val="13"/>
                <w:color w:val="auto"/>
              </w:rPr>
            </w:pPr>
          </w:p>
        </w:tc>
        <w:tc>
          <w:tcPr>
            <w:tcW w:w="1800" w:type="dxa"/>
            <w:vAlign w:val="bottom"/>
            <w:tcBorders>
              <w:bottom w:val="single" w:sz="8" w:color="0000FF"/>
            </w:tcBorders>
            <w:gridSpan w:val="2"/>
            <w:shd w:val="clear" w:color="auto" w:fill="BCE7FC"/>
          </w:tcPr>
          <w:p>
            <w:pPr>
              <w:ind w:left="40"/>
              <w:spacing w:after="0" w:line="149" w:lineRule="exact"/>
              <w:rPr>
                <w:rFonts w:ascii="Times New Roman" w:cs="Times New Roman" w:eastAsia="Times New Roman" w:hAnsi="Times New Roman"/>
                <w:sz w:val="16"/>
                <w:szCs w:val="16"/>
                <w:b w:val="1"/>
                <w:bCs w:val="1"/>
                <w:color w:val="0000FF"/>
                <w:w w:val="99"/>
                <w:shd w:val="clear" w:color="auto" w:fill="BCE7FC"/>
              </w:rPr>
            </w:pPr>
            <w:hyperlink r:id="rId91">
              <w:r>
                <w:rPr>
                  <w:rFonts w:ascii="Times New Roman" w:cs="Times New Roman" w:eastAsia="Times New Roman" w:hAnsi="Times New Roman"/>
                  <w:sz w:val="16"/>
                  <w:szCs w:val="16"/>
                  <w:b w:val="1"/>
                  <w:bCs w:val="1"/>
                  <w:color w:val="0000FF"/>
                  <w:w w:val="99"/>
                  <w:shd w:val="clear" w:color="auto" w:fill="BCE7FC"/>
                </w:rPr>
                <w:t>ended December 31, 2025</w:t>
              </w:r>
            </w:hyperlink>
          </w:p>
        </w:tc>
        <w:tc>
          <w:tcPr>
            <w:tcW w:w="2580" w:type="dxa"/>
            <w:vAlign w:val="bottom"/>
            <w:tcBorders>
              <w:bottom w:val="single" w:sz="8" w:color="BCE7FC"/>
            </w:tcBorders>
            <w:gridSpan w:val="3"/>
            <w:shd w:val="clear" w:color="auto" w:fill="BCE7FC"/>
          </w:tcPr>
          <w:p>
            <w:pPr>
              <w:spacing w:after="0" w:line="149" w:lineRule="exact"/>
              <w:rPr>
                <w:rFonts w:ascii="Times New Roman" w:cs="Times New Roman" w:eastAsia="Times New Roman" w:hAnsi="Times New Roman"/>
                <w:sz w:val="16"/>
                <w:szCs w:val="16"/>
                <w:color w:val="auto"/>
                <w:shd w:val="clear" w:color="auto" w:fill="BCE7FC"/>
              </w:rPr>
            </w:pPr>
            <w:hyperlink r:id="rId91">
              <w:r>
                <w:rPr>
                  <w:rFonts w:ascii="Times New Roman" w:cs="Times New Roman" w:eastAsia="Times New Roman" w:hAnsi="Times New Roman"/>
                  <w:sz w:val="16"/>
                  <w:szCs w:val="16"/>
                  <w:color w:val="auto"/>
                  <w:shd w:val="clear" w:color="auto" w:fill="BCE7FC"/>
                </w:rPr>
                <w:t>, and incorporated herein by reference.</w:t>
              </w:r>
            </w:hyperlink>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-933450</wp:posOffset>
            </wp:positionV>
            <wp:extent cx="7132320" cy="351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-230505</wp:posOffset>
            </wp:positionV>
            <wp:extent cx="7132320" cy="351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16"/>
          <w:szCs w:val="16"/>
          <w:color w:val="auto"/>
        </w:rPr>
        <w:t>Amusement Holdings, LLC, and Bank of America, N.A.</w:t>
      </w:r>
    </w:p>
    <w:p>
      <w:pPr>
        <w:ind w:right="280"/>
        <w:spacing w:after="0" w:line="185" w:lineRule="auto"/>
        <w:rPr>
          <w:rFonts w:ascii="Times New Roman" w:cs="Times New Roman" w:eastAsia="Times New Roman" w:hAnsi="Times New Roman"/>
          <w:sz w:val="14"/>
          <w:szCs w:val="14"/>
          <w:b w:val="1"/>
          <w:bCs w:val="1"/>
          <w:color w:val="0000FF"/>
        </w:rPr>
      </w:pPr>
      <w:hyperlink r:id="rId53"/>
      <w:r>
        <w:rPr>
          <w:rFonts w:ascii="Times New Roman" w:cs="Times New Roman" w:eastAsia="Times New Roman" w:hAnsi="Times New Roman"/>
          <w:sz w:val="25"/>
          <w:szCs w:val="25"/>
          <w:color w:val="auto"/>
          <w:vertAlign w:val="subscript"/>
        </w:rPr>
        <w:t>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Amended and Restated Mortgage Promissory Note dated</w:t>
      </w:r>
      <w:r>
        <w:rPr>
          <w:rFonts w:ascii="Times New Roman" w:cs="Times New Roman" w:eastAsia="Times New Roman" w:hAnsi="Times New Roman"/>
          <w:sz w:val="14"/>
          <w:szCs w:val="14"/>
          <w:color w:val="auto"/>
        </w:rPr>
        <w:t xml:space="preserve"> </w:t>
      </w:r>
      <w:hyperlink r:id="rId53">
        <w:r>
          <w:rPr>
            <w:rFonts w:ascii="Times New Roman" w:cs="Times New Roman" w:eastAsia="Times New Roman" w:hAnsi="Times New Roman"/>
            <w:sz w:val="14"/>
            <w:szCs w:val="14"/>
            <w:color w:val="auto"/>
          </w:rPr>
          <w:t xml:space="preserve">Filed as </w:t>
        </w:r>
        <w:r>
          <w:rPr>
            <w:rFonts w:ascii="Times New Roman" w:cs="Times New Roman" w:eastAsia="Times New Roman" w:hAnsi="Times New Roman"/>
            <w:sz w:val="14"/>
            <w:szCs w:val="14"/>
            <w:b w:val="1"/>
            <w:bCs w:val="1"/>
            <w:u w:val="single" w:color="auto"/>
            <w:color w:val="0000FF"/>
          </w:rPr>
          <w:t>Exhibit 10.4.1 to the Company’s report on Form 8-K (file no. 1-</w:t>
        </w:r>
      </w:hyperlink>
      <w:hyperlink r:id="rId53"/>
      <w:r>
        <w:rPr>
          <w:rFonts w:ascii="Times New Roman" w:cs="Times New Roman" w:eastAsia="Times New Roman" w:hAnsi="Times New Roman"/>
          <w:sz w:val="25"/>
          <w:szCs w:val="25"/>
          <w:color w:val="000000"/>
          <w:vertAlign w:val="subscript"/>
        </w:rPr>
        <w:t>March</w:t>
      </w:r>
      <w:r>
        <w:rPr>
          <w:rFonts w:ascii="Times New Roman" w:cs="Times New Roman" w:eastAsia="Times New Roman" w:hAnsi="Times New Roman"/>
          <w:sz w:val="14"/>
          <w:szCs w:val="14"/>
          <w:b w:val="1"/>
          <w:bCs w:val="1"/>
          <w:color w:val="0000FF"/>
        </w:rPr>
        <w:t xml:space="preserve"> </w:t>
      </w:r>
      <w:r>
        <w:rPr>
          <w:rFonts w:ascii="Times New Roman" w:cs="Times New Roman" w:eastAsia="Times New Roman" w:hAnsi="Times New Roman"/>
          <w:sz w:val="25"/>
          <w:szCs w:val="25"/>
          <w:color w:val="000000"/>
          <w:vertAlign w:val="subscript"/>
        </w:rPr>
        <w:t>13, 2020, between Sutton Hill Properties, LLC and Valley</w:t>
      </w:r>
      <w:r>
        <w:rPr>
          <w:rFonts w:ascii="Times New Roman" w:cs="Times New Roman" w:eastAsia="Times New Roman" w:hAnsi="Times New Roman"/>
          <w:sz w:val="14"/>
          <w:szCs w:val="14"/>
          <w:b w:val="1"/>
          <w:bCs w:val="1"/>
          <w:color w:val="0000FF"/>
        </w:rPr>
        <w:t xml:space="preserve"> </w:t>
      </w:r>
      <w:hyperlink r:id="rId53">
        <w:r>
          <w:rPr>
            <w:rFonts w:ascii="Times New Roman" w:cs="Times New Roman" w:eastAsia="Times New Roman" w:hAnsi="Times New Roman"/>
            <w:sz w:val="14"/>
            <w:szCs w:val="14"/>
            <w:b w:val="1"/>
            <w:bCs w:val="1"/>
            <w:u w:val="single" w:color="auto"/>
            <w:color w:val="0000FF"/>
          </w:rPr>
          <w:t>8625), filed on June 2, 2020</w:t>
        </w:r>
        <w:r>
          <w:rPr>
            <w:rFonts w:ascii="Times New Roman" w:cs="Times New Roman" w:eastAsia="Times New Roman" w:hAnsi="Times New Roman"/>
            <w:sz w:val="14"/>
            <w:szCs w:val="14"/>
            <w:u w:val="single" w:color="auto"/>
            <w:color w:val="000000"/>
          </w:rPr>
          <w:t>, and incorporated herein by reference.</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3312795</wp:posOffset>
            </wp:positionH>
            <wp:positionV relativeFrom="paragraph">
              <wp:posOffset>-180340</wp:posOffset>
            </wp:positionV>
            <wp:extent cx="27774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2964180</wp:posOffset>
            </wp:positionH>
            <wp:positionV relativeFrom="paragraph">
              <wp:posOffset>-60325</wp:posOffset>
            </wp:positionV>
            <wp:extent cx="11918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11918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National Bank</w:t>
      </w:r>
    </w:p>
    <w:p>
      <w:pPr>
        <w:spacing w:after="0" w:line="8" w:lineRule="exact"/>
        <w:rPr>
          <w:rFonts w:ascii="Times New Roman" w:cs="Times New Roman" w:eastAsia="Times New Roman" w:hAnsi="Times New Roman"/>
          <w:sz w:val="14"/>
          <w:szCs w:val="14"/>
          <w:color w:val="auto"/>
        </w:rPr>
      </w:pPr>
    </w:p>
    <w:p>
      <w:pPr>
        <w:ind w:right="40"/>
        <w:spacing w:after="0" w:line="196" w:lineRule="auto"/>
        <w:rPr>
          <w:rFonts w:ascii="Times New Roman" w:cs="Times New Roman" w:eastAsia="Times New Roman" w:hAnsi="Times New Roman"/>
          <w:sz w:val="14"/>
          <w:szCs w:val="14"/>
          <w:b w:val="1"/>
          <w:bCs w:val="1"/>
          <w:color w:val="0000FF"/>
        </w:rPr>
      </w:pPr>
      <w:hyperlink r:id="rId96"/>
      <w:r>
        <w:rPr>
          <w:rFonts w:ascii="Times New Roman" w:cs="Times New Roman" w:eastAsia="Times New Roman" w:hAnsi="Times New Roman"/>
          <w:sz w:val="27"/>
          <w:szCs w:val="27"/>
          <w:color w:val="auto"/>
          <w:vertAlign w:val="subscript"/>
        </w:rPr>
        <w:t>Amended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7"/>
          <w:szCs w:val="27"/>
          <w:color w:val="auto"/>
          <w:vertAlign w:val="subscript"/>
        </w:rPr>
        <w:t>and Restated Mortgage Promissory Note dated September</w:t>
      </w:r>
      <w:r>
        <w:rPr>
          <w:rFonts w:ascii="Times New Roman" w:cs="Times New Roman" w:eastAsia="Times New Roman" w:hAnsi="Times New Roman"/>
          <w:sz w:val="14"/>
          <w:szCs w:val="14"/>
          <w:color w:val="auto"/>
        </w:rPr>
        <w:t xml:space="preserve"> </w:t>
      </w:r>
      <w:hyperlink r:id="rId96">
        <w:r>
          <w:rPr>
            <w:rFonts w:ascii="Times New Roman" w:cs="Times New Roman" w:eastAsia="Times New Roman" w:hAnsi="Times New Roman"/>
            <w:sz w:val="14"/>
            <w:szCs w:val="14"/>
            <w:color w:val="auto"/>
          </w:rPr>
          <w:t xml:space="preserve">Filed as </w:t>
        </w:r>
        <w:r>
          <w:rPr>
            <w:rFonts w:ascii="Times New Roman" w:cs="Times New Roman" w:eastAsia="Times New Roman" w:hAnsi="Times New Roman"/>
            <w:sz w:val="14"/>
            <w:szCs w:val="14"/>
            <w:b w:val="1"/>
            <w:bCs w:val="1"/>
            <w:u w:val="single" w:color="auto"/>
            <w:color w:val="0000FF"/>
          </w:rPr>
          <w:t>Exhibit 10.1 to the Company’s Quarterly Report on Form 10-Q for</w:t>
        </w:r>
      </w:hyperlink>
      <w:r>
        <w:rPr>
          <w:rFonts w:ascii="Times New Roman" w:cs="Times New Roman" w:eastAsia="Times New Roman" w:hAnsi="Times New Roman"/>
          <w:sz w:val="14"/>
          <w:szCs w:val="14"/>
          <w:color w:val="auto"/>
        </w:rPr>
        <w:t xml:space="preserve"> </w:t>
      </w:r>
      <w:hyperlink r:id="rId96"/>
      <w:r>
        <w:rPr>
          <w:rFonts w:ascii="Times New Roman" w:cs="Times New Roman" w:eastAsia="Times New Roman" w:hAnsi="Times New Roman"/>
          <w:sz w:val="27"/>
          <w:szCs w:val="27"/>
          <w:color w:val="000000"/>
          <w:vertAlign w:val="subscript"/>
        </w:rPr>
        <w:t>29,</w:t>
      </w:r>
      <w:r>
        <w:rPr>
          <w:rFonts w:ascii="Times New Roman" w:cs="Times New Roman" w:eastAsia="Times New Roman" w:hAnsi="Times New Roman"/>
          <w:sz w:val="14"/>
          <w:szCs w:val="14"/>
          <w:b w:val="1"/>
          <w:bCs w:val="1"/>
          <w:color w:val="0000FF"/>
        </w:rPr>
        <w:t xml:space="preserve"> </w:t>
      </w:r>
      <w:r>
        <w:rPr>
          <w:rFonts w:ascii="Times New Roman" w:cs="Times New Roman" w:eastAsia="Times New Roman" w:hAnsi="Times New Roman"/>
          <w:sz w:val="27"/>
          <w:szCs w:val="27"/>
          <w:color w:val="000000"/>
          <w:vertAlign w:val="subscript"/>
        </w:rPr>
        <w:t>2023, executed by Sutton Hill Properties, LLC in favor of Valley</w:t>
      </w:r>
      <w:r>
        <w:rPr>
          <w:rFonts w:ascii="Times New Roman" w:cs="Times New Roman" w:eastAsia="Times New Roman" w:hAnsi="Times New Roman"/>
          <w:sz w:val="14"/>
          <w:szCs w:val="14"/>
          <w:b w:val="1"/>
          <w:bCs w:val="1"/>
          <w:color w:val="0000FF"/>
        </w:rPr>
        <w:t xml:space="preserve"> </w:t>
      </w:r>
      <w:hyperlink r:id="rId96">
        <w:r>
          <w:rPr>
            <w:rFonts w:ascii="Times New Roman" w:cs="Times New Roman" w:eastAsia="Times New Roman" w:hAnsi="Times New Roman"/>
            <w:sz w:val="14"/>
            <w:szCs w:val="14"/>
            <w:b w:val="1"/>
            <w:bCs w:val="1"/>
            <w:u w:val="single" w:color="auto"/>
            <w:color w:val="0000FF"/>
          </w:rPr>
          <w:t>the Quarter ended March 31, 2025</w:t>
        </w:r>
        <w:r>
          <w:rPr>
            <w:rFonts w:ascii="Times New Roman" w:cs="Times New Roman" w:eastAsia="Times New Roman" w:hAnsi="Times New Roman"/>
            <w:sz w:val="14"/>
            <w:szCs w:val="14"/>
            <w:u w:val="single" w:color="auto"/>
            <w:color w:val="000000"/>
          </w:rPr>
          <w:t>, and incorporated herein by reference.</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-832485</wp:posOffset>
            </wp:positionH>
            <wp:positionV relativeFrom="paragraph">
              <wp:posOffset>-274955</wp:posOffset>
            </wp:positionV>
            <wp:extent cx="7132320"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National Bank</w:t>
      </w:r>
    </w:p>
    <w:p>
      <w:pPr>
        <w:spacing w:after="0" w:line="46" w:lineRule="exact"/>
        <w:rPr>
          <w:rFonts w:ascii="Times New Roman" w:cs="Times New Roman" w:eastAsia="Times New Roman" w:hAnsi="Times New Roman"/>
          <w:sz w:val="14"/>
          <w:szCs w:val="14"/>
          <w:color w:val="auto"/>
        </w:rPr>
      </w:pPr>
    </w:p>
    <w:p>
      <w:pPr>
        <w:sectPr>
          <w:pgSz w:w="11900" w:h="16838" w:orient="portrait"/>
          <w:cols w:equalWidth="0" w:num="2">
            <w:col w:w="440" w:space="440"/>
            <w:col w:w="9880"/>
          </w:cols>
          <w:pgMar w:left="760" w:top="104" w:right="379" w:bottom="1440" w:gutter="0" w:footer="0" w:header="0"/>
        </w:sectPr>
      </w:pPr>
    </w:p>
    <w:p>
      <w:pPr>
        <w:spacing w:after="0" w:line="9" w:lineRule="exact"/>
        <w:rPr>
          <w:rFonts w:ascii="Times New Roman" w:cs="Times New Roman" w:eastAsia="Times New Roman" w:hAnsi="Times New Roman"/>
          <w:sz w:val="14"/>
          <w:szCs w:val="14"/>
          <w:color w:val="auto"/>
        </w:rPr>
      </w:pPr>
    </w:p>
    <w:p>
      <w:pPr>
        <w:ind w:left="40"/>
        <w:spacing w:after="0"/>
        <w:rPr>
          <w:sz w:val="20"/>
          <w:szCs w:val="20"/>
          <w:color w:val="auto"/>
        </w:rPr>
      </w:pPr>
      <w:r>
        <w:rPr>
          <w:rFonts w:ascii="Times New Roman" w:cs="Times New Roman" w:eastAsia="Times New Roman" w:hAnsi="Times New Roman"/>
          <w:sz w:val="16"/>
          <w:szCs w:val="16"/>
          <w:color w:val="auto"/>
        </w:rPr>
        <w:t>10.48</w:t>
      </w:r>
    </w:p>
    <w:p>
      <w:pPr>
        <w:spacing w:after="0" w:line="370"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6"/>
          <w:szCs w:val="16"/>
          <w:color w:val="auto"/>
        </w:rPr>
        <w:t>10.49†</w:t>
      </w:r>
    </w:p>
    <w:p>
      <w:pPr>
        <w:spacing w:after="0" w:line="200" w:lineRule="exact"/>
        <w:rPr>
          <w:rFonts w:ascii="Times New Roman" w:cs="Times New Roman" w:eastAsia="Times New Roman" w:hAnsi="Times New Roman"/>
          <w:sz w:val="14"/>
          <w:szCs w:val="14"/>
          <w:color w:val="auto"/>
        </w:rPr>
      </w:pPr>
    </w:p>
    <w:p>
      <w:pPr>
        <w:spacing w:after="0" w:line="31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6"/>
          <w:szCs w:val="16"/>
          <w:color w:val="auto"/>
        </w:rPr>
        <w:t>10.50†</w:t>
      </w:r>
    </w:p>
    <w:p>
      <w:pPr>
        <w:spacing w:after="0" w:line="34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6"/>
          <w:szCs w:val="16"/>
          <w:color w:val="auto"/>
        </w:rPr>
        <w:t>10.51†</w:t>
      </w:r>
    </w:p>
    <w:p>
      <w:pPr>
        <w:spacing w:after="0" w:line="34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6"/>
          <w:szCs w:val="16"/>
          <w:color w:val="auto"/>
        </w:rPr>
        <w:t>10.52†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Amended and Restated Mortgage and Security Agreement dated</w:t>
            </w:r>
          </w:p>
        </w:tc>
        <w:tc>
          <w:tcPr>
            <w:tcW w:w="5060" w:type="dxa"/>
            <w:vAlign w:val="bottom"/>
            <w:gridSpan w:val="3"/>
          </w:tcPr>
          <w:p>
            <w:pPr>
              <w:spacing w:after="0"/>
              <w:rPr>
                <w:rFonts w:ascii="Times New Roman" w:cs="Times New Roman" w:eastAsia="Times New Roman" w:hAnsi="Times New Roman"/>
                <w:sz w:val="16"/>
                <w:szCs w:val="16"/>
                <w:color w:val="auto"/>
              </w:rPr>
            </w:pPr>
            <w:hyperlink r:id="rId9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10.44 to the Company’s Annual Report on Form 10-K/A</w:t>
              </w:r>
            </w:hyperlink>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September 29, 2023, executed by Sutton Hill Properties, LLC in favor</w:t>
            </w: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80" w:type="dxa"/>
            <w:vAlign w:val="bottom"/>
            <w:vMerge w:val="continue"/>
          </w:tcPr>
          <w:p>
            <w:pPr>
              <w:spacing w:after="0"/>
              <w:rPr>
                <w:sz w:val="14"/>
                <w:szCs w:val="14"/>
                <w:color w:val="auto"/>
              </w:rPr>
            </w:pPr>
          </w:p>
        </w:tc>
        <w:tc>
          <w:tcPr>
            <w:tcW w:w="5060" w:type="dxa"/>
            <w:vAlign w:val="bottom"/>
            <w:gridSpan w:val="3"/>
          </w:tcPr>
          <w:p>
            <w:pPr>
              <w:spacing w:after="0" w:line="169" w:lineRule="exact"/>
              <w:rPr>
                <w:rFonts w:ascii="Times New Roman" w:cs="Times New Roman" w:eastAsia="Times New Roman" w:hAnsi="Times New Roman"/>
                <w:sz w:val="16"/>
                <w:szCs w:val="16"/>
                <w:b w:val="1"/>
                <w:bCs w:val="1"/>
                <w:color w:val="0000FF"/>
              </w:rPr>
            </w:pPr>
            <w:hyperlink r:id="rId98">
              <w:r>
                <w:rPr>
                  <w:rFonts w:ascii="Times New Roman" w:cs="Times New Roman" w:eastAsia="Times New Roman" w:hAnsi="Times New Roman"/>
                  <w:sz w:val="16"/>
                  <w:szCs w:val="16"/>
                  <w:b w:val="1"/>
                  <w:bCs w:val="1"/>
                  <w:color w:val="0000FF"/>
                </w:rPr>
                <w:t>No. 2</w:t>
              </w:r>
              <w:r>
                <w:rPr>
                  <w:rFonts w:ascii="Times New Roman" w:cs="Times New Roman" w:eastAsia="Times New Roman" w:hAnsi="Times New Roman"/>
                  <w:sz w:val="16"/>
                  <w:szCs w:val="16"/>
                  <w:color w:val="000000"/>
                </w:rPr>
                <w:t>, and incorporated herein by reference.</w:t>
              </w:r>
            </w:hyperlink>
          </w:p>
        </w:tc>
        <w:tc>
          <w:tcPr>
            <w:tcW w:w="0" w:type="dxa"/>
            <w:vAlign w:val="bottom"/>
          </w:tcPr>
          <w:p>
            <w:pPr>
              <w:spacing w:after="0"/>
              <w:rPr>
                <w:sz w:val="1"/>
                <w:szCs w:val="1"/>
                <w:color w:val="auto"/>
              </w:rPr>
            </w:pPr>
          </w:p>
        </w:tc>
      </w:tr>
      <w:tr>
        <w:trPr>
          <w:trHeight w:val="20"/>
        </w:trPr>
        <w:tc>
          <w:tcPr>
            <w:tcW w:w="46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of Valley National Bank</w:t>
      </w:r>
    </w:p>
    <w:p>
      <w:pPr>
        <w:spacing w:after="0" w:line="9" w:lineRule="exact"/>
        <w:rPr>
          <w:sz w:val="20"/>
          <w:szCs w:val="20"/>
          <w:color w:val="auto"/>
        </w:rPr>
      </w:pPr>
    </w:p>
    <w:p>
      <w:pPr>
        <w:ind w:right="40"/>
        <w:spacing w:after="0" w:line="185" w:lineRule="auto"/>
        <w:rPr>
          <w:rFonts w:ascii="Times New Roman" w:cs="Times New Roman" w:eastAsia="Times New Roman" w:hAnsi="Times New Roman"/>
          <w:sz w:val="14"/>
          <w:szCs w:val="14"/>
          <w:b w:val="1"/>
          <w:bCs w:val="1"/>
          <w:color w:val="0000FF"/>
        </w:rPr>
      </w:pPr>
      <w:hyperlink r:id="rId99"/>
      <w:r>
        <w:rPr>
          <w:rFonts w:ascii="Times New Roman" w:cs="Times New Roman" w:eastAsia="Times New Roman" w:hAnsi="Times New Roman"/>
          <w:sz w:val="25"/>
          <w:szCs w:val="25"/>
          <w:color w:val="auto"/>
          <w:vertAlign w:val="subscript"/>
        </w:rPr>
        <w:t>Mortgage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Modification and Extension Agreement dated September 29,</w:t>
      </w:r>
      <w:r>
        <w:rPr>
          <w:rFonts w:ascii="Times New Roman" w:cs="Times New Roman" w:eastAsia="Times New Roman" w:hAnsi="Times New Roman"/>
          <w:sz w:val="14"/>
          <w:szCs w:val="14"/>
          <w:color w:val="auto"/>
        </w:rPr>
        <w:t xml:space="preserve"> </w:t>
      </w:r>
      <w:hyperlink r:id="rId99">
        <w:r>
          <w:rPr>
            <w:rFonts w:ascii="Times New Roman" w:cs="Times New Roman" w:eastAsia="Times New Roman" w:hAnsi="Times New Roman"/>
            <w:sz w:val="14"/>
            <w:szCs w:val="14"/>
            <w:color w:val="auto"/>
          </w:rPr>
          <w:t xml:space="preserve">Filed as </w:t>
        </w:r>
        <w:r>
          <w:rPr>
            <w:rFonts w:ascii="Times New Roman" w:cs="Times New Roman" w:eastAsia="Times New Roman" w:hAnsi="Times New Roman"/>
            <w:sz w:val="14"/>
            <w:szCs w:val="14"/>
            <w:b w:val="1"/>
            <w:bCs w:val="1"/>
            <w:u w:val="single" w:color="auto"/>
            <w:color w:val="0000FF"/>
          </w:rPr>
          <w:t>Exhibit 10.2 to the Company’s Quarterly Report on Form 10-Q for</w:t>
        </w:r>
      </w:hyperlink>
      <w:r>
        <w:rPr>
          <w:rFonts w:ascii="Times New Roman" w:cs="Times New Roman" w:eastAsia="Times New Roman" w:hAnsi="Times New Roman"/>
          <w:sz w:val="14"/>
          <w:szCs w:val="14"/>
          <w:color w:val="auto"/>
        </w:rPr>
        <w:t xml:space="preserve"> </w:t>
      </w:r>
      <w:hyperlink r:id="rId99"/>
      <w:r>
        <w:rPr>
          <w:rFonts w:ascii="Times New Roman" w:cs="Times New Roman" w:eastAsia="Times New Roman" w:hAnsi="Times New Roman"/>
          <w:sz w:val="25"/>
          <w:szCs w:val="25"/>
          <w:color w:val="000000"/>
          <w:vertAlign w:val="subscript"/>
        </w:rPr>
        <w:t>2023,</w:t>
      </w:r>
      <w:r>
        <w:rPr>
          <w:rFonts w:ascii="Times New Roman" w:cs="Times New Roman" w:eastAsia="Times New Roman" w:hAnsi="Times New Roman"/>
          <w:sz w:val="14"/>
          <w:szCs w:val="14"/>
          <w:b w:val="1"/>
          <w:bCs w:val="1"/>
          <w:color w:val="0000FF"/>
        </w:rPr>
        <w:t xml:space="preserve"> </w:t>
      </w:r>
      <w:r>
        <w:rPr>
          <w:rFonts w:ascii="Times New Roman" w:cs="Times New Roman" w:eastAsia="Times New Roman" w:hAnsi="Times New Roman"/>
          <w:sz w:val="25"/>
          <w:szCs w:val="25"/>
          <w:color w:val="000000"/>
          <w:vertAlign w:val="subscript"/>
        </w:rPr>
        <w:t>executed by Sutton Hill Properties, LLC and Valley National</w:t>
      </w:r>
      <w:r>
        <w:rPr>
          <w:rFonts w:ascii="Times New Roman" w:cs="Times New Roman" w:eastAsia="Times New Roman" w:hAnsi="Times New Roman"/>
          <w:sz w:val="14"/>
          <w:szCs w:val="14"/>
          <w:b w:val="1"/>
          <w:bCs w:val="1"/>
          <w:color w:val="0000FF"/>
        </w:rPr>
        <w:t xml:space="preserve"> </w:t>
      </w:r>
      <w:hyperlink r:id="rId99">
        <w:r>
          <w:rPr>
            <w:rFonts w:ascii="Times New Roman" w:cs="Times New Roman" w:eastAsia="Times New Roman" w:hAnsi="Times New Roman"/>
            <w:sz w:val="14"/>
            <w:szCs w:val="14"/>
            <w:b w:val="1"/>
            <w:bCs w:val="1"/>
            <w:u w:val="single" w:color="auto"/>
            <w:color w:val="0000FF"/>
          </w:rPr>
          <w:t>the Quarter ended March 31, 2025</w:t>
        </w:r>
        <w:r>
          <w:rPr>
            <w:rFonts w:ascii="Times New Roman" w:cs="Times New Roman" w:eastAsia="Times New Roman" w:hAnsi="Times New Roman"/>
            <w:sz w:val="14"/>
            <w:szCs w:val="14"/>
            <w:u w:val="single" w:color="auto"/>
            <w:color w:val="000000"/>
          </w:rPr>
          <w:t>, and incorporated herein by reference.</w:t>
        </w:r>
      </w:hyperlink>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-832485</wp:posOffset>
            </wp:positionH>
            <wp:positionV relativeFrom="paragraph">
              <wp:posOffset>-274955</wp:posOffset>
            </wp:positionV>
            <wp:extent cx="7132320"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Bank</w:t>
      </w:r>
    </w:p>
    <w:p>
      <w:pPr>
        <w:spacing w:after="0" w:line="33"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0" w:type="dxa"/>
            <w:vAlign w:val="bottom"/>
            <w:gridSpan w:val="5"/>
          </w:tcPr>
          <w:p>
            <w:pPr>
              <w:spacing w:after="0"/>
              <w:rPr>
                <w:rFonts w:ascii="Times New Roman" w:cs="Times New Roman" w:eastAsia="Times New Roman" w:hAnsi="Times New Roman"/>
                <w:sz w:val="16"/>
                <w:szCs w:val="16"/>
                <w:color w:val="auto"/>
              </w:rPr>
            </w:pPr>
            <w:hyperlink r:id="rId10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10.3 to the Company’s Quarterly Report on Form 10-Q for</w:t>
              </w:r>
            </w:hyperlink>
          </w:p>
        </w:tc>
        <w:tc>
          <w:tcPr>
            <w:tcW w:w="0" w:type="dxa"/>
            <w:vAlign w:val="bottom"/>
          </w:tcPr>
          <w:p>
            <w:pPr>
              <w:spacing w:after="0"/>
              <w:rPr>
                <w:sz w:val="1"/>
                <w:szCs w:val="1"/>
                <w:color w:val="auto"/>
              </w:rPr>
            </w:pPr>
          </w:p>
        </w:tc>
      </w:tr>
      <w:tr>
        <w:trPr>
          <w:trHeight w:val="189"/>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Note Modification Agreement dated October 1, 2024, executed</w:t>
            </w:r>
          </w:p>
        </w:tc>
        <w:tc>
          <w:tcPr>
            <w:tcW w:w="5440" w:type="dxa"/>
            <w:vAlign w:val="bottom"/>
            <w:gridSpan w:val="6"/>
          </w:tcPr>
          <w:p>
            <w:pPr>
              <w:ind w:left="40"/>
              <w:spacing w:after="0" w:line="189" w:lineRule="exact"/>
              <w:rPr>
                <w:rFonts w:ascii="Times New Roman" w:cs="Times New Roman" w:eastAsia="Times New Roman" w:hAnsi="Times New Roman"/>
                <w:sz w:val="12"/>
                <w:szCs w:val="12"/>
                <w:b w:val="1"/>
                <w:bCs w:val="1"/>
                <w:color w:val="0000FF"/>
              </w:rPr>
            </w:pPr>
            <w:hyperlink r:id="rId101"/>
            <w:r>
              <w:rPr>
                <w:rFonts w:ascii="Times New Roman" w:cs="Times New Roman" w:eastAsia="Times New Roman" w:hAnsi="Times New Roman"/>
                <w:sz w:val="21"/>
                <w:szCs w:val="21"/>
                <w:color w:val="000000"/>
                <w:vertAlign w:val="superscript"/>
              </w:rPr>
              <w:t>by</w:t>
            </w:r>
            <w:r>
              <w:rPr>
                <w:rFonts w:ascii="Times New Roman" w:cs="Times New Roman" w:eastAsia="Times New Roman" w:hAnsi="Times New Roman"/>
                <w:sz w:val="12"/>
                <w:szCs w:val="12"/>
                <w:b w:val="1"/>
                <w:bCs w:val="1"/>
                <w:color w:val="0000FF"/>
              </w:rPr>
              <w:t xml:space="preserve"> </w:t>
            </w:r>
            <w:hyperlink r:id="rId101">
              <w:r>
                <w:rPr>
                  <w:rFonts w:ascii="Times New Roman" w:cs="Times New Roman" w:eastAsia="Times New Roman" w:hAnsi="Times New Roman"/>
                  <w:sz w:val="12"/>
                  <w:szCs w:val="12"/>
                  <w:b w:val="1"/>
                  <w:bCs w:val="1"/>
                  <w:color w:val="0000FF"/>
                </w:rPr>
                <w:t>the Quarter ended March 31, 2025</w:t>
              </w:r>
              <w:r>
                <w:rPr>
                  <w:rFonts w:ascii="Times New Roman" w:cs="Times New Roman" w:eastAsia="Times New Roman" w:hAnsi="Times New Roman"/>
                  <w:sz w:val="12"/>
                  <w:szCs w:val="12"/>
                  <w:color w:val="000000"/>
                </w:rPr>
                <w:t>, and incorporated herein by reference.</w:t>
              </w:r>
            </w:hyperlink>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Sutton Hill Properties, LLC and Valley National Bank</w:t>
            </w:r>
          </w:p>
        </w:tc>
        <w:tc>
          <w:tcPr>
            <w:tcW w:w="24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7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74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200" w:type="dxa"/>
            <w:vAlign w:val="bottom"/>
            <w:gridSpan w:val="5"/>
            <w:vMerge w:val="restart"/>
          </w:tcPr>
          <w:p>
            <w:pPr>
              <w:spacing w:after="0"/>
              <w:rPr>
                <w:rFonts w:ascii="Times New Roman" w:cs="Times New Roman" w:eastAsia="Times New Roman" w:hAnsi="Times New Roman"/>
                <w:sz w:val="16"/>
                <w:szCs w:val="16"/>
                <w:color w:val="auto"/>
              </w:rPr>
            </w:pPr>
            <w:hyperlink r:id="rId10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10.51 to the Company’s Annual Report on Form 10-K for</w:t>
              </w:r>
            </w:hyperlink>
          </w:p>
        </w:tc>
        <w:tc>
          <w:tcPr>
            <w:tcW w:w="0" w:type="dxa"/>
            <w:vAlign w:val="bottom"/>
          </w:tcPr>
          <w:p>
            <w:pPr>
              <w:spacing w:after="0"/>
              <w:rPr>
                <w:sz w:val="1"/>
                <w:szCs w:val="1"/>
                <w:color w:val="auto"/>
              </w:rPr>
            </w:pPr>
          </w:p>
        </w:tc>
      </w:tr>
      <w:tr>
        <w:trPr>
          <w:trHeight w:val="134"/>
        </w:trPr>
        <w:tc>
          <w:tcPr>
            <w:tcW w:w="4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Note Modification Agreement dated October 1, 2025, executed</w:t>
            </w:r>
          </w:p>
        </w:tc>
        <w:tc>
          <w:tcPr>
            <w:tcW w:w="780" w:type="dxa"/>
            <w:vAlign w:val="bottom"/>
            <w:gridSpan w:val="2"/>
          </w:tcPr>
          <w:p>
            <w:pPr>
              <w:ind w:left="40"/>
              <w:spacing w:after="0" w:line="162" w:lineRule="exact"/>
              <w:rPr>
                <w:rFonts w:ascii="Times New Roman" w:cs="Times New Roman" w:eastAsia="Times New Roman" w:hAnsi="Times New Roman"/>
                <w:sz w:val="11"/>
                <w:szCs w:val="11"/>
                <w:b w:val="1"/>
                <w:bCs w:val="1"/>
                <w:color w:val="0000FF"/>
              </w:rPr>
            </w:pPr>
            <w:hyperlink r:id="rId102"/>
            <w:r>
              <w:rPr>
                <w:rFonts w:ascii="Times New Roman" w:cs="Times New Roman" w:eastAsia="Times New Roman" w:hAnsi="Times New Roman"/>
                <w:sz w:val="18"/>
                <w:szCs w:val="18"/>
                <w:color w:val="000000"/>
                <w:vertAlign w:val="superscript"/>
              </w:rPr>
              <w:t>by</w:t>
            </w:r>
            <w:r>
              <w:rPr>
                <w:rFonts w:ascii="Times New Roman" w:cs="Times New Roman" w:eastAsia="Times New Roman" w:hAnsi="Times New Roman"/>
                <w:sz w:val="11"/>
                <w:szCs w:val="11"/>
                <w:b w:val="1"/>
                <w:bCs w:val="1"/>
                <w:color w:val="0000FF"/>
              </w:rPr>
              <w:t xml:space="preserve"> </w:t>
            </w:r>
            <w:hyperlink r:id="rId102">
              <w:r>
                <w:rPr>
                  <w:rFonts w:ascii="Times New Roman" w:cs="Times New Roman" w:eastAsia="Times New Roman" w:hAnsi="Times New Roman"/>
                  <w:sz w:val="11"/>
                  <w:szCs w:val="11"/>
                  <w:b w:val="1"/>
                  <w:bCs w:val="1"/>
                  <w:color w:val="0000FF"/>
                </w:rPr>
                <w:t>the year</w:t>
              </w:r>
            </w:hyperlink>
          </w:p>
        </w:tc>
        <w:tc>
          <w:tcPr>
            <w:tcW w:w="4560" w:type="dxa"/>
            <w:vAlign w:val="bottom"/>
            <w:tcBorders>
              <w:top w:val="single" w:sz="8" w:color="0000FF"/>
            </w:tcBorders>
            <w:gridSpan w:val="3"/>
          </w:tcPr>
          <w:p>
            <w:pPr>
              <w:ind w:left="60"/>
              <w:spacing w:after="0" w:line="162" w:lineRule="exact"/>
              <w:rPr>
                <w:rFonts w:ascii="Times New Roman" w:cs="Times New Roman" w:eastAsia="Times New Roman" w:hAnsi="Times New Roman"/>
                <w:sz w:val="16"/>
                <w:szCs w:val="16"/>
                <w:b w:val="1"/>
                <w:bCs w:val="1"/>
                <w:color w:val="0000FF"/>
              </w:rPr>
            </w:pPr>
            <w:hyperlink r:id="rId102">
              <w:r>
                <w:rPr>
                  <w:rFonts w:ascii="Times New Roman" w:cs="Times New Roman" w:eastAsia="Times New Roman" w:hAnsi="Times New Roman"/>
                  <w:sz w:val="16"/>
                  <w:szCs w:val="16"/>
                  <w:b w:val="1"/>
                  <w:bCs w:val="1"/>
                  <w:color w:val="0000FF"/>
                </w:rPr>
                <w:t>ended December 31, 2025</w:t>
              </w:r>
              <w:r>
                <w:rPr>
                  <w:rFonts w:ascii="Times New Roman" w:cs="Times New Roman" w:eastAsia="Times New Roman" w:hAnsi="Times New Roman"/>
                  <w:sz w:val="16"/>
                  <w:szCs w:val="16"/>
                  <w:color w:val="000000"/>
                </w:rPr>
                <w:t>, and incorporated herein by reference.</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Sutton Hill Properties, LLC and Valley National Bank</w:t>
            </w:r>
          </w:p>
        </w:tc>
        <w:tc>
          <w:tcPr>
            <w:tcW w:w="24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7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5"/>
            <w:vMerge w:val="restart"/>
          </w:tcPr>
          <w:p>
            <w:pPr>
              <w:spacing w:after="0"/>
              <w:rPr>
                <w:rFonts w:ascii="Times New Roman" w:cs="Times New Roman" w:eastAsia="Times New Roman" w:hAnsi="Times New Roman"/>
                <w:sz w:val="16"/>
                <w:szCs w:val="16"/>
                <w:color w:val="auto"/>
              </w:rPr>
            </w:pPr>
            <w:hyperlink r:id="rId10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10.1 to the Company’s Quarterly Report on Form 10-Q for</w:t>
              </w:r>
            </w:hyperlink>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Loan Agreement dated as of May 7, 2021, by and between Reading</w:t>
            </w:r>
          </w:p>
        </w:tc>
        <w:tc>
          <w:tcPr>
            <w:tcW w:w="240" w:type="dxa"/>
            <w:vAlign w:val="bottom"/>
          </w:tcPr>
          <w:p>
            <w:pPr>
              <w:spacing w:after="0"/>
              <w:rPr>
                <w:sz w:val="15"/>
                <w:szCs w:val="15"/>
                <w:color w:val="auto"/>
              </w:rPr>
            </w:pPr>
          </w:p>
        </w:tc>
        <w:tc>
          <w:tcPr>
            <w:tcW w:w="52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Tammany Owner LLC and US Development, LLC, collectively as</w:t>
            </w: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0" w:type="dxa"/>
            <w:vAlign w:val="bottom"/>
            <w:gridSpan w:val="5"/>
          </w:tcPr>
          <w:p>
            <w:pPr>
              <w:spacing w:after="0" w:line="169" w:lineRule="exact"/>
              <w:rPr>
                <w:rFonts w:ascii="Times New Roman" w:cs="Times New Roman" w:eastAsia="Times New Roman" w:hAnsi="Times New Roman"/>
                <w:sz w:val="16"/>
                <w:szCs w:val="16"/>
                <w:b w:val="1"/>
                <w:bCs w:val="1"/>
                <w:color w:val="0000FF"/>
              </w:rPr>
            </w:pPr>
            <w:hyperlink r:id="rId103">
              <w:r>
                <w:rPr>
                  <w:rFonts w:ascii="Times New Roman" w:cs="Times New Roman" w:eastAsia="Times New Roman" w:hAnsi="Times New Roman"/>
                  <w:sz w:val="16"/>
                  <w:szCs w:val="16"/>
                  <w:b w:val="1"/>
                  <w:bCs w:val="1"/>
                  <w:color w:val="0000FF"/>
                </w:rPr>
                <w:t>the quarter ended June 30, 2021</w:t>
              </w:r>
              <w:r>
                <w:rPr>
                  <w:rFonts w:ascii="Times New Roman" w:cs="Times New Roman" w:eastAsia="Times New Roman" w:hAnsi="Times New Roman"/>
                  <w:sz w:val="16"/>
                  <w:szCs w:val="16"/>
                  <w:color w:val="000000"/>
                </w:rPr>
                <w:t>, and incorporated herein by reference.in by</w:t>
              </w:r>
            </w:hyperlink>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-556895</wp:posOffset>
            </wp:positionV>
            <wp:extent cx="713232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-796925</wp:posOffset>
            </wp:positionV>
            <wp:extent cx="29616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5">
                      <a:extLst>
                        <a:ext uri="{28A0092B-C50C-407E-A947-70E740481C1C}"/>
                      </a:extLst>
                    </a:blip>
                    <a:srcRect/>
                    <a:stretch>
                      <a:fillRect/>
                    </a:stretch>
                  </pic:blipFill>
                  <pic:spPr bwMode="auto">
                    <a:xfrm>
                      <a:off x="0" y="0"/>
                      <a:ext cx="2961640" cy="8890"/>
                    </a:xfrm>
                    <a:prstGeom prst="rect">
                      <a:avLst/>
                    </a:prstGeom>
                    <a:noFill/>
                  </pic:spPr>
                </pic:pic>
              </a:graphicData>
            </a:graphic>
          </wp:anchor>
        </w:drawing>
      </w:r>
    </w:p>
    <w:p>
      <w:pPr>
        <w:spacing w:after="0"/>
        <w:tabs>
          <w:tab w:leader="none" w:pos="4640" w:val="left"/>
        </w:tabs>
        <w:rPr>
          <w:sz w:val="20"/>
          <w:szCs w:val="20"/>
          <w:color w:val="auto"/>
        </w:rPr>
      </w:pPr>
      <w:r>
        <w:rPr>
          <w:rFonts w:ascii="Times New Roman" w:cs="Times New Roman" w:eastAsia="Times New Roman" w:hAnsi="Times New Roman"/>
          <w:sz w:val="16"/>
          <w:szCs w:val="16"/>
          <w:color w:val="auto"/>
        </w:rPr>
        <w:t>borrower, and Emerald Creek Capital 3, LLC, as administrative agent</w:t>
        <w:tab/>
        <w:t>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collateral agent for the lender</w:t>
      </w:r>
    </w:p>
    <w:p>
      <w:pPr>
        <w:spacing w:after="0" w:line="1" w:lineRule="exact"/>
        <w:rPr>
          <w:sz w:val="20"/>
          <w:szCs w:val="20"/>
          <w:color w:val="auto"/>
        </w:rPr>
      </w:pPr>
    </w:p>
    <w:p>
      <w:pPr>
        <w:sectPr>
          <w:pgSz w:w="11900" w:h="16838" w:orient="portrait"/>
          <w:cols w:equalWidth="0" w:num="2">
            <w:col w:w="440" w:space="440"/>
            <w:col w:w="9880"/>
          </w:cols>
          <w:pgMar w:left="760" w:top="104" w:right="379" w:bottom="1440" w:gutter="0" w:footer="0" w:header="0"/>
          <w:type w:val="continuous"/>
        </w:sectPr>
      </w:pPr>
    </w:p>
    <w:tbl>
      <w:tblPr>
        <w:tblLayout w:type="fixed"/>
        <w:tblInd w:w="40" w:type="dxa"/>
        <w:tblCellMar>
          <w:top w:w="0" w:type="dxa"/>
          <w:left w:w="0" w:type="dxa"/>
          <w:bottom w:w="0" w:type="dxa"/>
          <w:right w:w="0" w:type="dxa"/>
        </w:tblCellMar>
      </w:tblPr>
      <w:tr>
        <w:trPr>
          <w:trHeight w:val="163"/>
        </w:trPr>
        <w:tc>
          <w:tcPr>
            <w:tcW w:w="600" w:type="dxa"/>
            <w:vAlign w:val="bottom"/>
          </w:tcPr>
          <w:p>
            <w:pPr>
              <w:jc w:val="right"/>
              <w:ind w:right="159"/>
              <w:spacing w:after="0" w:line="163" w:lineRule="exact"/>
              <w:rPr>
                <w:sz w:val="20"/>
                <w:szCs w:val="20"/>
                <w:color w:val="auto"/>
              </w:rPr>
            </w:pPr>
            <w:r>
              <w:rPr>
                <w:rFonts w:ascii="Times New Roman" w:cs="Times New Roman" w:eastAsia="Times New Roman" w:hAnsi="Times New Roman"/>
                <w:sz w:val="16"/>
                <w:szCs w:val="16"/>
                <w:color w:val="auto"/>
                <w:w w:val="94"/>
              </w:rPr>
              <w:t>10.53</w:t>
            </w:r>
          </w:p>
        </w:tc>
        <w:tc>
          <w:tcPr>
            <w:tcW w:w="4820" w:type="dxa"/>
            <w:vAlign w:val="bottom"/>
          </w:tcPr>
          <w:p>
            <w:pPr>
              <w:ind w:left="240"/>
              <w:spacing w:after="0" w:line="163" w:lineRule="exact"/>
              <w:rPr>
                <w:sz w:val="20"/>
                <w:szCs w:val="20"/>
                <w:color w:val="auto"/>
              </w:rPr>
            </w:pPr>
            <w:r>
              <w:rPr>
                <w:rFonts w:ascii="Times New Roman" w:cs="Times New Roman" w:eastAsia="Times New Roman" w:hAnsi="Times New Roman"/>
                <w:sz w:val="16"/>
                <w:szCs w:val="16"/>
                <w:color w:val="auto"/>
              </w:rPr>
              <w:t>First Omnibus Loan Modification and Extension Agreement dated</w:t>
            </w:r>
          </w:p>
        </w:tc>
        <w:tc>
          <w:tcPr>
            <w:tcW w:w="5300" w:type="dxa"/>
            <w:vAlign w:val="bottom"/>
            <w:gridSpan w:val="4"/>
          </w:tcPr>
          <w:p>
            <w:pPr>
              <w:ind w:left="80"/>
              <w:spacing w:after="0" w:line="163" w:lineRule="exact"/>
              <w:rPr>
                <w:rFonts w:ascii="Times New Roman" w:cs="Times New Roman" w:eastAsia="Times New Roman" w:hAnsi="Times New Roman"/>
                <w:sz w:val="16"/>
                <w:szCs w:val="16"/>
                <w:color w:val="auto"/>
              </w:rPr>
            </w:pPr>
            <w:hyperlink r:id="rId106">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10.2 to the Company’s Quarterly Report on Form 10-Q for</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8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April 23, 2024, by and between Reading Tammany Owner LLC and</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5300" w:type="dxa"/>
            <w:vAlign w:val="bottom"/>
            <w:gridSpan w:val="4"/>
          </w:tcPr>
          <w:p>
            <w:pPr>
              <w:ind w:left="80"/>
              <w:spacing w:after="0" w:line="169" w:lineRule="exact"/>
              <w:rPr>
                <w:rFonts w:ascii="Times New Roman" w:cs="Times New Roman" w:eastAsia="Times New Roman" w:hAnsi="Times New Roman"/>
                <w:sz w:val="16"/>
                <w:szCs w:val="16"/>
                <w:b w:val="1"/>
                <w:bCs w:val="1"/>
                <w:color w:val="0000FF"/>
              </w:rPr>
            </w:pPr>
            <w:hyperlink r:id="rId106">
              <w:r>
                <w:rPr>
                  <w:rFonts w:ascii="Times New Roman" w:cs="Times New Roman" w:eastAsia="Times New Roman" w:hAnsi="Times New Roman"/>
                  <w:sz w:val="16"/>
                  <w:szCs w:val="16"/>
                  <w:b w:val="1"/>
                  <w:bCs w:val="1"/>
                  <w:color w:val="0000FF"/>
                </w:rPr>
                <w:t>the period ended June 30, 2024</w:t>
              </w:r>
              <w:r>
                <w:rPr>
                  <w:rFonts w:ascii="Times New Roman" w:cs="Times New Roman" w:eastAsia="Times New Roman" w:hAnsi="Times New Roman"/>
                  <w:sz w:val="16"/>
                  <w:szCs w:val="16"/>
                  <w:color w:val="000000"/>
                </w:rPr>
                <w:t>, and incorporated herein by reference.</w:t>
              </w:r>
            </w:hyperlink>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4820" w:type="dxa"/>
            <w:vAlign w:val="bottom"/>
          </w:tcPr>
          <w:p>
            <w:pPr>
              <w:ind w:left="240"/>
              <w:spacing w:after="0" w:line="169" w:lineRule="exact"/>
              <w:rPr>
                <w:sz w:val="20"/>
                <w:szCs w:val="20"/>
                <w:color w:val="auto"/>
              </w:rPr>
            </w:pPr>
            <w:r>
              <w:rPr>
                <w:rFonts w:ascii="Times New Roman" w:cs="Times New Roman" w:eastAsia="Times New Roman" w:hAnsi="Times New Roman"/>
                <w:sz w:val="16"/>
                <w:szCs w:val="16"/>
                <w:color w:val="auto"/>
              </w:rPr>
              <w:t>US Development, LLC, collectively as borrower, and Emerald Creek</w:t>
            </w:r>
          </w:p>
        </w:tc>
        <w:tc>
          <w:tcPr>
            <w:tcW w:w="8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3, LLC, as administrative agent and collateral agent for the</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-464820</wp:posOffset>
            </wp:positionV>
            <wp:extent cx="7132320" cy="591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ectPr>
          <w:pgSz w:w="11900" w:h="16838" w:orient="portrait"/>
          <w:cols w:equalWidth="0" w:num="1">
            <w:col w:w="10760"/>
          </w:cols>
          <w:pgMar w:left="760" w:top="104" w:right="3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color w:val="auto"/>
        </w:rPr>
        <w:t>lender</w:t>
      </w:r>
    </w:p>
    <w:p>
      <w:pPr>
        <w:spacing w:after="0" w:line="5" w:lineRule="exact"/>
        <w:rPr>
          <w:sz w:val="20"/>
          <w:szCs w:val="20"/>
          <w:color w:val="auto"/>
        </w:rPr>
      </w:pPr>
    </w:p>
    <w:p>
      <w:pPr>
        <w:ind w:left="880" w:hanging="883"/>
        <w:spacing w:after="0" w:line="243" w:lineRule="auto"/>
        <w:tabs>
          <w:tab w:leader="none" w:pos="860" w:val="left"/>
        </w:tabs>
        <w:rPr>
          <w:sz w:val="20"/>
          <w:szCs w:val="20"/>
          <w:color w:val="auto"/>
        </w:rPr>
      </w:pPr>
      <w:r>
        <w:rPr>
          <w:rFonts w:ascii="Times New Roman" w:cs="Times New Roman" w:eastAsia="Times New Roman" w:hAnsi="Times New Roman"/>
          <w:sz w:val="16"/>
          <w:szCs w:val="16"/>
          <w:color w:val="auto"/>
        </w:rPr>
        <w:t>10.54†</w:t>
      </w:r>
      <w:r>
        <w:rPr>
          <w:sz w:val="20"/>
          <w:szCs w:val="20"/>
          <w:color w:val="auto"/>
        </w:rPr>
        <w:tab/>
      </w:r>
      <w:r>
        <w:rPr>
          <w:rFonts w:ascii="Times New Roman" w:cs="Times New Roman" w:eastAsia="Times New Roman" w:hAnsi="Times New Roman"/>
          <w:sz w:val="16"/>
          <w:szCs w:val="16"/>
          <w:color w:val="auto"/>
        </w:rPr>
        <w:t>Second Omnibus Loan Modification and Extension Agreement dated May 2, 2025, by and between Reading Tammany Owner LLC and US Development, LLC, collectively as borrower, and Emerald Creek Capital 3, LLC, as administrative agent and collateral agent for the lender</w:t>
      </w:r>
    </w:p>
    <w:p>
      <w:pPr>
        <w:ind w:left="880" w:right="400" w:hanging="883"/>
        <w:spacing w:after="0" w:line="246" w:lineRule="auto"/>
        <w:tabs>
          <w:tab w:leader="none" w:pos="860" w:val="left"/>
        </w:tabs>
        <w:rPr>
          <w:sz w:val="20"/>
          <w:szCs w:val="20"/>
          <w:color w:val="auto"/>
        </w:rPr>
      </w:pPr>
      <w:r>
        <w:rPr>
          <w:rFonts w:ascii="Times New Roman" w:cs="Times New Roman" w:eastAsia="Times New Roman" w:hAnsi="Times New Roman"/>
          <w:sz w:val="16"/>
          <w:szCs w:val="16"/>
          <w:color w:val="auto"/>
        </w:rPr>
        <w:t>10.55*</w:t>
      </w:r>
      <w:r>
        <w:rPr>
          <w:sz w:val="20"/>
          <w:szCs w:val="20"/>
          <w:color w:val="auto"/>
        </w:rPr>
        <w:tab/>
      </w:r>
      <w:r>
        <w:rPr>
          <w:rFonts w:ascii="Times New Roman" w:cs="Times New Roman" w:eastAsia="Times New Roman" w:hAnsi="Times New Roman"/>
          <w:sz w:val="16"/>
          <w:szCs w:val="16"/>
          <w:color w:val="auto"/>
        </w:rPr>
        <w:t>Form of Indemnification Agreement, as routinely granted to the Company’s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-233045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880" w:right="120" w:hanging="745"/>
        <w:spacing w:after="0" w:line="257" w:lineRule="auto"/>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Preferability Letter from Independent Registered Public Accounting Firm, Grant Thornton LLP</w:t>
      </w:r>
    </w:p>
    <w:p>
      <w:pPr>
        <w:spacing w:after="0" w:line="1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304800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rFonts w:ascii="Times New Roman" w:cs="Times New Roman" w:eastAsia="Times New Roman" w:hAnsi="Times New Roman"/>
          <w:sz w:val="16"/>
          <w:szCs w:val="16"/>
          <w:color w:val="auto"/>
        </w:rPr>
      </w:pPr>
      <w:hyperlink r:id="rId11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10.2 to the Company’s Quarterly Report on Form 10-Q for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-3175</wp:posOffset>
            </wp:positionV>
            <wp:extent cx="29616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1">
                      <a:extLst>
                        <a:ext uri="{28A0092B-C50C-407E-A947-70E740481C1C}"/>
                      </a:extLst>
                    </a:blip>
                    <a:srcRect/>
                    <a:stretch>
                      <a:fillRect/>
                    </a:stretch>
                  </pic:blipFill>
                  <pic:spPr bwMode="auto">
                    <a:xfrm>
                      <a:off x="0" y="0"/>
                      <a:ext cx="2961640" cy="8890"/>
                    </a:xfrm>
                    <a:prstGeom prst="rect">
                      <a:avLst/>
                    </a:prstGeom>
                    <a:noFill/>
                  </pic:spPr>
                </pic:pic>
              </a:graphicData>
            </a:graphic>
          </wp:anchor>
        </w:drawing>
      </w:r>
    </w:p>
    <w:p>
      <w:pPr>
        <w:spacing w:after="0" w:line="8" w:lineRule="exact"/>
        <w:rPr>
          <w:sz w:val="20"/>
          <w:szCs w:val="20"/>
          <w:color w:val="auto"/>
        </w:rPr>
      </w:pPr>
    </w:p>
    <w:p>
      <w:pPr>
        <w:spacing w:after="0"/>
        <w:rPr>
          <w:rFonts w:ascii="Times New Roman" w:cs="Times New Roman" w:eastAsia="Times New Roman" w:hAnsi="Times New Roman"/>
          <w:sz w:val="16"/>
          <w:szCs w:val="16"/>
          <w:b w:val="1"/>
          <w:bCs w:val="1"/>
          <w:color w:val="0000FF"/>
        </w:rPr>
      </w:pPr>
      <w:hyperlink r:id="rId110">
        <w:r>
          <w:rPr>
            <w:rFonts w:ascii="Times New Roman" w:cs="Times New Roman" w:eastAsia="Times New Roman" w:hAnsi="Times New Roman"/>
            <w:sz w:val="16"/>
            <w:szCs w:val="16"/>
            <w:b w:val="1"/>
            <w:bCs w:val="1"/>
            <w:u w:val="single" w:color="auto"/>
            <w:color w:val="0000FF"/>
          </w:rPr>
          <w:t>the period ended June 30, 2025</w:t>
        </w:r>
        <w:r>
          <w:rPr>
            <w:rFonts w:ascii="Times New Roman" w:cs="Times New Roman" w:eastAsia="Times New Roman" w:hAnsi="Times New Roman"/>
            <w:sz w:val="17"/>
            <w:szCs w:val="17"/>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3601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rFonts w:ascii="Times New Roman" w:cs="Times New Roman" w:eastAsia="Times New Roman" w:hAnsi="Times New Roman"/>
          <w:sz w:val="16"/>
          <w:szCs w:val="16"/>
          <w:color w:val="auto"/>
        </w:rPr>
      </w:pPr>
      <w:hyperlink r:id="rId11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10.4 to the Company’s Quarterly Report on Form 10-Q for</w:t>
        </w:r>
      </w:hyperlink>
    </w:p>
    <w:p>
      <w:pPr>
        <w:spacing w:after="0" w:line="25" w:lineRule="exact"/>
        <w:rPr>
          <w:sz w:val="20"/>
          <w:szCs w:val="20"/>
          <w:color w:val="auto"/>
        </w:rPr>
      </w:pPr>
    </w:p>
    <w:p>
      <w:pPr>
        <w:spacing w:after="0"/>
        <w:rPr>
          <w:rFonts w:ascii="Times New Roman" w:cs="Times New Roman" w:eastAsia="Times New Roman" w:hAnsi="Times New Roman"/>
          <w:sz w:val="16"/>
          <w:szCs w:val="16"/>
          <w:b w:val="1"/>
          <w:bCs w:val="1"/>
          <w:color w:val="0000FF"/>
        </w:rPr>
      </w:pPr>
      <w:hyperlink r:id="rId113">
        <w:r>
          <w:rPr>
            <w:rFonts w:ascii="Times New Roman" w:cs="Times New Roman" w:eastAsia="Times New Roman" w:hAnsi="Times New Roman"/>
            <w:sz w:val="16"/>
            <w:szCs w:val="16"/>
            <w:b w:val="1"/>
            <w:bCs w:val="1"/>
            <w:u w:val="single" w:color="auto"/>
            <w:color w:val="0000FF"/>
          </w:rPr>
          <w:t>the quarter ended March 31, 2020</w:t>
        </w:r>
        <w:r>
          <w:rPr>
            <w:rFonts w:ascii="Times New Roman" w:cs="Times New Roman" w:eastAsia="Times New Roman" w:hAnsi="Times New Roman"/>
            <w:sz w:val="16"/>
            <w:szCs w:val="16"/>
            <w:color w:val="000000"/>
          </w:rPr>
          <w:t>, and incorporated herein by reference.</w:t>
        </w:r>
      </w:hyperlink>
    </w:p>
    <w:p>
      <w:pPr>
        <w:spacing w:after="0" w:line="5" w:lineRule="exact"/>
        <w:rPr>
          <w:sz w:val="20"/>
          <w:szCs w:val="20"/>
          <w:color w:val="auto"/>
        </w:rPr>
      </w:pPr>
    </w:p>
    <w:p>
      <w:pPr>
        <w:spacing w:after="0"/>
        <w:rPr>
          <w:rFonts w:ascii="Times New Roman" w:cs="Times New Roman" w:eastAsia="Times New Roman" w:hAnsi="Times New Roman"/>
          <w:sz w:val="16"/>
          <w:szCs w:val="16"/>
          <w:color w:val="auto"/>
        </w:rPr>
      </w:pPr>
      <w:hyperlink r:id="rId11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u w:val="single" w:color="auto"/>
            <w:color w:val="0000FF"/>
          </w:rPr>
          <w:t>Exhibit 18 to the Company’s Annual Report on Form 10-K for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-15875</wp:posOffset>
            </wp:positionV>
            <wp:extent cx="2933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5">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ind w:right="360"/>
        <w:spacing w:after="0" w:line="257" w:lineRule="auto"/>
        <w:rPr>
          <w:rFonts w:ascii="Times New Roman" w:cs="Times New Roman" w:eastAsia="Times New Roman" w:hAnsi="Times New Roman"/>
          <w:sz w:val="16"/>
          <w:szCs w:val="16"/>
          <w:b w:val="1"/>
          <w:bCs w:val="1"/>
          <w:color w:val="0000FF"/>
        </w:rPr>
      </w:pPr>
      <w:hyperlink r:id="rId114">
        <w:r>
          <w:rPr>
            <w:rFonts w:ascii="Times New Roman" w:cs="Times New Roman" w:eastAsia="Times New Roman" w:hAnsi="Times New Roman"/>
            <w:sz w:val="16"/>
            <w:szCs w:val="16"/>
            <w:b w:val="1"/>
            <w:bCs w:val="1"/>
            <w:u w:val="single" w:color="auto"/>
            <w:color w:val="0000FF"/>
          </w:rPr>
          <w:t>year ended December 31, 2016</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filed on March 13, 2017 and incorporated</w:t>
        </w:r>
      </w:hyperlink>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337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6">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2">
            <w:col w:w="5420" w:space="120"/>
            <w:col w:w="5220"/>
          </w:cols>
          <w:pgMar w:left="760" w:top="104" w:right="3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320" w:type="dxa"/>
            <w:vAlign w:val="bottom"/>
            <w:shd w:val="clear" w:color="auto" w:fill="BDE1E9"/>
          </w:tcPr>
          <w:p>
            <w:pPr>
              <w:jc w:val="center"/>
              <w:spacing w:after="0"/>
              <w:rPr>
                <w:sz w:val="20"/>
                <w:szCs w:val="20"/>
                <w:color w:val="auto"/>
              </w:rPr>
            </w:pPr>
            <w:r>
              <w:rPr>
                <w:rFonts w:ascii="Times New Roman" w:cs="Times New Roman" w:eastAsia="Times New Roman" w:hAnsi="Times New Roman"/>
                <w:sz w:val="16"/>
                <w:szCs w:val="16"/>
                <w:color w:val="auto"/>
                <w:w w:val="99"/>
              </w:rPr>
              <w:t>19.1</w:t>
            </w:r>
          </w:p>
        </w:tc>
        <w:tc>
          <w:tcPr>
            <w:tcW w:w="4600" w:type="dxa"/>
            <w:vAlign w:val="bottom"/>
            <w:tcBorders>
              <w:left w:val="single" w:sz="8" w:color="BDE1E9"/>
            </w:tcBorders>
            <w:gridSpan w:val="3"/>
            <w:shd w:val="clear" w:color="auto" w:fill="BDE1E9"/>
          </w:tcPr>
          <w:p>
            <w:pPr>
              <w:spacing w:after="0"/>
              <w:rPr>
                <w:sz w:val="20"/>
                <w:szCs w:val="20"/>
                <w:color w:val="auto"/>
              </w:rPr>
            </w:pPr>
            <w:r>
              <w:rPr>
                <w:rFonts w:ascii="Times New Roman" w:cs="Times New Roman" w:eastAsia="Times New Roman" w:hAnsi="Times New Roman"/>
                <w:sz w:val="16"/>
                <w:szCs w:val="16"/>
                <w:color w:val="auto"/>
              </w:rPr>
              <w:t>Reading International, Inc. and Subsidiaries Insider Trading Policy</w:t>
            </w:r>
          </w:p>
        </w:tc>
        <w:tc>
          <w:tcPr>
            <w:tcW w:w="440" w:type="dxa"/>
            <w:vAlign w:val="bottom"/>
            <w:gridSpan w:val="2"/>
            <w:shd w:val="clear" w:color="auto" w:fill="BDE1E9"/>
          </w:tcPr>
          <w:p>
            <w:pPr>
              <w:ind w:left="60"/>
              <w:spacing w:after="0"/>
              <w:rPr>
                <w:rFonts w:ascii="Times New Roman" w:cs="Times New Roman" w:eastAsia="Times New Roman" w:hAnsi="Times New Roman"/>
                <w:sz w:val="16"/>
                <w:szCs w:val="16"/>
                <w:color w:val="auto"/>
              </w:rPr>
            </w:pPr>
            <w:hyperlink r:id="rId117">
              <w:r>
                <w:rPr>
                  <w:rFonts w:ascii="Times New Roman" w:cs="Times New Roman" w:eastAsia="Times New Roman" w:hAnsi="Times New Roman"/>
                  <w:sz w:val="16"/>
                  <w:szCs w:val="16"/>
                  <w:color w:val="auto"/>
                </w:rPr>
                <w:t>Filed</w:t>
              </w:r>
            </w:hyperlink>
          </w:p>
        </w:tc>
        <w:tc>
          <w:tcPr>
            <w:tcW w:w="4580" w:type="dxa"/>
            <w:vAlign w:val="bottom"/>
            <w:gridSpan w:val="6"/>
            <w:shd w:val="clear" w:color="auto" w:fill="BDE1E9"/>
          </w:tcPr>
          <w:p>
            <w:pPr>
              <w:spacing w:after="0"/>
              <w:rPr>
                <w:rFonts w:ascii="Times New Roman" w:cs="Times New Roman" w:eastAsia="Times New Roman" w:hAnsi="Times New Roman"/>
                <w:sz w:val="16"/>
                <w:szCs w:val="16"/>
                <w:color w:val="auto"/>
                <w:shd w:val="clear" w:color="auto" w:fill="BDE1E9"/>
              </w:rPr>
            </w:pPr>
            <w:hyperlink r:id="rId117">
              <w:r>
                <w:rPr>
                  <w:rFonts w:ascii="Times New Roman" w:cs="Times New Roman" w:eastAsia="Times New Roman" w:hAnsi="Times New Roman"/>
                  <w:sz w:val="16"/>
                  <w:szCs w:val="16"/>
                  <w:color w:val="auto"/>
                  <w:shd w:val="clear" w:color="auto" w:fill="BDE1E9"/>
                </w:rPr>
                <w:t xml:space="preserve">as </w:t>
              </w:r>
              <w:r>
                <w:rPr>
                  <w:rFonts w:ascii="Times New Roman" w:cs="Times New Roman" w:eastAsia="Times New Roman" w:hAnsi="Times New Roman"/>
                  <w:sz w:val="16"/>
                  <w:szCs w:val="16"/>
                  <w:b w:val="1"/>
                  <w:bCs w:val="1"/>
                  <w:color w:val="0000FF"/>
                  <w:shd w:val="clear" w:color="auto" w:fill="BDE1E9"/>
                </w:rPr>
                <w:t>Exhibit 19.1 to the Company’s Annual Report on Form 10-K/A</w:t>
              </w:r>
            </w:hyperlink>
          </w:p>
        </w:tc>
        <w:tc>
          <w:tcPr>
            <w:tcW w:w="80" w:type="dxa"/>
            <w:vAlign w:val="bottom"/>
            <w:shd w:val="clear" w:color="auto" w:fill="BDE1E9"/>
          </w:tcPr>
          <w:p>
            <w:pPr>
              <w:spacing w:after="0"/>
              <w:rPr>
                <w:sz w:val="16"/>
                <w:szCs w:val="16"/>
                <w:color w:val="auto"/>
              </w:rPr>
            </w:pPr>
          </w:p>
        </w:tc>
        <w:tc>
          <w:tcPr>
            <w:tcW w:w="140" w:type="dxa"/>
            <w:vAlign w:val="bottom"/>
            <w:shd w:val="clear" w:color="auto" w:fill="BDE1E9"/>
          </w:tcPr>
          <w:p>
            <w:pPr>
              <w:spacing w:after="0"/>
              <w:rPr>
                <w:sz w:val="16"/>
                <w:szCs w:val="16"/>
                <w:color w:val="auto"/>
              </w:rPr>
            </w:pPr>
          </w:p>
        </w:tc>
        <w:tc>
          <w:tcPr>
            <w:tcW w:w="80" w:type="dxa"/>
            <w:vAlign w:val="bottom"/>
            <w:shd w:val="clear" w:color="auto" w:fill="BDE1E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BDE1E9"/>
          </w:tcPr>
          <w:p>
            <w:pPr>
              <w:spacing w:after="0" w:line="20" w:lineRule="exact"/>
              <w:rPr>
                <w:sz w:val="1"/>
                <w:szCs w:val="1"/>
                <w:color w:val="auto"/>
              </w:rPr>
            </w:pPr>
          </w:p>
        </w:tc>
        <w:tc>
          <w:tcPr>
            <w:tcW w:w="2100" w:type="dxa"/>
            <w:vAlign w:val="bottom"/>
            <w:tcBorders>
              <w:left w:val="single" w:sz="8" w:color="BDE1E9"/>
              <w:right w:val="single" w:sz="8" w:color="BDE1E9"/>
            </w:tcBorders>
            <w:shd w:val="clear" w:color="auto" w:fill="BDE1E9"/>
          </w:tcPr>
          <w:p>
            <w:pPr>
              <w:spacing w:after="0" w:line="20" w:lineRule="exact"/>
              <w:rPr>
                <w:sz w:val="1"/>
                <w:szCs w:val="1"/>
                <w:color w:val="auto"/>
              </w:rPr>
            </w:pPr>
          </w:p>
        </w:tc>
        <w:tc>
          <w:tcPr>
            <w:tcW w:w="2460" w:type="dxa"/>
            <w:vAlign w:val="bottom"/>
            <w:shd w:val="clear" w:color="auto" w:fill="BDE1E9"/>
          </w:tcPr>
          <w:p>
            <w:pPr>
              <w:spacing w:after="0" w:line="20" w:lineRule="exact"/>
              <w:rPr>
                <w:sz w:val="1"/>
                <w:szCs w:val="1"/>
                <w:color w:val="auto"/>
              </w:rPr>
            </w:pPr>
          </w:p>
        </w:tc>
        <w:tc>
          <w:tcPr>
            <w:tcW w:w="40" w:type="dxa"/>
            <w:vAlign w:val="bottom"/>
            <w:shd w:val="clear" w:color="auto" w:fill="BDE1E9"/>
          </w:tcPr>
          <w:p>
            <w:pPr>
              <w:spacing w:after="0" w:line="20" w:lineRule="exact"/>
              <w:rPr>
                <w:sz w:val="1"/>
                <w:szCs w:val="1"/>
                <w:color w:val="auto"/>
              </w:rPr>
            </w:pPr>
          </w:p>
        </w:tc>
        <w:tc>
          <w:tcPr>
            <w:tcW w:w="60" w:type="dxa"/>
            <w:vAlign w:val="bottom"/>
            <w:vMerge w:val="restart"/>
            <w:shd w:val="clear" w:color="auto" w:fill="BDE1E9"/>
          </w:tcPr>
          <w:p>
            <w:pPr>
              <w:spacing w:after="0" w:line="20" w:lineRule="exact"/>
              <w:rPr>
                <w:sz w:val="1"/>
                <w:szCs w:val="1"/>
                <w:color w:val="auto"/>
              </w:rPr>
            </w:pPr>
          </w:p>
        </w:tc>
        <w:tc>
          <w:tcPr>
            <w:tcW w:w="380" w:type="dxa"/>
            <w:vAlign w:val="bottom"/>
            <w:shd w:val="clear" w:color="auto" w:fill="BDE1E9"/>
          </w:tcPr>
          <w:p>
            <w:pPr>
              <w:spacing w:after="0" w:line="20" w:lineRule="exact"/>
              <w:rPr>
                <w:sz w:val="1"/>
                <w:szCs w:val="1"/>
                <w:color w:val="auto"/>
              </w:rPr>
            </w:pPr>
          </w:p>
        </w:tc>
        <w:tc>
          <w:tcPr>
            <w:tcW w:w="200" w:type="dxa"/>
            <w:vAlign w:val="bottom"/>
            <w:tcBorders>
              <w:right w:val="single" w:sz="8" w:color="0000FF"/>
            </w:tcBorders>
            <w:shd w:val="clear" w:color="auto" w:fill="BDE1E9"/>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BDE1E9"/>
          </w:tcPr>
          <w:p>
            <w:pPr>
              <w:spacing w:after="0" w:line="20" w:lineRule="exact"/>
              <w:rPr>
                <w:sz w:val="1"/>
                <w:szCs w:val="1"/>
                <w:color w:val="auto"/>
              </w:rPr>
            </w:pPr>
          </w:p>
        </w:tc>
        <w:tc>
          <w:tcPr>
            <w:tcW w:w="140" w:type="dxa"/>
            <w:vAlign w:val="bottom"/>
            <w:shd w:val="clear" w:color="auto" w:fill="BDE1E9"/>
          </w:tcPr>
          <w:p>
            <w:pPr>
              <w:spacing w:after="0" w:line="20" w:lineRule="exact"/>
              <w:rPr>
                <w:sz w:val="1"/>
                <w:szCs w:val="1"/>
                <w:color w:val="auto"/>
              </w:rPr>
            </w:pPr>
          </w:p>
        </w:tc>
        <w:tc>
          <w:tcPr>
            <w:tcW w:w="80" w:type="dxa"/>
            <w:vAlign w:val="bottom"/>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tcBorders>
              <w:bottom w:val="single" w:sz="8" w:color="BDE1E9"/>
            </w:tcBorders>
            <w:shd w:val="clear" w:color="auto" w:fill="BDE1E9"/>
          </w:tcPr>
          <w:p>
            <w:pPr>
              <w:spacing w:after="0"/>
              <w:rPr>
                <w:sz w:val="14"/>
                <w:szCs w:val="14"/>
                <w:color w:val="auto"/>
              </w:rPr>
            </w:pPr>
          </w:p>
        </w:tc>
        <w:tc>
          <w:tcPr>
            <w:tcW w:w="2100" w:type="dxa"/>
            <w:vAlign w:val="bottom"/>
            <w:tcBorders>
              <w:left w:val="single" w:sz="8" w:color="BDE1E9"/>
              <w:bottom w:val="single" w:sz="8" w:color="BDE1E9"/>
              <w:right w:val="single" w:sz="8" w:color="BDE1E9"/>
            </w:tcBorders>
            <w:shd w:val="clear" w:color="auto" w:fill="BDE1E9"/>
          </w:tcPr>
          <w:p>
            <w:pPr>
              <w:spacing w:after="0"/>
              <w:rPr>
                <w:sz w:val="14"/>
                <w:szCs w:val="14"/>
                <w:color w:val="auto"/>
              </w:rPr>
            </w:pPr>
          </w:p>
        </w:tc>
        <w:tc>
          <w:tcPr>
            <w:tcW w:w="2460" w:type="dxa"/>
            <w:vAlign w:val="bottom"/>
            <w:tcBorders>
              <w:bottom w:val="single" w:sz="8" w:color="BDE1E9"/>
            </w:tcBorders>
            <w:shd w:val="clear" w:color="auto" w:fill="BDE1E9"/>
          </w:tcPr>
          <w:p>
            <w:pPr>
              <w:spacing w:after="0"/>
              <w:rPr>
                <w:sz w:val="14"/>
                <w:szCs w:val="14"/>
                <w:color w:val="auto"/>
              </w:rPr>
            </w:pPr>
          </w:p>
        </w:tc>
        <w:tc>
          <w:tcPr>
            <w:tcW w:w="40" w:type="dxa"/>
            <w:vAlign w:val="bottom"/>
            <w:tcBorders>
              <w:bottom w:val="single" w:sz="8" w:color="BDE1E9"/>
            </w:tcBorders>
            <w:shd w:val="clear" w:color="auto" w:fill="BDE1E9"/>
          </w:tcPr>
          <w:p>
            <w:pPr>
              <w:spacing w:after="0"/>
              <w:rPr>
                <w:sz w:val="14"/>
                <w:szCs w:val="14"/>
                <w:color w:val="auto"/>
              </w:rPr>
            </w:pPr>
          </w:p>
        </w:tc>
        <w:tc>
          <w:tcPr>
            <w:tcW w:w="60" w:type="dxa"/>
            <w:vAlign w:val="bottom"/>
            <w:tcBorders>
              <w:bottom w:val="single" w:sz="8" w:color="BDE1E9"/>
            </w:tcBorders>
            <w:vMerge w:val="continue"/>
            <w:shd w:val="clear" w:color="auto" w:fill="BDE1E9"/>
          </w:tcPr>
          <w:p>
            <w:pPr>
              <w:spacing w:after="0"/>
              <w:rPr>
                <w:sz w:val="14"/>
                <w:szCs w:val="14"/>
                <w:color w:val="auto"/>
              </w:rPr>
            </w:pPr>
          </w:p>
        </w:tc>
        <w:tc>
          <w:tcPr>
            <w:tcW w:w="380" w:type="dxa"/>
            <w:vAlign w:val="bottom"/>
            <w:tcBorders>
              <w:bottom w:val="single" w:sz="8" w:color="0000FF"/>
            </w:tcBorders>
            <w:shd w:val="clear" w:color="auto" w:fill="BDE1E9"/>
          </w:tcPr>
          <w:p>
            <w:pPr>
              <w:spacing w:after="0" w:line="169" w:lineRule="exact"/>
              <w:rPr>
                <w:rFonts w:ascii="Times New Roman" w:cs="Times New Roman" w:eastAsia="Times New Roman" w:hAnsi="Times New Roman"/>
                <w:sz w:val="16"/>
                <w:szCs w:val="16"/>
                <w:b w:val="1"/>
                <w:bCs w:val="1"/>
                <w:color w:val="0000FF"/>
                <w:shd w:val="clear" w:color="auto" w:fill="BDE1E9"/>
              </w:rPr>
            </w:pPr>
            <w:hyperlink r:id="rId117">
              <w:r>
                <w:rPr>
                  <w:rFonts w:ascii="Times New Roman" w:cs="Times New Roman" w:eastAsia="Times New Roman" w:hAnsi="Times New Roman"/>
                  <w:sz w:val="16"/>
                  <w:szCs w:val="16"/>
                  <w:b w:val="1"/>
                  <w:bCs w:val="1"/>
                  <w:color w:val="0000FF"/>
                  <w:shd w:val="clear" w:color="auto" w:fill="BDE1E9"/>
                </w:rPr>
                <w:t>No.1</w:t>
              </w:r>
            </w:hyperlink>
          </w:p>
        </w:tc>
        <w:tc>
          <w:tcPr>
            <w:tcW w:w="2640" w:type="dxa"/>
            <w:vAlign w:val="bottom"/>
            <w:tcBorders>
              <w:bottom w:val="single" w:sz="8" w:color="0000FF"/>
            </w:tcBorders>
            <w:gridSpan w:val="5"/>
            <w:shd w:val="clear" w:color="auto" w:fill="BDE1E9"/>
          </w:tcPr>
          <w:p>
            <w:pPr>
              <w:spacing w:after="0" w:line="169" w:lineRule="exact"/>
              <w:rPr>
                <w:rFonts w:ascii="Times New Roman" w:cs="Times New Roman" w:eastAsia="Times New Roman" w:hAnsi="Times New Roman"/>
                <w:sz w:val="16"/>
                <w:szCs w:val="16"/>
                <w:b w:val="1"/>
                <w:bCs w:val="1"/>
                <w:color w:val="0000FF"/>
                <w:w w:val="99"/>
                <w:shd w:val="clear" w:color="auto" w:fill="BDE1E9"/>
              </w:rPr>
            </w:pPr>
            <w:hyperlink r:id="rId117">
              <w:r>
                <w:rPr>
                  <w:rFonts w:ascii="Times New Roman" w:cs="Times New Roman" w:eastAsia="Times New Roman" w:hAnsi="Times New Roman"/>
                  <w:sz w:val="16"/>
                  <w:szCs w:val="16"/>
                  <w:b w:val="1"/>
                  <w:bCs w:val="1"/>
                  <w:color w:val="0000FF"/>
                  <w:w w:val="99"/>
                  <w:shd w:val="clear" w:color="auto" w:fill="BDE1E9"/>
                </w:rPr>
                <w:t>for the year ended December 31, 2024,</w:t>
              </w:r>
            </w:hyperlink>
          </w:p>
        </w:tc>
        <w:tc>
          <w:tcPr>
            <w:tcW w:w="1940" w:type="dxa"/>
            <w:vAlign w:val="bottom"/>
            <w:tcBorders>
              <w:bottom w:val="single" w:sz="8" w:color="BDE1E9"/>
            </w:tcBorders>
            <w:shd w:val="clear" w:color="auto" w:fill="BDE1E9"/>
          </w:tcPr>
          <w:p>
            <w:pPr>
              <w:ind w:left="40"/>
              <w:spacing w:after="0" w:line="169" w:lineRule="exact"/>
              <w:rPr>
                <w:rFonts w:ascii="Times New Roman" w:cs="Times New Roman" w:eastAsia="Times New Roman" w:hAnsi="Times New Roman"/>
                <w:sz w:val="16"/>
                <w:szCs w:val="16"/>
                <w:color w:val="auto"/>
                <w:shd w:val="clear" w:color="auto" w:fill="BDE1E9"/>
              </w:rPr>
            </w:pPr>
            <w:hyperlink r:id="rId117">
              <w:r>
                <w:rPr>
                  <w:rFonts w:ascii="Times New Roman" w:cs="Times New Roman" w:eastAsia="Times New Roman" w:hAnsi="Times New Roman"/>
                  <w:sz w:val="16"/>
                  <w:szCs w:val="16"/>
                  <w:color w:val="auto"/>
                  <w:shd w:val="clear" w:color="auto" w:fill="BDE1E9"/>
                </w:rPr>
                <w:t>filed on April 21, 2025, and</w:t>
              </w:r>
            </w:hyperlink>
          </w:p>
        </w:tc>
        <w:tc>
          <w:tcPr>
            <w:tcW w:w="80" w:type="dxa"/>
            <w:vAlign w:val="bottom"/>
            <w:tcBorders>
              <w:bottom w:val="single" w:sz="8" w:color="BDE1E9"/>
            </w:tcBorders>
            <w:shd w:val="clear" w:color="auto" w:fill="BDE1E9"/>
          </w:tcPr>
          <w:p>
            <w:pPr>
              <w:spacing w:after="0"/>
              <w:rPr>
                <w:sz w:val="14"/>
                <w:szCs w:val="14"/>
                <w:color w:val="auto"/>
              </w:rPr>
            </w:pPr>
          </w:p>
        </w:tc>
        <w:tc>
          <w:tcPr>
            <w:tcW w:w="140" w:type="dxa"/>
            <w:vAlign w:val="bottom"/>
            <w:tcBorders>
              <w:bottom w:val="single" w:sz="8" w:color="BDE1E9"/>
            </w:tcBorders>
            <w:shd w:val="clear" w:color="auto" w:fill="BDE1E9"/>
          </w:tcPr>
          <w:p>
            <w:pPr>
              <w:spacing w:after="0"/>
              <w:rPr>
                <w:sz w:val="14"/>
                <w:szCs w:val="14"/>
                <w:color w:val="auto"/>
              </w:rPr>
            </w:pPr>
          </w:p>
        </w:tc>
        <w:tc>
          <w:tcPr>
            <w:tcW w:w="80" w:type="dxa"/>
            <w:vAlign w:val="bottom"/>
            <w:tcBorders>
              <w:bottom w:val="single" w:sz="8" w:color="BDE1E9"/>
            </w:tcBorders>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shd w:val="clear" w:color="auto" w:fill="BDE1E9"/>
          </w:tcPr>
          <w:p>
            <w:pPr>
              <w:spacing w:after="0"/>
              <w:rPr>
                <w:sz w:val="17"/>
                <w:szCs w:val="17"/>
                <w:color w:val="auto"/>
              </w:rPr>
            </w:pPr>
          </w:p>
        </w:tc>
        <w:tc>
          <w:tcPr>
            <w:tcW w:w="2100" w:type="dxa"/>
            <w:vAlign w:val="bottom"/>
            <w:tcBorders>
              <w:left w:val="single" w:sz="8" w:color="BDE1E9"/>
              <w:right w:val="single" w:sz="8" w:color="BDE1E9"/>
            </w:tcBorders>
            <w:shd w:val="clear" w:color="auto" w:fill="BDE1E9"/>
          </w:tcPr>
          <w:p>
            <w:pPr>
              <w:spacing w:after="0"/>
              <w:rPr>
                <w:sz w:val="17"/>
                <w:szCs w:val="17"/>
                <w:color w:val="auto"/>
              </w:rPr>
            </w:pPr>
          </w:p>
        </w:tc>
        <w:tc>
          <w:tcPr>
            <w:tcW w:w="2460" w:type="dxa"/>
            <w:vAlign w:val="bottom"/>
            <w:shd w:val="clear" w:color="auto" w:fill="BDE1E9"/>
          </w:tcPr>
          <w:p>
            <w:pPr>
              <w:spacing w:after="0"/>
              <w:rPr>
                <w:sz w:val="17"/>
                <w:szCs w:val="17"/>
                <w:color w:val="auto"/>
              </w:rPr>
            </w:pPr>
          </w:p>
        </w:tc>
        <w:tc>
          <w:tcPr>
            <w:tcW w:w="40" w:type="dxa"/>
            <w:vAlign w:val="bottom"/>
            <w:shd w:val="clear" w:color="auto" w:fill="BDE1E9"/>
          </w:tcPr>
          <w:p>
            <w:pPr>
              <w:spacing w:after="0"/>
              <w:rPr>
                <w:sz w:val="17"/>
                <w:szCs w:val="17"/>
                <w:color w:val="auto"/>
              </w:rPr>
            </w:pPr>
          </w:p>
        </w:tc>
        <w:tc>
          <w:tcPr>
            <w:tcW w:w="60" w:type="dxa"/>
            <w:vAlign w:val="bottom"/>
            <w:shd w:val="clear" w:color="auto" w:fill="BDE1E9"/>
          </w:tcPr>
          <w:p>
            <w:pPr>
              <w:spacing w:after="0"/>
              <w:rPr>
                <w:sz w:val="17"/>
                <w:szCs w:val="17"/>
                <w:color w:val="auto"/>
              </w:rPr>
            </w:pPr>
          </w:p>
        </w:tc>
        <w:tc>
          <w:tcPr>
            <w:tcW w:w="2380" w:type="dxa"/>
            <w:vAlign w:val="bottom"/>
            <w:gridSpan w:val="4"/>
            <w:shd w:val="clear" w:color="auto" w:fill="BDE1E9"/>
          </w:tcPr>
          <w:p>
            <w:pPr>
              <w:spacing w:after="0"/>
              <w:rPr>
                <w:sz w:val="20"/>
                <w:szCs w:val="20"/>
                <w:color w:val="auto"/>
              </w:rPr>
            </w:pPr>
            <w:r>
              <w:rPr>
                <w:rFonts w:ascii="Times New Roman" w:cs="Times New Roman" w:eastAsia="Times New Roman" w:hAnsi="Times New Roman"/>
                <w:sz w:val="16"/>
                <w:szCs w:val="16"/>
                <w:color w:val="auto"/>
                <w:shd w:val="clear" w:color="auto" w:fill="BDE1E9"/>
              </w:rPr>
              <w:t>incorporated herein by reference.</w:t>
            </w:r>
          </w:p>
        </w:tc>
        <w:tc>
          <w:tcPr>
            <w:tcW w:w="600" w:type="dxa"/>
            <w:vAlign w:val="bottom"/>
            <w:shd w:val="clear" w:color="auto" w:fill="BDE1E9"/>
          </w:tcPr>
          <w:p>
            <w:pPr>
              <w:spacing w:after="0"/>
              <w:rPr>
                <w:sz w:val="17"/>
                <w:szCs w:val="17"/>
                <w:color w:val="auto"/>
              </w:rPr>
            </w:pPr>
          </w:p>
        </w:tc>
        <w:tc>
          <w:tcPr>
            <w:tcW w:w="40" w:type="dxa"/>
            <w:vAlign w:val="bottom"/>
            <w:shd w:val="clear" w:color="auto" w:fill="BDE1E9"/>
          </w:tcPr>
          <w:p>
            <w:pPr>
              <w:spacing w:after="0"/>
              <w:rPr>
                <w:sz w:val="17"/>
                <w:szCs w:val="17"/>
                <w:color w:val="auto"/>
              </w:rPr>
            </w:pPr>
          </w:p>
        </w:tc>
        <w:tc>
          <w:tcPr>
            <w:tcW w:w="1940" w:type="dxa"/>
            <w:vAlign w:val="bottom"/>
            <w:shd w:val="clear" w:color="auto" w:fill="BDE1E9"/>
          </w:tcPr>
          <w:p>
            <w:pPr>
              <w:spacing w:after="0"/>
              <w:rPr>
                <w:sz w:val="17"/>
                <w:szCs w:val="17"/>
                <w:color w:val="auto"/>
              </w:rPr>
            </w:pPr>
          </w:p>
        </w:tc>
        <w:tc>
          <w:tcPr>
            <w:tcW w:w="80" w:type="dxa"/>
            <w:vAlign w:val="bottom"/>
            <w:shd w:val="clear" w:color="auto" w:fill="BDE1E9"/>
          </w:tcPr>
          <w:p>
            <w:pPr>
              <w:spacing w:after="0"/>
              <w:rPr>
                <w:sz w:val="17"/>
                <w:szCs w:val="17"/>
                <w:color w:val="auto"/>
              </w:rPr>
            </w:pPr>
          </w:p>
        </w:tc>
        <w:tc>
          <w:tcPr>
            <w:tcW w:w="140" w:type="dxa"/>
            <w:vAlign w:val="bottom"/>
            <w:shd w:val="clear" w:color="auto" w:fill="BDE1E9"/>
          </w:tcPr>
          <w:p>
            <w:pPr>
              <w:spacing w:after="0"/>
              <w:rPr>
                <w:sz w:val="17"/>
                <w:szCs w:val="17"/>
                <w:color w:val="auto"/>
              </w:rPr>
            </w:pPr>
          </w:p>
        </w:tc>
        <w:tc>
          <w:tcPr>
            <w:tcW w:w="80" w:type="dxa"/>
            <w:vAlign w:val="bottom"/>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19.2</w:t>
            </w:r>
          </w:p>
        </w:tc>
        <w:tc>
          <w:tcPr>
            <w:tcW w:w="46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Reading International, Inc. Amended and Restated Supplemental</w:t>
            </w:r>
          </w:p>
        </w:tc>
        <w:tc>
          <w:tcPr>
            <w:tcW w:w="5320" w:type="dxa"/>
            <w:vAlign w:val="bottom"/>
            <w:gridSpan w:val="11"/>
          </w:tcPr>
          <w:p>
            <w:pPr>
              <w:ind w:left="60"/>
              <w:spacing w:after="0" w:line="162" w:lineRule="exact"/>
              <w:rPr>
                <w:rFonts w:ascii="Times New Roman" w:cs="Times New Roman" w:eastAsia="Times New Roman" w:hAnsi="Times New Roman"/>
                <w:sz w:val="16"/>
                <w:szCs w:val="16"/>
                <w:color w:val="auto"/>
              </w:rPr>
            </w:pPr>
            <w:hyperlink r:id="rId118">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19.2 to the Company’s Annual Report on Form 10-K/A</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Policy Concerning Trading in Company Securities by Designated</w:t>
            </w:r>
          </w:p>
        </w:tc>
        <w:tc>
          <w:tcPr>
            <w:tcW w:w="640" w:type="dxa"/>
            <w:vAlign w:val="bottom"/>
            <w:gridSpan w:val="3"/>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20" w:type="dxa"/>
            <w:vAlign w:val="bottom"/>
          </w:tcPr>
          <w:p>
            <w:pPr>
              <w:spacing w:after="0"/>
              <w:rPr>
                <w:sz w:val="16"/>
                <w:szCs w:val="16"/>
                <w:color w:val="auto"/>
              </w:rPr>
            </w:pPr>
          </w:p>
        </w:tc>
        <w:tc>
          <w:tcPr>
            <w:tcW w:w="46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5260" w:type="dxa"/>
            <w:vAlign w:val="bottom"/>
            <w:gridSpan w:val="10"/>
          </w:tcPr>
          <w:p>
            <w:pPr>
              <w:spacing w:after="0" w:line="183" w:lineRule="exact"/>
              <w:rPr>
                <w:rFonts w:ascii="Times New Roman" w:cs="Times New Roman" w:eastAsia="Times New Roman" w:hAnsi="Times New Roman"/>
                <w:sz w:val="16"/>
                <w:szCs w:val="16"/>
                <w:b w:val="1"/>
                <w:bCs w:val="1"/>
                <w:color w:val="0000FF"/>
              </w:rPr>
            </w:pPr>
            <w:hyperlink r:id="rId118">
              <w:r>
                <w:rPr>
                  <w:rFonts w:ascii="Times New Roman" w:cs="Times New Roman" w:eastAsia="Times New Roman" w:hAnsi="Times New Roman"/>
                  <w:sz w:val="16"/>
                  <w:szCs w:val="16"/>
                  <w:b w:val="1"/>
                  <w:bCs w:val="1"/>
                  <w:color w:val="0000FF"/>
                </w:rPr>
                <w:t>No.1 for the year ended December 31, 2024</w:t>
              </w:r>
              <w:r>
                <w:rPr>
                  <w:rFonts w:ascii="Times New Roman" w:cs="Times New Roman" w:eastAsia="Times New Roman" w:hAnsi="Times New Roman"/>
                  <w:sz w:val="17"/>
                  <w:szCs w:val="17"/>
                  <w:color w:val="000000"/>
                </w:rPr>
                <w:t>,</w:t>
              </w:r>
              <w:r>
                <w:rPr>
                  <w:rFonts w:ascii="Times New Roman" w:cs="Times New Roman" w:eastAsia="Times New Roman" w:hAnsi="Times New Roman"/>
                  <w:sz w:val="16"/>
                  <w:szCs w:val="16"/>
                  <w:b w:val="1"/>
                  <w:bCs w:val="1"/>
                  <w:color w:val="0000FF"/>
                </w:rPr>
                <w:t xml:space="preserve"> </w:t>
              </w:r>
              <w:r>
                <w:rPr>
                  <w:rFonts w:ascii="Times New Roman" w:cs="Times New Roman" w:eastAsia="Times New Roman" w:hAnsi="Times New Roman"/>
                  <w:sz w:val="16"/>
                  <w:szCs w:val="16"/>
                  <w:color w:val="000000"/>
                </w:rPr>
                <w:t>filed on April 21, 2025 and</w:t>
              </w:r>
            </w:hyperlink>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Persons</w:t>
            </w:r>
          </w:p>
        </w:tc>
        <w:tc>
          <w:tcPr>
            <w:tcW w:w="60" w:type="dxa"/>
            <w:vAlign w:val="bottom"/>
            <w:vMerge w:val="restart"/>
          </w:tcPr>
          <w:p>
            <w:pPr>
              <w:spacing w:after="0"/>
              <w:rPr>
                <w:sz w:val="15"/>
                <w:szCs w:val="15"/>
                <w:color w:val="auto"/>
              </w:rPr>
            </w:pPr>
          </w:p>
        </w:tc>
        <w:tc>
          <w:tcPr>
            <w:tcW w:w="2980" w:type="dxa"/>
            <w:vAlign w:val="bottom"/>
            <w:tcBorders>
              <w:top w:val="single" w:sz="8" w:color="0000FF"/>
            </w:tcBorders>
            <w:gridSpan w:val="5"/>
            <w:vMerge w:val="restart"/>
          </w:tcPr>
          <w:p>
            <w:pPr>
              <w:spacing w:after="0"/>
              <w:rPr>
                <w:sz w:val="20"/>
                <w:szCs w:val="20"/>
                <w:color w:val="auto"/>
              </w:rPr>
            </w:pPr>
            <w:r>
              <w:rPr>
                <w:rFonts w:ascii="Times New Roman" w:cs="Times New Roman" w:eastAsia="Times New Roman" w:hAnsi="Times New Roman"/>
                <w:sz w:val="16"/>
                <w:szCs w:val="16"/>
                <w:color w:val="auto"/>
              </w:rPr>
              <w:t>incorporated herein by reference.</w:t>
            </w:r>
          </w:p>
        </w:tc>
        <w:tc>
          <w:tcPr>
            <w:tcW w:w="2280" w:type="dxa"/>
            <w:vAlign w:val="bottom"/>
            <w:gridSpan w:val="5"/>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3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22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1320" w:type="dxa"/>
            <w:vAlign w:val="bottom"/>
            <w:shd w:val="clear" w:color="auto" w:fill="BDE1E9"/>
          </w:tcPr>
          <w:p>
            <w:pPr>
              <w:jc w:val="center"/>
              <w:spacing w:after="0" w:line="152" w:lineRule="exact"/>
              <w:rPr>
                <w:sz w:val="20"/>
                <w:szCs w:val="20"/>
                <w:color w:val="auto"/>
              </w:rPr>
            </w:pPr>
            <w:r>
              <w:rPr>
                <w:rFonts w:ascii="Times New Roman" w:cs="Times New Roman" w:eastAsia="Times New Roman" w:hAnsi="Times New Roman"/>
                <w:sz w:val="16"/>
                <w:szCs w:val="16"/>
                <w:color w:val="auto"/>
                <w:w w:val="99"/>
              </w:rPr>
              <w:t>21</w:t>
            </w:r>
          </w:p>
        </w:tc>
        <w:tc>
          <w:tcPr>
            <w:tcW w:w="4600" w:type="dxa"/>
            <w:vAlign w:val="bottom"/>
            <w:tcBorders>
              <w:left w:val="single" w:sz="8" w:color="BDE1E9"/>
            </w:tcBorders>
            <w:gridSpan w:val="3"/>
            <w:shd w:val="clear" w:color="auto" w:fill="BDE1E9"/>
          </w:tcPr>
          <w:p>
            <w:pPr>
              <w:spacing w:after="0" w:line="152" w:lineRule="exact"/>
              <w:rPr>
                <w:sz w:val="20"/>
                <w:szCs w:val="20"/>
                <w:color w:val="auto"/>
              </w:rPr>
            </w:pPr>
            <w:r>
              <w:rPr>
                <w:rFonts w:ascii="Times New Roman" w:cs="Times New Roman" w:eastAsia="Times New Roman" w:hAnsi="Times New Roman"/>
                <w:sz w:val="16"/>
                <w:szCs w:val="16"/>
                <w:color w:val="auto"/>
              </w:rPr>
              <w:t>List of Subsidiaries</w:t>
            </w:r>
          </w:p>
        </w:tc>
        <w:tc>
          <w:tcPr>
            <w:tcW w:w="5320" w:type="dxa"/>
            <w:vAlign w:val="bottom"/>
            <w:gridSpan w:val="11"/>
            <w:shd w:val="clear" w:color="auto" w:fill="BDE1E9"/>
          </w:tcPr>
          <w:p>
            <w:pPr>
              <w:ind w:left="60"/>
              <w:spacing w:after="0" w:line="152" w:lineRule="exact"/>
              <w:rPr>
                <w:rFonts w:ascii="Times New Roman" w:cs="Times New Roman" w:eastAsia="Times New Roman" w:hAnsi="Times New Roman"/>
                <w:sz w:val="16"/>
                <w:szCs w:val="16"/>
                <w:color w:val="auto"/>
              </w:rPr>
            </w:pPr>
            <w:hyperlink r:id="rId119">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21 to the Company’s Annual Report on Form 10-K for the</w:t>
              </w:r>
            </w:hyperlink>
          </w:p>
        </w:tc>
        <w:tc>
          <w:tcPr>
            <w:tcW w:w="0" w:type="dxa"/>
            <w:vAlign w:val="bottom"/>
          </w:tcPr>
          <w:p>
            <w:pPr>
              <w:spacing w:after="0"/>
              <w:rPr>
                <w:sz w:val="1"/>
                <w:szCs w:val="1"/>
                <w:color w:val="auto"/>
              </w:rPr>
            </w:pPr>
          </w:p>
        </w:tc>
      </w:tr>
      <w:tr>
        <w:trPr>
          <w:trHeight w:val="20"/>
        </w:trPr>
        <w:tc>
          <w:tcPr>
            <w:tcW w:w="1320" w:type="dxa"/>
            <w:vAlign w:val="bottom"/>
            <w:shd w:val="clear" w:color="auto" w:fill="BDE1E9"/>
          </w:tcPr>
          <w:p>
            <w:pPr>
              <w:spacing w:after="0" w:line="20" w:lineRule="exact"/>
              <w:rPr>
                <w:sz w:val="1"/>
                <w:szCs w:val="1"/>
                <w:color w:val="auto"/>
              </w:rPr>
            </w:pPr>
          </w:p>
        </w:tc>
        <w:tc>
          <w:tcPr>
            <w:tcW w:w="2100" w:type="dxa"/>
            <w:vAlign w:val="bottom"/>
            <w:tcBorders>
              <w:left w:val="single" w:sz="8" w:color="BDE1E9"/>
              <w:right w:val="single" w:sz="8" w:color="BDE1E9"/>
            </w:tcBorders>
            <w:shd w:val="clear" w:color="auto" w:fill="BDE1E9"/>
          </w:tcPr>
          <w:p>
            <w:pPr>
              <w:spacing w:after="0" w:line="20" w:lineRule="exact"/>
              <w:rPr>
                <w:sz w:val="1"/>
                <w:szCs w:val="1"/>
                <w:color w:val="auto"/>
              </w:rPr>
            </w:pPr>
          </w:p>
        </w:tc>
        <w:tc>
          <w:tcPr>
            <w:tcW w:w="2460" w:type="dxa"/>
            <w:vAlign w:val="bottom"/>
            <w:shd w:val="clear" w:color="auto" w:fill="BDE1E9"/>
          </w:tcPr>
          <w:p>
            <w:pPr>
              <w:spacing w:after="0" w:line="20" w:lineRule="exact"/>
              <w:rPr>
                <w:sz w:val="1"/>
                <w:szCs w:val="1"/>
                <w:color w:val="auto"/>
              </w:rPr>
            </w:pPr>
          </w:p>
        </w:tc>
        <w:tc>
          <w:tcPr>
            <w:tcW w:w="40" w:type="dxa"/>
            <w:vAlign w:val="bottom"/>
            <w:shd w:val="clear" w:color="auto" w:fill="BDE1E9"/>
          </w:tcPr>
          <w:p>
            <w:pPr>
              <w:spacing w:after="0" w:line="20" w:lineRule="exact"/>
              <w:rPr>
                <w:sz w:val="1"/>
                <w:szCs w:val="1"/>
                <w:color w:val="auto"/>
              </w:rPr>
            </w:pPr>
          </w:p>
        </w:tc>
        <w:tc>
          <w:tcPr>
            <w:tcW w:w="640" w:type="dxa"/>
            <w:vAlign w:val="bottom"/>
            <w:tcBorders>
              <w:right w:val="single" w:sz="8" w:color="BDE1E9"/>
            </w:tcBorders>
            <w:gridSpan w:val="3"/>
            <w:shd w:val="clear" w:color="auto" w:fill="BDE1E9"/>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vMerge w:val="restart"/>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shd w:val="clear" w:color="auto" w:fill="BDE1E9"/>
          </w:tcPr>
          <w:p>
            <w:pPr>
              <w:spacing w:after="0"/>
              <w:rPr>
                <w:sz w:val="14"/>
                <w:szCs w:val="14"/>
                <w:color w:val="auto"/>
              </w:rPr>
            </w:pPr>
          </w:p>
        </w:tc>
        <w:tc>
          <w:tcPr>
            <w:tcW w:w="2100" w:type="dxa"/>
            <w:vAlign w:val="bottom"/>
            <w:tcBorders>
              <w:left w:val="single" w:sz="8" w:color="BDE1E9"/>
              <w:right w:val="single" w:sz="8" w:color="BDE1E9"/>
            </w:tcBorders>
            <w:shd w:val="clear" w:color="auto" w:fill="BDE1E9"/>
          </w:tcPr>
          <w:p>
            <w:pPr>
              <w:spacing w:after="0"/>
              <w:rPr>
                <w:sz w:val="14"/>
                <w:szCs w:val="14"/>
                <w:color w:val="auto"/>
              </w:rPr>
            </w:pPr>
          </w:p>
        </w:tc>
        <w:tc>
          <w:tcPr>
            <w:tcW w:w="2460" w:type="dxa"/>
            <w:vAlign w:val="bottom"/>
            <w:shd w:val="clear" w:color="auto" w:fill="BDE1E9"/>
          </w:tcPr>
          <w:p>
            <w:pPr>
              <w:spacing w:after="0"/>
              <w:rPr>
                <w:sz w:val="14"/>
                <w:szCs w:val="14"/>
                <w:color w:val="auto"/>
              </w:rPr>
            </w:pPr>
          </w:p>
        </w:tc>
        <w:tc>
          <w:tcPr>
            <w:tcW w:w="40" w:type="dxa"/>
            <w:vAlign w:val="bottom"/>
            <w:shd w:val="clear" w:color="auto" w:fill="BDE1E9"/>
          </w:tcPr>
          <w:p>
            <w:pPr>
              <w:spacing w:after="0"/>
              <w:rPr>
                <w:sz w:val="14"/>
                <w:szCs w:val="14"/>
                <w:color w:val="auto"/>
              </w:rPr>
            </w:pPr>
          </w:p>
        </w:tc>
        <w:tc>
          <w:tcPr>
            <w:tcW w:w="60" w:type="dxa"/>
            <w:vAlign w:val="bottom"/>
            <w:shd w:val="clear" w:color="auto" w:fill="BDE1E9"/>
          </w:tcPr>
          <w:p>
            <w:pPr>
              <w:spacing w:after="0"/>
              <w:rPr>
                <w:sz w:val="14"/>
                <w:szCs w:val="14"/>
                <w:color w:val="auto"/>
              </w:rPr>
            </w:pPr>
          </w:p>
        </w:tc>
        <w:tc>
          <w:tcPr>
            <w:tcW w:w="5180" w:type="dxa"/>
            <w:vAlign w:val="bottom"/>
            <w:gridSpan w:val="9"/>
            <w:shd w:val="clear" w:color="auto" w:fill="BDE1E9"/>
          </w:tcPr>
          <w:p>
            <w:pPr>
              <w:spacing w:after="0" w:line="169" w:lineRule="exact"/>
              <w:rPr>
                <w:rFonts w:ascii="Times New Roman" w:cs="Times New Roman" w:eastAsia="Times New Roman" w:hAnsi="Times New Roman"/>
                <w:sz w:val="16"/>
                <w:szCs w:val="16"/>
                <w:b w:val="1"/>
                <w:bCs w:val="1"/>
                <w:color w:val="0000FF"/>
              </w:rPr>
            </w:pPr>
            <w:hyperlink r:id="rId119">
              <w:r>
                <w:rPr>
                  <w:rFonts w:ascii="Times New Roman" w:cs="Times New Roman" w:eastAsia="Times New Roman" w:hAnsi="Times New Roman"/>
                  <w:sz w:val="16"/>
                  <w:szCs w:val="16"/>
                  <w:b w:val="1"/>
                  <w:bCs w:val="1"/>
                  <w:color w:val="0000FF"/>
                </w:rPr>
                <w:t>year ended December 31, 2025</w:t>
              </w:r>
              <w:r>
                <w:rPr>
                  <w:rFonts w:ascii="Times New Roman" w:cs="Times New Roman" w:eastAsia="Times New Roman" w:hAnsi="Times New Roman"/>
                  <w:sz w:val="16"/>
                  <w:szCs w:val="16"/>
                  <w:color w:val="000000"/>
                </w:rPr>
                <w:t>, and incorporated herein by reference.</w:t>
              </w:r>
            </w:hyperlink>
          </w:p>
        </w:tc>
        <w:tc>
          <w:tcPr>
            <w:tcW w:w="80" w:type="dxa"/>
            <w:vAlign w:val="bottom"/>
            <w:vMerge w:val="continue"/>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BDE1E9"/>
            </w:tcBorders>
            <w:shd w:val="clear" w:color="auto" w:fill="BDE1E9"/>
          </w:tcPr>
          <w:p>
            <w:pPr>
              <w:spacing w:after="0" w:line="20" w:lineRule="exact"/>
              <w:rPr>
                <w:sz w:val="1"/>
                <w:szCs w:val="1"/>
                <w:color w:val="auto"/>
              </w:rPr>
            </w:pPr>
          </w:p>
        </w:tc>
        <w:tc>
          <w:tcPr>
            <w:tcW w:w="2100" w:type="dxa"/>
            <w:vAlign w:val="bottom"/>
            <w:tcBorders>
              <w:top w:val="single" w:sz="8" w:color="BDE1E9"/>
              <w:left w:val="single" w:sz="8" w:color="BDE1E9"/>
              <w:right w:val="single" w:sz="8" w:color="BDE1E9"/>
            </w:tcBorders>
            <w:shd w:val="clear" w:color="auto" w:fill="BDE1E9"/>
          </w:tcPr>
          <w:p>
            <w:pPr>
              <w:spacing w:after="0" w:line="20" w:lineRule="exact"/>
              <w:rPr>
                <w:sz w:val="1"/>
                <w:szCs w:val="1"/>
                <w:color w:val="auto"/>
              </w:rPr>
            </w:pPr>
          </w:p>
        </w:tc>
        <w:tc>
          <w:tcPr>
            <w:tcW w:w="2460" w:type="dxa"/>
            <w:vAlign w:val="bottom"/>
            <w:tcBorders>
              <w:top w:val="single" w:sz="8" w:color="BDE1E9"/>
            </w:tcBorders>
            <w:shd w:val="clear" w:color="auto" w:fill="BDE1E9"/>
          </w:tcPr>
          <w:p>
            <w:pPr>
              <w:spacing w:after="0" w:line="20" w:lineRule="exact"/>
              <w:rPr>
                <w:sz w:val="1"/>
                <w:szCs w:val="1"/>
                <w:color w:val="auto"/>
              </w:rPr>
            </w:pPr>
          </w:p>
        </w:tc>
        <w:tc>
          <w:tcPr>
            <w:tcW w:w="40" w:type="dxa"/>
            <w:vAlign w:val="bottom"/>
            <w:tcBorders>
              <w:top w:val="single" w:sz="8" w:color="BDE1E9"/>
            </w:tcBorders>
            <w:shd w:val="clear" w:color="auto" w:fill="BDE1E9"/>
          </w:tcPr>
          <w:p>
            <w:pPr>
              <w:spacing w:after="0" w:line="20" w:lineRule="exact"/>
              <w:rPr>
                <w:sz w:val="1"/>
                <w:szCs w:val="1"/>
                <w:color w:val="auto"/>
              </w:rPr>
            </w:pPr>
          </w:p>
        </w:tc>
        <w:tc>
          <w:tcPr>
            <w:tcW w:w="60" w:type="dxa"/>
            <w:vAlign w:val="bottom"/>
            <w:tcBorders>
              <w:top w:val="single" w:sz="8" w:color="BDE1E9"/>
            </w:tcBorders>
            <w:shd w:val="clear" w:color="auto" w:fill="BDE1E9"/>
          </w:tcPr>
          <w:p>
            <w:pPr>
              <w:spacing w:after="0" w:line="20" w:lineRule="exact"/>
              <w:rPr>
                <w:sz w:val="1"/>
                <w:szCs w:val="1"/>
                <w:color w:val="auto"/>
              </w:rPr>
            </w:pPr>
          </w:p>
        </w:tc>
        <w:tc>
          <w:tcPr>
            <w:tcW w:w="380" w:type="dxa"/>
            <w:vAlign w:val="bottom"/>
            <w:tcBorders>
              <w:top w:val="single" w:sz="8" w:color="0000FF"/>
            </w:tcBorders>
            <w:shd w:val="clear" w:color="auto" w:fill="BDE1E9"/>
          </w:tcPr>
          <w:p>
            <w:pPr>
              <w:spacing w:after="0" w:line="20" w:lineRule="exact"/>
              <w:rPr>
                <w:sz w:val="1"/>
                <w:szCs w:val="1"/>
                <w:color w:val="auto"/>
              </w:rPr>
            </w:pPr>
          </w:p>
        </w:tc>
        <w:tc>
          <w:tcPr>
            <w:tcW w:w="200" w:type="dxa"/>
            <w:vAlign w:val="bottom"/>
            <w:tcBorders>
              <w:top w:val="single" w:sz="8" w:color="0000FF"/>
              <w:right w:val="single" w:sz="8" w:color="BDE1E9"/>
            </w:tcBorders>
            <w:shd w:val="clear" w:color="auto" w:fill="BDE1E9"/>
          </w:tcPr>
          <w:p>
            <w:pPr>
              <w:spacing w:after="0" w:line="20" w:lineRule="exact"/>
              <w:rPr>
                <w:sz w:val="1"/>
                <w:szCs w:val="1"/>
                <w:color w:val="auto"/>
              </w:rPr>
            </w:pPr>
          </w:p>
        </w:tc>
        <w:tc>
          <w:tcPr>
            <w:tcW w:w="1540" w:type="dxa"/>
            <w:vAlign w:val="bottom"/>
            <w:tcBorders>
              <w:top w:val="single" w:sz="8" w:color="0000FF"/>
            </w:tcBorders>
            <w:shd w:val="clear" w:color="auto" w:fill="BDE1E9"/>
          </w:tcPr>
          <w:p>
            <w:pPr>
              <w:spacing w:after="0" w:line="20" w:lineRule="exact"/>
              <w:rPr>
                <w:sz w:val="1"/>
                <w:szCs w:val="1"/>
                <w:color w:val="auto"/>
              </w:rPr>
            </w:pPr>
          </w:p>
        </w:tc>
        <w:tc>
          <w:tcPr>
            <w:tcW w:w="260" w:type="dxa"/>
            <w:vAlign w:val="bottom"/>
            <w:tcBorders>
              <w:top w:val="single" w:sz="8" w:color="BDE1E9"/>
            </w:tcBorders>
            <w:shd w:val="clear" w:color="auto" w:fill="BDE1E9"/>
          </w:tcPr>
          <w:p>
            <w:pPr>
              <w:spacing w:after="0" w:line="20" w:lineRule="exact"/>
              <w:rPr>
                <w:sz w:val="1"/>
                <w:szCs w:val="1"/>
                <w:color w:val="auto"/>
              </w:rPr>
            </w:pPr>
          </w:p>
        </w:tc>
        <w:tc>
          <w:tcPr>
            <w:tcW w:w="600" w:type="dxa"/>
            <w:vAlign w:val="bottom"/>
            <w:tcBorders>
              <w:top w:val="single" w:sz="8" w:color="BDE1E9"/>
            </w:tcBorders>
            <w:shd w:val="clear" w:color="auto" w:fill="BDE1E9"/>
          </w:tcPr>
          <w:p>
            <w:pPr>
              <w:spacing w:after="0" w:line="20" w:lineRule="exact"/>
              <w:rPr>
                <w:sz w:val="1"/>
                <w:szCs w:val="1"/>
                <w:color w:val="auto"/>
              </w:rPr>
            </w:pPr>
          </w:p>
        </w:tc>
        <w:tc>
          <w:tcPr>
            <w:tcW w:w="40" w:type="dxa"/>
            <w:vAlign w:val="bottom"/>
            <w:tcBorders>
              <w:top w:val="single" w:sz="8" w:color="BDE1E9"/>
            </w:tcBorders>
            <w:shd w:val="clear" w:color="auto" w:fill="BDE1E9"/>
          </w:tcPr>
          <w:p>
            <w:pPr>
              <w:spacing w:after="0" w:line="20" w:lineRule="exact"/>
              <w:rPr>
                <w:sz w:val="1"/>
                <w:szCs w:val="1"/>
                <w:color w:val="auto"/>
              </w:rPr>
            </w:pPr>
          </w:p>
        </w:tc>
        <w:tc>
          <w:tcPr>
            <w:tcW w:w="1940" w:type="dxa"/>
            <w:vAlign w:val="bottom"/>
            <w:tcBorders>
              <w:top w:val="single" w:sz="8" w:color="BDE1E9"/>
            </w:tcBorders>
            <w:shd w:val="clear" w:color="auto" w:fill="BDE1E9"/>
          </w:tcPr>
          <w:p>
            <w:pPr>
              <w:spacing w:after="0" w:line="20" w:lineRule="exact"/>
              <w:rPr>
                <w:sz w:val="1"/>
                <w:szCs w:val="1"/>
                <w:color w:val="auto"/>
              </w:rPr>
            </w:pPr>
          </w:p>
        </w:tc>
        <w:tc>
          <w:tcPr>
            <w:tcW w:w="80" w:type="dxa"/>
            <w:vAlign w:val="bottom"/>
            <w:tcBorders>
              <w:top w:val="single" w:sz="8" w:color="BDE1E9"/>
            </w:tcBorders>
            <w:shd w:val="clear" w:color="auto" w:fill="BDE1E9"/>
          </w:tcPr>
          <w:p>
            <w:pPr>
              <w:spacing w:after="0" w:line="20" w:lineRule="exact"/>
              <w:rPr>
                <w:sz w:val="1"/>
                <w:szCs w:val="1"/>
                <w:color w:val="auto"/>
              </w:rPr>
            </w:pPr>
          </w:p>
        </w:tc>
        <w:tc>
          <w:tcPr>
            <w:tcW w:w="140" w:type="dxa"/>
            <w:vAlign w:val="bottom"/>
            <w:tcBorders>
              <w:top w:val="single" w:sz="8" w:color="BDE1E9"/>
            </w:tcBorders>
            <w:shd w:val="clear" w:color="auto" w:fill="BDE1E9"/>
          </w:tcPr>
          <w:p>
            <w:pPr>
              <w:spacing w:after="0" w:line="20" w:lineRule="exact"/>
              <w:rPr>
                <w:sz w:val="1"/>
                <w:szCs w:val="1"/>
                <w:color w:val="auto"/>
              </w:rPr>
            </w:pPr>
          </w:p>
        </w:tc>
        <w:tc>
          <w:tcPr>
            <w:tcW w:w="80" w:type="dxa"/>
            <w:vAlign w:val="bottom"/>
            <w:tcBorders>
              <w:top w:val="single" w:sz="8" w:color="BDE1E9"/>
            </w:tcBorders>
            <w:shd w:val="clear" w:color="auto" w:fill="BDE1E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23.1</w:t>
            </w:r>
          </w:p>
        </w:tc>
        <w:tc>
          <w:tcPr>
            <w:tcW w:w="46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auto"/>
              </w:rPr>
              <w:t>Consent of Independent Registered Public Accounting Firm, Grant</w:t>
            </w:r>
          </w:p>
        </w:tc>
        <w:tc>
          <w:tcPr>
            <w:tcW w:w="60" w:type="dxa"/>
            <w:vAlign w:val="bottom"/>
          </w:tcPr>
          <w:p>
            <w:pPr>
              <w:spacing w:after="0"/>
              <w:rPr>
                <w:sz w:val="12"/>
                <w:szCs w:val="12"/>
                <w:color w:val="auto"/>
              </w:rPr>
            </w:pPr>
          </w:p>
        </w:tc>
        <w:tc>
          <w:tcPr>
            <w:tcW w:w="5260" w:type="dxa"/>
            <w:vAlign w:val="bottom"/>
            <w:gridSpan w:val="10"/>
          </w:tcPr>
          <w:p>
            <w:pPr>
              <w:spacing w:after="0" w:line="148" w:lineRule="exact"/>
              <w:rPr>
                <w:rFonts w:ascii="Times New Roman" w:cs="Times New Roman" w:eastAsia="Times New Roman" w:hAnsi="Times New Roman"/>
                <w:sz w:val="16"/>
                <w:szCs w:val="16"/>
                <w:color w:val="auto"/>
              </w:rPr>
            </w:pPr>
            <w:hyperlink r:id="rId120">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23.1 to the Company’s Annual Report on Form 10-K for</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46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auto"/>
              </w:rPr>
              <w:t>Thornton LLP</w:t>
            </w:r>
          </w:p>
        </w:tc>
        <w:tc>
          <w:tcPr>
            <w:tcW w:w="640" w:type="dxa"/>
            <w:vAlign w:val="bottom"/>
            <w:gridSpan w:val="3"/>
          </w:tcPr>
          <w:p>
            <w:pPr>
              <w:ind w:left="60"/>
              <w:spacing w:after="0" w:line="169" w:lineRule="exact"/>
              <w:rPr>
                <w:rFonts w:ascii="Times New Roman" w:cs="Times New Roman" w:eastAsia="Times New Roman" w:hAnsi="Times New Roman"/>
                <w:sz w:val="16"/>
                <w:szCs w:val="16"/>
                <w:b w:val="1"/>
                <w:bCs w:val="1"/>
                <w:color w:val="0000FF"/>
                <w:w w:val="97"/>
              </w:rPr>
            </w:pPr>
            <w:hyperlink r:id="rId120">
              <w:r>
                <w:rPr>
                  <w:rFonts w:ascii="Times New Roman" w:cs="Times New Roman" w:eastAsia="Times New Roman" w:hAnsi="Times New Roman"/>
                  <w:sz w:val="16"/>
                  <w:szCs w:val="16"/>
                  <w:b w:val="1"/>
                  <w:bCs w:val="1"/>
                  <w:color w:val="0000FF"/>
                  <w:w w:val="97"/>
                </w:rPr>
                <w:t>the year</w:t>
              </w:r>
            </w:hyperlink>
          </w:p>
        </w:tc>
        <w:tc>
          <w:tcPr>
            <w:tcW w:w="4460" w:type="dxa"/>
            <w:vAlign w:val="bottom"/>
            <w:tcBorders>
              <w:top w:val="single" w:sz="8" w:color="0000FF"/>
            </w:tcBorders>
            <w:gridSpan w:val="6"/>
          </w:tcPr>
          <w:p>
            <w:pPr>
              <w:ind w:left="40"/>
              <w:spacing w:after="0" w:line="169" w:lineRule="exact"/>
              <w:rPr>
                <w:rFonts w:ascii="Times New Roman" w:cs="Times New Roman" w:eastAsia="Times New Roman" w:hAnsi="Times New Roman"/>
                <w:sz w:val="16"/>
                <w:szCs w:val="16"/>
                <w:b w:val="1"/>
                <w:bCs w:val="1"/>
                <w:color w:val="0000FF"/>
              </w:rPr>
            </w:pPr>
            <w:hyperlink r:id="rId120">
              <w:r>
                <w:rPr>
                  <w:rFonts w:ascii="Times New Roman" w:cs="Times New Roman" w:eastAsia="Times New Roman" w:hAnsi="Times New Roman"/>
                  <w:sz w:val="16"/>
                  <w:szCs w:val="16"/>
                  <w:b w:val="1"/>
                  <w:bCs w:val="1"/>
                  <w:color w:val="0000FF"/>
                </w:rPr>
                <w:t>ended December 31, 2025</w:t>
              </w:r>
              <w:r>
                <w:rPr>
                  <w:rFonts w:ascii="Times New Roman" w:cs="Times New Roman" w:eastAsia="Times New Roman" w:hAnsi="Times New Roman"/>
                  <w:sz w:val="16"/>
                  <w:szCs w:val="16"/>
                  <w:color w:val="000000"/>
                </w:rPr>
                <w:t>, and incorporated herein by reference.</w:t>
              </w:r>
            </w:hyperlink>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20" w:type="dxa"/>
            <w:vAlign w:val="bottom"/>
            <w:shd w:val="clear" w:color="auto" w:fill="BDE1E9"/>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31.1</w:t>
            </w:r>
          </w:p>
        </w:tc>
        <w:tc>
          <w:tcPr>
            <w:tcW w:w="4600" w:type="dxa"/>
            <w:vAlign w:val="bottom"/>
            <w:tcBorders>
              <w:left w:val="single" w:sz="8" w:color="BDE1E9"/>
            </w:tcBorders>
            <w:gridSpan w:val="3"/>
            <w:shd w:val="clear" w:color="auto" w:fill="BDE1E9"/>
          </w:tcPr>
          <w:p>
            <w:pPr>
              <w:spacing w:after="0" w:line="148" w:lineRule="exact"/>
              <w:rPr>
                <w:sz w:val="20"/>
                <w:szCs w:val="20"/>
                <w:color w:val="auto"/>
              </w:rPr>
            </w:pPr>
            <w:r>
              <w:rPr>
                <w:rFonts w:ascii="Times New Roman" w:cs="Times New Roman" w:eastAsia="Times New Roman" w:hAnsi="Times New Roman"/>
                <w:sz w:val="16"/>
                <w:szCs w:val="16"/>
                <w:color w:val="auto"/>
              </w:rPr>
              <w:t>Certification of Principal Executive Officer pursuant to Section 302 of</w:t>
            </w:r>
          </w:p>
        </w:tc>
        <w:tc>
          <w:tcPr>
            <w:tcW w:w="5320" w:type="dxa"/>
            <w:vAlign w:val="bottom"/>
            <w:gridSpan w:val="11"/>
            <w:shd w:val="clear" w:color="auto" w:fill="BDE1E9"/>
          </w:tcPr>
          <w:p>
            <w:pPr>
              <w:ind w:left="60"/>
              <w:spacing w:after="0" w:line="148" w:lineRule="exact"/>
              <w:rPr>
                <w:rFonts w:ascii="Times New Roman" w:cs="Times New Roman" w:eastAsia="Times New Roman" w:hAnsi="Times New Roman"/>
                <w:sz w:val="16"/>
                <w:szCs w:val="16"/>
                <w:color w:val="auto"/>
              </w:rPr>
            </w:pPr>
            <w:hyperlink r:id="rId121">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31.1 to the Company’s Annual Report on Form 10-K for</w:t>
              </w:r>
            </w:hyperlink>
          </w:p>
        </w:tc>
        <w:tc>
          <w:tcPr>
            <w:tcW w:w="0" w:type="dxa"/>
            <w:vAlign w:val="bottom"/>
          </w:tcPr>
          <w:p>
            <w:pPr>
              <w:spacing w:after="0"/>
              <w:rPr>
                <w:sz w:val="1"/>
                <w:szCs w:val="1"/>
                <w:color w:val="auto"/>
              </w:rPr>
            </w:pPr>
          </w:p>
        </w:tc>
      </w:tr>
      <w:tr>
        <w:trPr>
          <w:trHeight w:val="169"/>
        </w:trPr>
        <w:tc>
          <w:tcPr>
            <w:tcW w:w="1320" w:type="dxa"/>
            <w:vAlign w:val="bottom"/>
            <w:tcBorders>
              <w:top w:val="single" w:sz="8" w:color="BDE1E9"/>
            </w:tcBorders>
            <w:shd w:val="clear" w:color="auto" w:fill="BDE1E9"/>
          </w:tcPr>
          <w:p>
            <w:pPr>
              <w:spacing w:after="0"/>
              <w:rPr>
                <w:sz w:val="14"/>
                <w:szCs w:val="14"/>
                <w:color w:val="auto"/>
              </w:rPr>
            </w:pPr>
          </w:p>
        </w:tc>
        <w:tc>
          <w:tcPr>
            <w:tcW w:w="4600" w:type="dxa"/>
            <w:vAlign w:val="bottom"/>
            <w:tcBorders>
              <w:top w:val="single" w:sz="8" w:color="BDE1E9"/>
              <w:left w:val="single" w:sz="8" w:color="BDE1E9"/>
            </w:tcBorders>
            <w:gridSpan w:val="3"/>
            <w:shd w:val="clear" w:color="auto" w:fill="BDE1E9"/>
          </w:tcPr>
          <w:p>
            <w:pPr>
              <w:spacing w:after="0" w:line="169" w:lineRule="exact"/>
              <w:rPr>
                <w:sz w:val="20"/>
                <w:szCs w:val="20"/>
                <w:color w:val="auto"/>
              </w:rPr>
            </w:pPr>
            <w:r>
              <w:rPr>
                <w:rFonts w:ascii="Times New Roman" w:cs="Times New Roman" w:eastAsia="Times New Roman" w:hAnsi="Times New Roman"/>
                <w:sz w:val="16"/>
                <w:szCs w:val="16"/>
                <w:color w:val="auto"/>
              </w:rPr>
              <w:t>the Sarbanes-Oxley Act of 2002</w:t>
            </w:r>
          </w:p>
        </w:tc>
        <w:tc>
          <w:tcPr>
            <w:tcW w:w="640" w:type="dxa"/>
            <w:vAlign w:val="bottom"/>
            <w:tcBorders>
              <w:top w:val="single" w:sz="8" w:color="BDE1E9"/>
              <w:right w:val="single" w:sz="8" w:color="BDE1E9"/>
            </w:tcBorders>
            <w:gridSpan w:val="3"/>
            <w:shd w:val="clear" w:color="auto" w:fill="BDE1E9"/>
          </w:tcPr>
          <w:p>
            <w:pPr>
              <w:ind w:left="60"/>
              <w:spacing w:after="0" w:line="169" w:lineRule="exact"/>
              <w:rPr>
                <w:rFonts w:ascii="Times New Roman" w:cs="Times New Roman" w:eastAsia="Times New Roman" w:hAnsi="Times New Roman"/>
                <w:sz w:val="16"/>
                <w:szCs w:val="16"/>
                <w:b w:val="1"/>
                <w:bCs w:val="1"/>
                <w:color w:val="0000FF"/>
                <w:w w:val="97"/>
              </w:rPr>
            </w:pPr>
            <w:hyperlink r:id="rId121">
              <w:r>
                <w:rPr>
                  <w:rFonts w:ascii="Times New Roman" w:cs="Times New Roman" w:eastAsia="Times New Roman" w:hAnsi="Times New Roman"/>
                  <w:sz w:val="16"/>
                  <w:szCs w:val="16"/>
                  <w:b w:val="1"/>
                  <w:bCs w:val="1"/>
                  <w:color w:val="0000FF"/>
                  <w:w w:val="97"/>
                </w:rPr>
                <w:t>the year</w:t>
              </w:r>
            </w:hyperlink>
          </w:p>
        </w:tc>
        <w:tc>
          <w:tcPr>
            <w:tcW w:w="4460" w:type="dxa"/>
            <w:vAlign w:val="bottom"/>
            <w:tcBorders>
              <w:top w:val="single" w:sz="8" w:color="0000FF"/>
            </w:tcBorders>
            <w:gridSpan w:val="6"/>
            <w:shd w:val="clear" w:color="auto" w:fill="BDE1E9"/>
          </w:tcPr>
          <w:p>
            <w:pPr>
              <w:ind w:left="40"/>
              <w:spacing w:after="0" w:line="169" w:lineRule="exact"/>
              <w:rPr>
                <w:rFonts w:ascii="Times New Roman" w:cs="Times New Roman" w:eastAsia="Times New Roman" w:hAnsi="Times New Roman"/>
                <w:sz w:val="16"/>
                <w:szCs w:val="16"/>
                <w:b w:val="1"/>
                <w:bCs w:val="1"/>
                <w:color w:val="0000FF"/>
                <w:w w:val="97"/>
              </w:rPr>
            </w:pPr>
            <w:hyperlink r:id="rId121">
              <w:r>
                <w:rPr>
                  <w:rFonts w:ascii="Times New Roman" w:cs="Times New Roman" w:eastAsia="Times New Roman" w:hAnsi="Times New Roman"/>
                  <w:sz w:val="16"/>
                  <w:szCs w:val="16"/>
                  <w:b w:val="1"/>
                  <w:bCs w:val="1"/>
                  <w:color w:val="0000FF"/>
                  <w:w w:val="97"/>
                </w:rPr>
                <w:t>ended December 31, 2025</w:t>
              </w:r>
              <w:r>
                <w:rPr>
                  <w:rFonts w:ascii="Times New Roman" w:cs="Times New Roman" w:eastAsia="Times New Roman" w:hAnsi="Times New Roman"/>
                  <w:sz w:val="16"/>
                  <w:szCs w:val="16"/>
                  <w:color w:val="000000"/>
                  <w:w w:val="97"/>
                </w:rPr>
                <w:t>, filed on March 31, 2026, and incorporated</w:t>
              </w:r>
            </w:hyperlink>
          </w:p>
        </w:tc>
        <w:tc>
          <w:tcPr>
            <w:tcW w:w="220" w:type="dxa"/>
            <w:vAlign w:val="bottom"/>
            <w:tcBorders>
              <w:top w:val="single" w:sz="8" w:color="BDE1E9"/>
            </w:tcBorders>
            <w:gridSpan w:val="2"/>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BDE1E9"/>
            </w:tcBorders>
            <w:shd w:val="clear" w:color="auto" w:fill="BDE1E9"/>
          </w:tcPr>
          <w:p>
            <w:pPr>
              <w:spacing w:after="0"/>
              <w:rPr>
                <w:sz w:val="17"/>
                <w:szCs w:val="17"/>
                <w:color w:val="auto"/>
              </w:rPr>
            </w:pPr>
          </w:p>
        </w:tc>
        <w:tc>
          <w:tcPr>
            <w:tcW w:w="2100" w:type="dxa"/>
            <w:vAlign w:val="bottom"/>
            <w:tcBorders>
              <w:top w:val="single" w:sz="8" w:color="BDE1E9"/>
              <w:left w:val="single" w:sz="8" w:color="BDE1E9"/>
              <w:right w:val="single" w:sz="8" w:color="BDE1E9"/>
            </w:tcBorders>
            <w:shd w:val="clear" w:color="auto" w:fill="BDE1E9"/>
          </w:tcPr>
          <w:p>
            <w:pPr>
              <w:spacing w:after="0"/>
              <w:rPr>
                <w:sz w:val="17"/>
                <w:szCs w:val="17"/>
                <w:color w:val="auto"/>
              </w:rPr>
            </w:pPr>
          </w:p>
        </w:tc>
        <w:tc>
          <w:tcPr>
            <w:tcW w:w="2460" w:type="dxa"/>
            <w:vAlign w:val="bottom"/>
            <w:tcBorders>
              <w:top w:val="single" w:sz="8" w:color="BDE1E9"/>
            </w:tcBorders>
            <w:shd w:val="clear" w:color="auto" w:fill="BDE1E9"/>
          </w:tcPr>
          <w:p>
            <w:pPr>
              <w:spacing w:after="0"/>
              <w:rPr>
                <w:sz w:val="17"/>
                <w:szCs w:val="17"/>
                <w:color w:val="auto"/>
              </w:rPr>
            </w:pPr>
          </w:p>
        </w:tc>
        <w:tc>
          <w:tcPr>
            <w:tcW w:w="40" w:type="dxa"/>
            <w:vAlign w:val="bottom"/>
            <w:tcBorders>
              <w:top w:val="single" w:sz="8" w:color="BDE1E9"/>
            </w:tcBorders>
            <w:shd w:val="clear" w:color="auto" w:fill="BDE1E9"/>
          </w:tcPr>
          <w:p>
            <w:pPr>
              <w:spacing w:after="0"/>
              <w:rPr>
                <w:sz w:val="17"/>
                <w:szCs w:val="17"/>
                <w:color w:val="auto"/>
              </w:rPr>
            </w:pPr>
          </w:p>
        </w:tc>
        <w:tc>
          <w:tcPr>
            <w:tcW w:w="60" w:type="dxa"/>
            <w:vAlign w:val="bottom"/>
            <w:tcBorders>
              <w:top w:val="single" w:sz="8" w:color="BDE1E9"/>
            </w:tcBorders>
            <w:shd w:val="clear" w:color="auto" w:fill="BDE1E9"/>
          </w:tcPr>
          <w:p>
            <w:pPr>
              <w:spacing w:after="0"/>
              <w:rPr>
                <w:sz w:val="17"/>
                <w:szCs w:val="17"/>
                <w:color w:val="auto"/>
              </w:rPr>
            </w:pPr>
          </w:p>
        </w:tc>
        <w:tc>
          <w:tcPr>
            <w:tcW w:w="2380" w:type="dxa"/>
            <w:vAlign w:val="bottom"/>
            <w:tcBorders>
              <w:top w:val="single" w:sz="8" w:color="0000FF"/>
            </w:tcBorders>
            <w:gridSpan w:val="4"/>
            <w:shd w:val="clear" w:color="auto" w:fill="BDE1E9"/>
          </w:tcPr>
          <w:p>
            <w:pPr>
              <w:spacing w:after="0"/>
              <w:rPr>
                <w:sz w:val="20"/>
                <w:szCs w:val="20"/>
                <w:color w:val="auto"/>
              </w:rPr>
            </w:pPr>
            <w:r>
              <w:rPr>
                <w:rFonts w:ascii="Times New Roman" w:cs="Times New Roman" w:eastAsia="Times New Roman" w:hAnsi="Times New Roman"/>
                <w:sz w:val="16"/>
                <w:szCs w:val="16"/>
                <w:color w:val="auto"/>
              </w:rPr>
              <w:t>by reference herein</w:t>
            </w:r>
          </w:p>
        </w:tc>
        <w:tc>
          <w:tcPr>
            <w:tcW w:w="600" w:type="dxa"/>
            <w:vAlign w:val="bottom"/>
            <w:tcBorders>
              <w:top w:val="single" w:sz="8" w:color="BDE1E9"/>
            </w:tcBorders>
            <w:shd w:val="clear" w:color="auto" w:fill="BDE1E9"/>
          </w:tcPr>
          <w:p>
            <w:pPr>
              <w:spacing w:after="0"/>
              <w:rPr>
                <w:sz w:val="17"/>
                <w:szCs w:val="17"/>
                <w:color w:val="auto"/>
              </w:rPr>
            </w:pPr>
          </w:p>
        </w:tc>
        <w:tc>
          <w:tcPr>
            <w:tcW w:w="2280" w:type="dxa"/>
            <w:vAlign w:val="bottom"/>
            <w:tcBorders>
              <w:top w:val="single" w:sz="8" w:color="BDE1E9"/>
            </w:tcBorders>
            <w:gridSpan w:val="5"/>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31.2</w:t>
            </w:r>
          </w:p>
        </w:tc>
        <w:tc>
          <w:tcPr>
            <w:tcW w:w="46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Section 302 of</w:t>
            </w:r>
          </w:p>
        </w:tc>
        <w:tc>
          <w:tcPr>
            <w:tcW w:w="5320" w:type="dxa"/>
            <w:vAlign w:val="bottom"/>
            <w:gridSpan w:val="11"/>
          </w:tcPr>
          <w:p>
            <w:pPr>
              <w:ind w:left="60"/>
              <w:spacing w:after="0" w:line="148" w:lineRule="exact"/>
              <w:rPr>
                <w:rFonts w:ascii="Times New Roman" w:cs="Times New Roman" w:eastAsia="Times New Roman" w:hAnsi="Times New Roman"/>
                <w:sz w:val="16"/>
                <w:szCs w:val="16"/>
                <w:color w:val="auto"/>
              </w:rPr>
            </w:pPr>
            <w:hyperlink r:id="rId12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31.2 to the Company’s Annual Report on Form 10-K for</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46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auto"/>
              </w:rPr>
              <w:t>the Sarbanes-Oxley Act of 2002</w:t>
            </w:r>
          </w:p>
        </w:tc>
        <w:tc>
          <w:tcPr>
            <w:tcW w:w="640" w:type="dxa"/>
            <w:vAlign w:val="bottom"/>
            <w:gridSpan w:val="3"/>
          </w:tcPr>
          <w:p>
            <w:pPr>
              <w:ind w:left="60"/>
              <w:spacing w:after="0" w:line="169" w:lineRule="exact"/>
              <w:rPr>
                <w:rFonts w:ascii="Times New Roman" w:cs="Times New Roman" w:eastAsia="Times New Roman" w:hAnsi="Times New Roman"/>
                <w:sz w:val="16"/>
                <w:szCs w:val="16"/>
                <w:b w:val="1"/>
                <w:bCs w:val="1"/>
                <w:color w:val="0000FF"/>
                <w:w w:val="97"/>
              </w:rPr>
            </w:pPr>
            <w:hyperlink r:id="rId122">
              <w:r>
                <w:rPr>
                  <w:rFonts w:ascii="Times New Roman" w:cs="Times New Roman" w:eastAsia="Times New Roman" w:hAnsi="Times New Roman"/>
                  <w:sz w:val="16"/>
                  <w:szCs w:val="16"/>
                  <w:b w:val="1"/>
                  <w:bCs w:val="1"/>
                  <w:color w:val="0000FF"/>
                  <w:w w:val="97"/>
                </w:rPr>
                <w:t>the year</w:t>
              </w:r>
            </w:hyperlink>
          </w:p>
        </w:tc>
        <w:tc>
          <w:tcPr>
            <w:tcW w:w="4460" w:type="dxa"/>
            <w:vAlign w:val="bottom"/>
            <w:tcBorders>
              <w:top w:val="single" w:sz="8" w:color="0000FF"/>
            </w:tcBorders>
            <w:gridSpan w:val="6"/>
          </w:tcPr>
          <w:p>
            <w:pPr>
              <w:ind w:left="40"/>
              <w:spacing w:after="0" w:line="169" w:lineRule="exact"/>
              <w:rPr>
                <w:rFonts w:ascii="Times New Roman" w:cs="Times New Roman" w:eastAsia="Times New Roman" w:hAnsi="Times New Roman"/>
                <w:sz w:val="16"/>
                <w:szCs w:val="16"/>
                <w:b w:val="1"/>
                <w:bCs w:val="1"/>
                <w:color w:val="0000FF"/>
                <w:w w:val="97"/>
              </w:rPr>
            </w:pPr>
            <w:hyperlink r:id="rId122">
              <w:r>
                <w:rPr>
                  <w:rFonts w:ascii="Times New Roman" w:cs="Times New Roman" w:eastAsia="Times New Roman" w:hAnsi="Times New Roman"/>
                  <w:sz w:val="16"/>
                  <w:szCs w:val="16"/>
                  <w:b w:val="1"/>
                  <w:bCs w:val="1"/>
                  <w:color w:val="0000FF"/>
                  <w:w w:val="97"/>
                </w:rPr>
                <w:t>ended December 31, 2025</w:t>
              </w:r>
              <w:r>
                <w:rPr>
                  <w:rFonts w:ascii="Times New Roman" w:cs="Times New Roman" w:eastAsia="Times New Roman" w:hAnsi="Times New Roman"/>
                  <w:sz w:val="16"/>
                  <w:szCs w:val="16"/>
                  <w:color w:val="000000"/>
                  <w:w w:val="97"/>
                </w:rPr>
                <w:t>, filed on March 31, 2026, and incorporated</w:t>
              </w:r>
            </w:hyperlink>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6"/>
                <w:szCs w:val="16"/>
                <w:color w:val="auto"/>
              </w:rPr>
              <w:t>by reference herein</w:t>
            </w:r>
          </w:p>
        </w:tc>
        <w:tc>
          <w:tcPr>
            <w:tcW w:w="600" w:type="dxa"/>
            <w:vAlign w:val="bottom"/>
          </w:tcPr>
          <w:p>
            <w:pPr>
              <w:spacing w:after="0"/>
              <w:rPr>
                <w:sz w:val="14"/>
                <w:szCs w:val="14"/>
                <w:color w:val="auto"/>
              </w:rPr>
            </w:pPr>
          </w:p>
        </w:tc>
        <w:tc>
          <w:tcPr>
            <w:tcW w:w="22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31.3+</w:t>
            </w:r>
          </w:p>
        </w:tc>
        <w:tc>
          <w:tcPr>
            <w:tcW w:w="4600" w:type="dxa"/>
            <w:vAlign w:val="bottom"/>
            <w:gridSpan w:val="3"/>
          </w:tcPr>
          <w:p>
            <w:pPr>
              <w:spacing w:after="0" w:line="176"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w:t>
            </w:r>
          </w:p>
        </w:tc>
        <w:tc>
          <w:tcPr>
            <w:tcW w:w="5320" w:type="dxa"/>
            <w:vAlign w:val="bottom"/>
            <w:gridSpan w:val="11"/>
          </w:tcPr>
          <w:p>
            <w:pPr>
              <w:ind w:left="60"/>
              <w:spacing w:after="0" w:line="176"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9"/>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31.4+</w:t>
            </w:r>
          </w:p>
        </w:tc>
        <w:tc>
          <w:tcPr>
            <w:tcW w:w="460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5320" w:type="dxa"/>
            <w:vAlign w:val="bottom"/>
            <w:gridSpan w:val="11"/>
            <w:vMerge w:val="restart"/>
          </w:tcPr>
          <w:p>
            <w:pPr>
              <w:ind w:left="6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2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vMerge w:val="continue"/>
          </w:tcPr>
          <w:p>
            <w:pPr>
              <w:spacing w:after="0"/>
              <w:rPr>
                <w:sz w:val="14"/>
                <w:szCs w:val="14"/>
                <w:color w:val="auto"/>
              </w:rPr>
            </w:pPr>
          </w:p>
        </w:tc>
        <w:tc>
          <w:tcPr>
            <w:tcW w:w="46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w:t>
            </w:r>
          </w:p>
        </w:tc>
        <w:tc>
          <w:tcPr>
            <w:tcW w:w="53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456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6"/>
                <w:szCs w:val="16"/>
                <w:color w:val="0000FF"/>
              </w:rPr>
              <w:t>the Sarbanes-Oxley Act of 2002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20" w:type="dxa"/>
            <w:vAlign w:val="bottom"/>
            <w:shd w:val="clear" w:color="auto" w:fill="BDE1E9"/>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32.1</w:t>
            </w:r>
          </w:p>
        </w:tc>
        <w:tc>
          <w:tcPr>
            <w:tcW w:w="4600" w:type="dxa"/>
            <w:vAlign w:val="bottom"/>
            <w:tcBorders>
              <w:left w:val="single" w:sz="8" w:color="BDE1E9"/>
            </w:tcBorders>
            <w:gridSpan w:val="3"/>
            <w:shd w:val="clear" w:color="auto" w:fill="BDE1E9"/>
          </w:tcPr>
          <w:p>
            <w:pPr>
              <w:spacing w:after="0" w:line="148" w:lineRule="exact"/>
              <w:rPr>
                <w:sz w:val="20"/>
                <w:szCs w:val="20"/>
                <w:color w:val="auto"/>
              </w:rPr>
            </w:pPr>
            <w:r>
              <w:rPr>
                <w:rFonts w:ascii="Times New Roman" w:cs="Times New Roman" w:eastAsia="Times New Roman" w:hAnsi="Times New Roman"/>
                <w:sz w:val="16"/>
                <w:szCs w:val="16"/>
                <w:color w:val="auto"/>
              </w:rPr>
              <w:t>Certification of Principal Executive Officer pursuant to 18 U.S.C.</w:t>
            </w:r>
          </w:p>
        </w:tc>
        <w:tc>
          <w:tcPr>
            <w:tcW w:w="5320" w:type="dxa"/>
            <w:vAlign w:val="bottom"/>
            <w:gridSpan w:val="11"/>
            <w:shd w:val="clear" w:color="auto" w:fill="BDE1E9"/>
          </w:tcPr>
          <w:p>
            <w:pPr>
              <w:ind w:left="60"/>
              <w:spacing w:after="0" w:line="148" w:lineRule="exact"/>
              <w:rPr>
                <w:rFonts w:ascii="Times New Roman" w:cs="Times New Roman" w:eastAsia="Times New Roman" w:hAnsi="Times New Roman"/>
                <w:sz w:val="16"/>
                <w:szCs w:val="16"/>
                <w:color w:val="auto"/>
              </w:rPr>
            </w:pPr>
            <w:hyperlink r:id="rId123">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32.1 to the Company’s Annual Report on Form 10-K for</w:t>
              </w:r>
            </w:hyperlink>
          </w:p>
        </w:tc>
        <w:tc>
          <w:tcPr>
            <w:tcW w:w="0" w:type="dxa"/>
            <w:vAlign w:val="bottom"/>
          </w:tcPr>
          <w:p>
            <w:pPr>
              <w:spacing w:after="0"/>
              <w:rPr>
                <w:sz w:val="1"/>
                <w:szCs w:val="1"/>
                <w:color w:val="auto"/>
              </w:rPr>
            </w:pPr>
          </w:p>
        </w:tc>
      </w:tr>
      <w:tr>
        <w:trPr>
          <w:trHeight w:val="169"/>
        </w:trPr>
        <w:tc>
          <w:tcPr>
            <w:tcW w:w="1320" w:type="dxa"/>
            <w:vAlign w:val="bottom"/>
            <w:tcBorders>
              <w:top w:val="single" w:sz="8" w:color="BDE1E9"/>
            </w:tcBorders>
            <w:shd w:val="clear" w:color="auto" w:fill="BDE1E9"/>
          </w:tcPr>
          <w:p>
            <w:pPr>
              <w:spacing w:after="0"/>
              <w:rPr>
                <w:sz w:val="14"/>
                <w:szCs w:val="14"/>
                <w:color w:val="auto"/>
              </w:rPr>
            </w:pPr>
          </w:p>
        </w:tc>
        <w:tc>
          <w:tcPr>
            <w:tcW w:w="4600" w:type="dxa"/>
            <w:vAlign w:val="bottom"/>
            <w:tcBorders>
              <w:top w:val="single" w:sz="8" w:color="BDE1E9"/>
              <w:left w:val="single" w:sz="8" w:color="BDE1E9"/>
            </w:tcBorders>
            <w:gridSpan w:val="3"/>
            <w:shd w:val="clear" w:color="auto" w:fill="BDE1E9"/>
          </w:tcPr>
          <w:p>
            <w:pPr>
              <w:spacing w:after="0" w:line="169" w:lineRule="exact"/>
              <w:rPr>
                <w:sz w:val="20"/>
                <w:szCs w:val="20"/>
                <w:color w:val="auto"/>
              </w:rPr>
            </w:pPr>
            <w:r>
              <w:rPr>
                <w:rFonts w:ascii="Times New Roman" w:cs="Times New Roman" w:eastAsia="Times New Roman" w:hAnsi="Times New Roman"/>
                <w:sz w:val="16"/>
                <w:szCs w:val="16"/>
                <w:color w:val="auto"/>
              </w:rPr>
              <w:t>Section 1350, as adopted pursuant to Section 906 of the Sarbanes-</w:t>
            </w:r>
          </w:p>
        </w:tc>
        <w:tc>
          <w:tcPr>
            <w:tcW w:w="640" w:type="dxa"/>
            <w:vAlign w:val="bottom"/>
            <w:tcBorders>
              <w:top w:val="single" w:sz="8" w:color="BDE1E9"/>
              <w:right w:val="single" w:sz="8" w:color="BDE1E9"/>
            </w:tcBorders>
            <w:gridSpan w:val="3"/>
            <w:shd w:val="clear" w:color="auto" w:fill="BDE1E9"/>
          </w:tcPr>
          <w:p>
            <w:pPr>
              <w:ind w:left="60"/>
              <w:spacing w:after="0" w:line="169" w:lineRule="exact"/>
              <w:rPr>
                <w:rFonts w:ascii="Times New Roman" w:cs="Times New Roman" w:eastAsia="Times New Roman" w:hAnsi="Times New Roman"/>
                <w:sz w:val="16"/>
                <w:szCs w:val="16"/>
                <w:b w:val="1"/>
                <w:bCs w:val="1"/>
                <w:color w:val="0000FF"/>
                <w:w w:val="97"/>
              </w:rPr>
            </w:pPr>
            <w:hyperlink r:id="rId123">
              <w:r>
                <w:rPr>
                  <w:rFonts w:ascii="Times New Roman" w:cs="Times New Roman" w:eastAsia="Times New Roman" w:hAnsi="Times New Roman"/>
                  <w:sz w:val="16"/>
                  <w:szCs w:val="16"/>
                  <w:b w:val="1"/>
                  <w:bCs w:val="1"/>
                  <w:color w:val="0000FF"/>
                  <w:w w:val="97"/>
                </w:rPr>
                <w:t>the year</w:t>
              </w:r>
            </w:hyperlink>
          </w:p>
        </w:tc>
        <w:tc>
          <w:tcPr>
            <w:tcW w:w="4460" w:type="dxa"/>
            <w:vAlign w:val="bottom"/>
            <w:tcBorders>
              <w:top w:val="single" w:sz="8" w:color="0000FF"/>
            </w:tcBorders>
            <w:gridSpan w:val="6"/>
            <w:shd w:val="clear" w:color="auto" w:fill="BDE1E9"/>
          </w:tcPr>
          <w:p>
            <w:pPr>
              <w:ind w:left="40"/>
              <w:spacing w:after="0" w:line="169" w:lineRule="exact"/>
              <w:rPr>
                <w:rFonts w:ascii="Times New Roman" w:cs="Times New Roman" w:eastAsia="Times New Roman" w:hAnsi="Times New Roman"/>
                <w:sz w:val="16"/>
                <w:szCs w:val="16"/>
                <w:b w:val="1"/>
                <w:bCs w:val="1"/>
                <w:color w:val="0000FF"/>
                <w:w w:val="97"/>
              </w:rPr>
            </w:pPr>
            <w:hyperlink r:id="rId123">
              <w:r>
                <w:rPr>
                  <w:rFonts w:ascii="Times New Roman" w:cs="Times New Roman" w:eastAsia="Times New Roman" w:hAnsi="Times New Roman"/>
                  <w:sz w:val="16"/>
                  <w:szCs w:val="16"/>
                  <w:b w:val="1"/>
                  <w:bCs w:val="1"/>
                  <w:color w:val="0000FF"/>
                  <w:w w:val="97"/>
                </w:rPr>
                <w:t>ended December 31, 2025</w:t>
              </w:r>
              <w:r>
                <w:rPr>
                  <w:rFonts w:ascii="Times New Roman" w:cs="Times New Roman" w:eastAsia="Times New Roman" w:hAnsi="Times New Roman"/>
                  <w:sz w:val="16"/>
                  <w:szCs w:val="16"/>
                  <w:color w:val="000000"/>
                  <w:w w:val="97"/>
                </w:rPr>
                <w:t>, filed on March 31, 2026, and incorporated</w:t>
              </w:r>
            </w:hyperlink>
          </w:p>
        </w:tc>
        <w:tc>
          <w:tcPr>
            <w:tcW w:w="220" w:type="dxa"/>
            <w:vAlign w:val="bottom"/>
            <w:tcBorders>
              <w:top w:val="single" w:sz="8" w:color="BDE1E9"/>
            </w:tcBorders>
            <w:gridSpan w:val="2"/>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BDE1E9"/>
            </w:tcBorders>
            <w:shd w:val="clear" w:color="auto" w:fill="BDE1E9"/>
          </w:tcPr>
          <w:p>
            <w:pPr>
              <w:spacing w:after="0"/>
              <w:rPr>
                <w:sz w:val="17"/>
                <w:szCs w:val="17"/>
                <w:color w:val="auto"/>
              </w:rPr>
            </w:pPr>
          </w:p>
        </w:tc>
        <w:tc>
          <w:tcPr>
            <w:tcW w:w="4600" w:type="dxa"/>
            <w:vAlign w:val="bottom"/>
            <w:tcBorders>
              <w:top w:val="single" w:sz="8" w:color="BDE1E9"/>
              <w:left w:val="single" w:sz="8" w:color="BDE1E9"/>
            </w:tcBorders>
            <w:gridSpan w:val="3"/>
            <w:shd w:val="clear" w:color="auto" w:fill="BDE1E9"/>
          </w:tcPr>
          <w:p>
            <w:pPr>
              <w:spacing w:after="0"/>
              <w:rPr>
                <w:sz w:val="20"/>
                <w:szCs w:val="20"/>
                <w:color w:val="auto"/>
              </w:rPr>
            </w:pPr>
            <w:r>
              <w:rPr>
                <w:rFonts w:ascii="Times New Roman" w:cs="Times New Roman" w:eastAsia="Times New Roman" w:hAnsi="Times New Roman"/>
                <w:sz w:val="16"/>
                <w:szCs w:val="16"/>
                <w:color w:val="auto"/>
              </w:rPr>
              <w:t>Oxley Act of 2002</w:t>
            </w:r>
          </w:p>
        </w:tc>
        <w:tc>
          <w:tcPr>
            <w:tcW w:w="60" w:type="dxa"/>
            <w:vAlign w:val="bottom"/>
            <w:tcBorders>
              <w:top w:val="single" w:sz="8" w:color="BDE1E9"/>
            </w:tcBorders>
            <w:shd w:val="clear" w:color="auto" w:fill="BDE1E9"/>
          </w:tcPr>
          <w:p>
            <w:pPr>
              <w:spacing w:after="0"/>
              <w:rPr>
                <w:sz w:val="17"/>
                <w:szCs w:val="17"/>
                <w:color w:val="auto"/>
              </w:rPr>
            </w:pPr>
          </w:p>
        </w:tc>
        <w:tc>
          <w:tcPr>
            <w:tcW w:w="2380" w:type="dxa"/>
            <w:vAlign w:val="bottom"/>
            <w:tcBorders>
              <w:top w:val="single" w:sz="8" w:color="0000FF"/>
            </w:tcBorders>
            <w:gridSpan w:val="4"/>
            <w:shd w:val="clear" w:color="auto" w:fill="BDE1E9"/>
          </w:tcPr>
          <w:p>
            <w:pPr>
              <w:spacing w:after="0"/>
              <w:rPr>
                <w:sz w:val="20"/>
                <w:szCs w:val="20"/>
                <w:color w:val="auto"/>
              </w:rPr>
            </w:pPr>
            <w:r>
              <w:rPr>
                <w:rFonts w:ascii="Times New Roman" w:cs="Times New Roman" w:eastAsia="Times New Roman" w:hAnsi="Times New Roman"/>
                <w:sz w:val="16"/>
                <w:szCs w:val="16"/>
                <w:color w:val="auto"/>
              </w:rPr>
              <w:t>by reference herein.</w:t>
            </w:r>
          </w:p>
        </w:tc>
        <w:tc>
          <w:tcPr>
            <w:tcW w:w="600" w:type="dxa"/>
            <w:vAlign w:val="bottom"/>
            <w:tcBorders>
              <w:top w:val="single" w:sz="8" w:color="BDE1E9"/>
            </w:tcBorders>
            <w:shd w:val="clear" w:color="auto" w:fill="BDE1E9"/>
          </w:tcPr>
          <w:p>
            <w:pPr>
              <w:spacing w:after="0"/>
              <w:rPr>
                <w:sz w:val="17"/>
                <w:szCs w:val="17"/>
                <w:color w:val="auto"/>
              </w:rPr>
            </w:pPr>
          </w:p>
        </w:tc>
        <w:tc>
          <w:tcPr>
            <w:tcW w:w="2280" w:type="dxa"/>
            <w:vAlign w:val="bottom"/>
            <w:tcBorders>
              <w:top w:val="single" w:sz="8" w:color="BDE1E9"/>
            </w:tcBorders>
            <w:gridSpan w:val="5"/>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2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32.2</w:t>
            </w:r>
          </w:p>
        </w:tc>
        <w:tc>
          <w:tcPr>
            <w:tcW w:w="4600" w:type="dxa"/>
            <w:vAlign w:val="bottom"/>
            <w:gridSpan w:val="3"/>
          </w:tcPr>
          <w:p>
            <w:pPr>
              <w:spacing w:after="0" w:line="148" w:lineRule="exact"/>
              <w:rPr>
                <w:sz w:val="20"/>
                <w:szCs w:val="20"/>
                <w:color w:val="auto"/>
              </w:rPr>
            </w:pPr>
            <w:r>
              <w:rPr>
                <w:rFonts w:ascii="Times New Roman" w:cs="Times New Roman" w:eastAsia="Times New Roman" w:hAnsi="Times New Roman"/>
                <w:sz w:val="16"/>
                <w:szCs w:val="16"/>
                <w:color w:val="auto"/>
              </w:rPr>
              <w:t>Certification of Principal Financial Officer pursuant to 18 U.S.C.</w:t>
            </w:r>
          </w:p>
        </w:tc>
        <w:tc>
          <w:tcPr>
            <w:tcW w:w="5320" w:type="dxa"/>
            <w:vAlign w:val="bottom"/>
            <w:gridSpan w:val="11"/>
          </w:tcPr>
          <w:p>
            <w:pPr>
              <w:ind w:left="60"/>
              <w:spacing w:after="0" w:line="148" w:lineRule="exact"/>
              <w:rPr>
                <w:rFonts w:ascii="Times New Roman" w:cs="Times New Roman" w:eastAsia="Times New Roman" w:hAnsi="Times New Roman"/>
                <w:sz w:val="16"/>
                <w:szCs w:val="16"/>
                <w:color w:val="auto"/>
              </w:rPr>
            </w:pPr>
            <w:hyperlink r:id="rId122">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32.2 to the Company’s Annual Report on Form 10-K for</w:t>
              </w:r>
            </w:hyperlink>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460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auto"/>
              </w:rPr>
              <w:t>Section 1350, as adopted pursuant to Section 906 of the Sarbanes-</w:t>
            </w:r>
          </w:p>
        </w:tc>
        <w:tc>
          <w:tcPr>
            <w:tcW w:w="640" w:type="dxa"/>
            <w:vAlign w:val="bottom"/>
            <w:gridSpan w:val="3"/>
          </w:tcPr>
          <w:p>
            <w:pPr>
              <w:ind w:left="60"/>
              <w:spacing w:after="0" w:line="169" w:lineRule="exact"/>
              <w:rPr>
                <w:rFonts w:ascii="Times New Roman" w:cs="Times New Roman" w:eastAsia="Times New Roman" w:hAnsi="Times New Roman"/>
                <w:sz w:val="16"/>
                <w:szCs w:val="16"/>
                <w:b w:val="1"/>
                <w:bCs w:val="1"/>
                <w:color w:val="0000FF"/>
                <w:w w:val="97"/>
              </w:rPr>
            </w:pPr>
            <w:hyperlink r:id="rId122">
              <w:r>
                <w:rPr>
                  <w:rFonts w:ascii="Times New Roman" w:cs="Times New Roman" w:eastAsia="Times New Roman" w:hAnsi="Times New Roman"/>
                  <w:sz w:val="16"/>
                  <w:szCs w:val="16"/>
                  <w:b w:val="1"/>
                  <w:bCs w:val="1"/>
                  <w:color w:val="0000FF"/>
                  <w:w w:val="97"/>
                </w:rPr>
                <w:t>the year</w:t>
              </w:r>
            </w:hyperlink>
          </w:p>
        </w:tc>
        <w:tc>
          <w:tcPr>
            <w:tcW w:w="4460" w:type="dxa"/>
            <w:vAlign w:val="bottom"/>
            <w:tcBorders>
              <w:top w:val="single" w:sz="8" w:color="0000FF"/>
            </w:tcBorders>
            <w:gridSpan w:val="6"/>
          </w:tcPr>
          <w:p>
            <w:pPr>
              <w:ind w:left="40"/>
              <w:spacing w:after="0" w:line="169" w:lineRule="exact"/>
              <w:rPr>
                <w:rFonts w:ascii="Times New Roman" w:cs="Times New Roman" w:eastAsia="Times New Roman" w:hAnsi="Times New Roman"/>
                <w:sz w:val="16"/>
                <w:szCs w:val="16"/>
                <w:b w:val="1"/>
                <w:bCs w:val="1"/>
                <w:color w:val="0000FF"/>
                <w:w w:val="97"/>
              </w:rPr>
            </w:pPr>
            <w:hyperlink r:id="rId122">
              <w:r>
                <w:rPr>
                  <w:rFonts w:ascii="Times New Roman" w:cs="Times New Roman" w:eastAsia="Times New Roman" w:hAnsi="Times New Roman"/>
                  <w:sz w:val="16"/>
                  <w:szCs w:val="16"/>
                  <w:b w:val="1"/>
                  <w:bCs w:val="1"/>
                  <w:color w:val="0000FF"/>
                  <w:w w:val="97"/>
                </w:rPr>
                <w:t>ended December 31, 2025</w:t>
              </w:r>
              <w:r>
                <w:rPr>
                  <w:rFonts w:ascii="Times New Roman" w:cs="Times New Roman" w:eastAsia="Times New Roman" w:hAnsi="Times New Roman"/>
                  <w:sz w:val="16"/>
                  <w:szCs w:val="16"/>
                  <w:color w:val="000000"/>
                  <w:w w:val="97"/>
                </w:rPr>
                <w:t>, filed on March 31, 2026, and incorporated</w:t>
              </w:r>
            </w:hyperlink>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Oxley Act of 2002</w:t>
            </w:r>
          </w:p>
        </w:tc>
        <w:tc>
          <w:tcPr>
            <w:tcW w:w="60" w:type="dxa"/>
            <w:vAlign w:val="bottom"/>
          </w:tcPr>
          <w:p>
            <w:pPr>
              <w:spacing w:after="0"/>
              <w:rPr>
                <w:sz w:val="17"/>
                <w:szCs w:val="17"/>
                <w:color w:val="auto"/>
              </w:rPr>
            </w:pPr>
          </w:p>
        </w:tc>
        <w:tc>
          <w:tcPr>
            <w:tcW w:w="2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auto"/>
              </w:rPr>
              <w:t>by reference herein.</w:t>
            </w:r>
          </w:p>
        </w:tc>
        <w:tc>
          <w:tcPr>
            <w:tcW w:w="600" w:type="dxa"/>
            <w:vAlign w:val="bottom"/>
          </w:tcPr>
          <w:p>
            <w:pPr>
              <w:spacing w:after="0"/>
              <w:rPr>
                <w:sz w:val="17"/>
                <w:szCs w:val="17"/>
                <w:color w:val="auto"/>
              </w:rPr>
            </w:pPr>
          </w:p>
        </w:tc>
        <w:tc>
          <w:tcPr>
            <w:tcW w:w="2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BDE1E9"/>
          </w:tcPr>
          <w:p>
            <w:pPr>
              <w:jc w:val="center"/>
              <w:spacing w:after="0" w:line="148" w:lineRule="exact"/>
              <w:rPr>
                <w:sz w:val="20"/>
                <w:szCs w:val="20"/>
                <w:color w:val="auto"/>
              </w:rPr>
            </w:pPr>
            <w:r>
              <w:rPr>
                <w:rFonts w:ascii="Times New Roman" w:cs="Times New Roman" w:eastAsia="Times New Roman" w:hAnsi="Times New Roman"/>
                <w:sz w:val="16"/>
                <w:szCs w:val="16"/>
                <w:color w:val="auto"/>
                <w:w w:val="99"/>
              </w:rPr>
              <w:t>97.1</w:t>
            </w:r>
          </w:p>
        </w:tc>
        <w:tc>
          <w:tcPr>
            <w:tcW w:w="4600" w:type="dxa"/>
            <w:vAlign w:val="bottom"/>
            <w:tcBorders>
              <w:left w:val="single" w:sz="8" w:color="BDE1E9"/>
            </w:tcBorders>
            <w:gridSpan w:val="3"/>
            <w:shd w:val="clear" w:color="auto" w:fill="BDE1E9"/>
          </w:tcPr>
          <w:p>
            <w:pPr>
              <w:spacing w:after="0" w:line="148" w:lineRule="exact"/>
              <w:rPr>
                <w:sz w:val="20"/>
                <w:szCs w:val="20"/>
                <w:color w:val="auto"/>
              </w:rPr>
            </w:pPr>
            <w:r>
              <w:rPr>
                <w:rFonts w:ascii="Times New Roman" w:cs="Times New Roman" w:eastAsia="Times New Roman" w:hAnsi="Times New Roman"/>
                <w:sz w:val="16"/>
                <w:szCs w:val="16"/>
                <w:color w:val="auto"/>
              </w:rPr>
              <w:t>Reading International, Inc. Executive Officer Clawback Policy,</w:t>
            </w:r>
          </w:p>
        </w:tc>
        <w:tc>
          <w:tcPr>
            <w:tcW w:w="5320" w:type="dxa"/>
            <w:vAlign w:val="bottom"/>
            <w:gridSpan w:val="11"/>
            <w:shd w:val="clear" w:color="auto" w:fill="BDE1E9"/>
          </w:tcPr>
          <w:p>
            <w:pPr>
              <w:ind w:left="60"/>
              <w:spacing w:after="0" w:line="148" w:lineRule="exact"/>
              <w:rPr>
                <w:rFonts w:ascii="Times New Roman" w:cs="Times New Roman" w:eastAsia="Times New Roman" w:hAnsi="Times New Roman"/>
                <w:sz w:val="16"/>
                <w:szCs w:val="16"/>
                <w:color w:val="auto"/>
              </w:rPr>
            </w:pPr>
            <w:hyperlink r:id="rId124">
              <w:r>
                <w:rPr>
                  <w:rFonts w:ascii="Times New Roman" w:cs="Times New Roman" w:eastAsia="Times New Roman" w:hAnsi="Times New Roman"/>
                  <w:sz w:val="16"/>
                  <w:szCs w:val="16"/>
                  <w:color w:val="auto"/>
                </w:rPr>
                <w:t xml:space="preserve">Filed as </w:t>
              </w:r>
              <w:r>
                <w:rPr>
                  <w:rFonts w:ascii="Times New Roman" w:cs="Times New Roman" w:eastAsia="Times New Roman" w:hAnsi="Times New Roman"/>
                  <w:sz w:val="16"/>
                  <w:szCs w:val="16"/>
                  <w:b w:val="1"/>
                  <w:bCs w:val="1"/>
                  <w:color w:val="0000FF"/>
                </w:rPr>
                <w:t>Exhibit 97.1 to the Company’s Annual Report on Form 10-K/A</w:t>
              </w:r>
            </w:hyperlink>
          </w:p>
        </w:tc>
        <w:tc>
          <w:tcPr>
            <w:tcW w:w="0" w:type="dxa"/>
            <w:vAlign w:val="bottom"/>
          </w:tcPr>
          <w:p>
            <w:pPr>
              <w:spacing w:after="0"/>
              <w:rPr>
                <w:sz w:val="1"/>
                <w:szCs w:val="1"/>
                <w:color w:val="auto"/>
              </w:rPr>
            </w:pPr>
          </w:p>
        </w:tc>
      </w:tr>
      <w:tr>
        <w:trPr>
          <w:trHeight w:val="169"/>
        </w:trPr>
        <w:tc>
          <w:tcPr>
            <w:tcW w:w="1320" w:type="dxa"/>
            <w:vAlign w:val="bottom"/>
            <w:tcBorders>
              <w:top w:val="single" w:sz="8" w:color="BDE1E9"/>
            </w:tcBorders>
            <w:shd w:val="clear" w:color="auto" w:fill="BDE1E9"/>
          </w:tcPr>
          <w:p>
            <w:pPr>
              <w:spacing w:after="0"/>
              <w:rPr>
                <w:sz w:val="14"/>
                <w:szCs w:val="14"/>
                <w:color w:val="auto"/>
              </w:rPr>
            </w:pPr>
          </w:p>
        </w:tc>
        <w:tc>
          <w:tcPr>
            <w:tcW w:w="4600" w:type="dxa"/>
            <w:vAlign w:val="bottom"/>
            <w:tcBorders>
              <w:top w:val="single" w:sz="8" w:color="BDE1E9"/>
              <w:left w:val="single" w:sz="8" w:color="BDE1E9"/>
            </w:tcBorders>
            <w:gridSpan w:val="3"/>
            <w:shd w:val="clear" w:color="auto" w:fill="BDE1E9"/>
          </w:tcPr>
          <w:p>
            <w:pPr>
              <w:spacing w:after="0" w:line="169" w:lineRule="exact"/>
              <w:rPr>
                <w:sz w:val="20"/>
                <w:szCs w:val="20"/>
                <w:color w:val="auto"/>
              </w:rPr>
            </w:pPr>
            <w:r>
              <w:rPr>
                <w:rFonts w:ascii="Times New Roman" w:cs="Times New Roman" w:eastAsia="Times New Roman" w:hAnsi="Times New Roman"/>
                <w:sz w:val="16"/>
                <w:szCs w:val="16"/>
                <w:color w:val="auto"/>
              </w:rPr>
              <w:t>effective as of October 2, 2023.</w:t>
            </w:r>
          </w:p>
        </w:tc>
        <w:tc>
          <w:tcPr>
            <w:tcW w:w="640" w:type="dxa"/>
            <w:vAlign w:val="bottom"/>
            <w:tcBorders>
              <w:top w:val="single" w:sz="8" w:color="BDE1E9"/>
              <w:right w:val="single" w:sz="8" w:color="BDE1E9"/>
            </w:tcBorders>
            <w:gridSpan w:val="3"/>
            <w:shd w:val="clear" w:color="auto" w:fill="BDE1E9"/>
          </w:tcPr>
          <w:p>
            <w:pPr>
              <w:ind w:left="60"/>
              <w:spacing w:after="0" w:line="169" w:lineRule="exact"/>
              <w:rPr>
                <w:rFonts w:ascii="Times New Roman" w:cs="Times New Roman" w:eastAsia="Times New Roman" w:hAnsi="Times New Roman"/>
                <w:sz w:val="16"/>
                <w:szCs w:val="16"/>
                <w:b w:val="1"/>
                <w:bCs w:val="1"/>
                <w:color w:val="0000FF"/>
                <w:w w:val="96"/>
              </w:rPr>
            </w:pPr>
            <w:hyperlink r:id="rId124">
              <w:r>
                <w:rPr>
                  <w:rFonts w:ascii="Times New Roman" w:cs="Times New Roman" w:eastAsia="Times New Roman" w:hAnsi="Times New Roman"/>
                  <w:sz w:val="16"/>
                  <w:szCs w:val="16"/>
                  <w:b w:val="1"/>
                  <w:bCs w:val="1"/>
                  <w:color w:val="0000FF"/>
                  <w:w w:val="96"/>
                </w:rPr>
                <w:t>No.1 for</w:t>
              </w:r>
            </w:hyperlink>
          </w:p>
        </w:tc>
        <w:tc>
          <w:tcPr>
            <w:tcW w:w="4380" w:type="dxa"/>
            <w:vAlign w:val="bottom"/>
            <w:tcBorders>
              <w:top w:val="single" w:sz="8" w:color="0000FF"/>
            </w:tcBorders>
            <w:gridSpan w:val="5"/>
            <w:shd w:val="clear" w:color="auto" w:fill="BDE1E9"/>
          </w:tcPr>
          <w:p>
            <w:pPr>
              <w:ind w:left="40"/>
              <w:spacing w:after="0" w:line="169" w:lineRule="exact"/>
              <w:rPr>
                <w:rFonts w:ascii="Times New Roman" w:cs="Times New Roman" w:eastAsia="Times New Roman" w:hAnsi="Times New Roman"/>
                <w:sz w:val="16"/>
                <w:szCs w:val="16"/>
                <w:b w:val="1"/>
                <w:bCs w:val="1"/>
                <w:color w:val="0000FF"/>
              </w:rPr>
            </w:pPr>
            <w:hyperlink r:id="rId124">
              <w:r>
                <w:rPr>
                  <w:rFonts w:ascii="Times New Roman" w:cs="Times New Roman" w:eastAsia="Times New Roman" w:hAnsi="Times New Roman"/>
                  <w:sz w:val="16"/>
                  <w:szCs w:val="16"/>
                  <w:b w:val="1"/>
                  <w:bCs w:val="1"/>
                  <w:color w:val="0000FF"/>
                </w:rPr>
                <w:t>the year ended December 31, 2023</w:t>
              </w:r>
              <w:r>
                <w:rPr>
                  <w:rFonts w:ascii="Times New Roman" w:cs="Times New Roman" w:eastAsia="Times New Roman" w:hAnsi="Times New Roman"/>
                  <w:sz w:val="16"/>
                  <w:szCs w:val="16"/>
                  <w:color w:val="000000"/>
                </w:rPr>
                <w:t>, filed on April 29, 2024 and</w:t>
              </w:r>
            </w:hyperlink>
          </w:p>
        </w:tc>
        <w:tc>
          <w:tcPr>
            <w:tcW w:w="300" w:type="dxa"/>
            <w:vAlign w:val="bottom"/>
            <w:tcBorders>
              <w:top w:val="single" w:sz="8" w:color="BDE1E9"/>
            </w:tcBorders>
            <w:gridSpan w:val="3"/>
            <w:shd w:val="clear" w:color="auto" w:fill="BDE1E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Borders>
              <w:top w:val="single" w:sz="8" w:color="BDE1E9"/>
            </w:tcBorders>
            <w:shd w:val="clear" w:color="auto" w:fill="BDE1E9"/>
          </w:tcPr>
          <w:p>
            <w:pPr>
              <w:spacing w:after="0"/>
              <w:rPr>
                <w:sz w:val="17"/>
                <w:szCs w:val="17"/>
                <w:color w:val="auto"/>
              </w:rPr>
            </w:pPr>
          </w:p>
        </w:tc>
        <w:tc>
          <w:tcPr>
            <w:tcW w:w="2100" w:type="dxa"/>
            <w:vAlign w:val="bottom"/>
            <w:tcBorders>
              <w:top w:val="single" w:sz="8" w:color="BDE1E9"/>
              <w:left w:val="single" w:sz="8" w:color="BDE1E9"/>
              <w:right w:val="single" w:sz="8" w:color="BDE1E9"/>
            </w:tcBorders>
            <w:shd w:val="clear" w:color="auto" w:fill="BDE1E9"/>
          </w:tcPr>
          <w:p>
            <w:pPr>
              <w:spacing w:after="0"/>
              <w:rPr>
                <w:sz w:val="17"/>
                <w:szCs w:val="17"/>
                <w:color w:val="auto"/>
              </w:rPr>
            </w:pPr>
          </w:p>
        </w:tc>
        <w:tc>
          <w:tcPr>
            <w:tcW w:w="2460" w:type="dxa"/>
            <w:vAlign w:val="bottom"/>
            <w:tcBorders>
              <w:top w:val="single" w:sz="8" w:color="BDE1E9"/>
            </w:tcBorders>
            <w:shd w:val="clear" w:color="auto" w:fill="BDE1E9"/>
          </w:tcPr>
          <w:p>
            <w:pPr>
              <w:spacing w:after="0"/>
              <w:rPr>
                <w:sz w:val="17"/>
                <w:szCs w:val="17"/>
                <w:color w:val="auto"/>
              </w:rPr>
            </w:pPr>
          </w:p>
        </w:tc>
        <w:tc>
          <w:tcPr>
            <w:tcW w:w="40" w:type="dxa"/>
            <w:vAlign w:val="bottom"/>
            <w:tcBorders>
              <w:top w:val="single" w:sz="8" w:color="BDE1E9"/>
            </w:tcBorders>
            <w:shd w:val="clear" w:color="auto" w:fill="BDE1E9"/>
          </w:tcPr>
          <w:p>
            <w:pPr>
              <w:spacing w:after="0"/>
              <w:rPr>
                <w:sz w:val="17"/>
                <w:szCs w:val="17"/>
                <w:color w:val="auto"/>
              </w:rPr>
            </w:pPr>
          </w:p>
        </w:tc>
        <w:tc>
          <w:tcPr>
            <w:tcW w:w="60" w:type="dxa"/>
            <w:vAlign w:val="bottom"/>
            <w:tcBorders>
              <w:top w:val="single" w:sz="8" w:color="BDE1E9"/>
            </w:tcBorders>
            <w:shd w:val="clear" w:color="auto" w:fill="BDE1E9"/>
          </w:tcPr>
          <w:p>
            <w:pPr>
              <w:spacing w:after="0"/>
              <w:rPr>
                <w:sz w:val="17"/>
                <w:szCs w:val="17"/>
                <w:color w:val="auto"/>
              </w:rPr>
            </w:pPr>
          </w:p>
        </w:tc>
        <w:tc>
          <w:tcPr>
            <w:tcW w:w="2980" w:type="dxa"/>
            <w:vAlign w:val="bottom"/>
            <w:tcBorders>
              <w:top w:val="single" w:sz="8" w:color="0000FF"/>
            </w:tcBorders>
            <w:gridSpan w:val="5"/>
            <w:shd w:val="clear" w:color="auto" w:fill="BDE1E9"/>
          </w:tcPr>
          <w:p>
            <w:pPr>
              <w:spacing w:after="0"/>
              <w:rPr>
                <w:sz w:val="20"/>
                <w:szCs w:val="20"/>
                <w:color w:val="auto"/>
              </w:rPr>
            </w:pPr>
            <w:r>
              <w:rPr>
                <w:rFonts w:ascii="Times New Roman" w:cs="Times New Roman" w:eastAsia="Times New Roman" w:hAnsi="Times New Roman"/>
                <w:sz w:val="16"/>
                <w:szCs w:val="16"/>
                <w:color w:val="auto"/>
              </w:rPr>
              <w:t>incorporated herein by reference.</w:t>
            </w:r>
          </w:p>
        </w:tc>
        <w:tc>
          <w:tcPr>
            <w:tcW w:w="2280" w:type="dxa"/>
            <w:vAlign w:val="bottom"/>
            <w:tcBorders>
              <w:top w:val="single" w:sz="8" w:color="BDE1E9"/>
            </w:tcBorders>
            <w:gridSpan w:val="5"/>
            <w:shd w:val="clear" w:color="auto" w:fill="BDE1E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3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101</w:t>
            </w:r>
          </w:p>
        </w:tc>
        <w:tc>
          <w:tcPr>
            <w:tcW w:w="460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The following material from our Company’s Annual Report on Form</w:t>
            </w:r>
          </w:p>
        </w:tc>
        <w:tc>
          <w:tcPr>
            <w:tcW w:w="5320" w:type="dxa"/>
            <w:vAlign w:val="bottom"/>
            <w:gridSpan w:val="11"/>
          </w:tcPr>
          <w:p>
            <w:pPr>
              <w:ind w:left="60"/>
              <w:spacing w:after="0" w:line="161"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10-K for the year ended December 31, 2025, formatted in iXBRL</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20" w:type="dxa"/>
            <w:vAlign w:val="bottom"/>
          </w:tcPr>
          <w:p>
            <w:pPr>
              <w:spacing w:after="0"/>
              <w:rPr>
                <w:sz w:val="15"/>
                <w:szCs w:val="15"/>
                <w:color w:val="auto"/>
              </w:rPr>
            </w:pPr>
          </w:p>
        </w:tc>
        <w:tc>
          <w:tcPr>
            <w:tcW w:w="460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(Inline Extensible Business Reporting Language): (i) Consolidated</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Sheets, (ii) Consolidated Statements of Income, (iii)</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Consolidated Statements of Comprehensive Income, (iv) Consolidated</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Statements of Cash Flows, and (v) the Notes to the Consolidated</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20" w:type="dxa"/>
            <w:vAlign w:val="bottom"/>
            <w:shd w:val="clear" w:color="auto" w:fill="BDE1E9"/>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104</w:t>
            </w:r>
          </w:p>
        </w:tc>
        <w:tc>
          <w:tcPr>
            <w:tcW w:w="4600" w:type="dxa"/>
            <w:vAlign w:val="bottom"/>
            <w:tcBorders>
              <w:left w:val="single" w:sz="8" w:color="BDE1E9"/>
            </w:tcBorders>
            <w:gridSpan w:val="3"/>
            <w:shd w:val="clear" w:color="auto" w:fill="BDE1E9"/>
          </w:tcPr>
          <w:p>
            <w:pPr>
              <w:spacing w:after="0" w:line="165" w:lineRule="exact"/>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c>
          <w:tcPr>
            <w:tcW w:w="5320" w:type="dxa"/>
            <w:vAlign w:val="bottom"/>
            <w:gridSpan w:val="11"/>
            <w:shd w:val="clear" w:color="auto" w:fill="BDE1E9"/>
          </w:tcPr>
          <w:p>
            <w:pPr>
              <w:ind w:left="60"/>
              <w:spacing w:after="0" w:line="165"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320" w:type="dxa"/>
            <w:vAlign w:val="bottom"/>
            <w:shd w:val="clear" w:color="auto" w:fill="BDE1E9"/>
          </w:tcPr>
          <w:p>
            <w:pPr>
              <w:spacing w:after="0"/>
              <w:rPr>
                <w:sz w:val="18"/>
                <w:szCs w:val="18"/>
                <w:color w:val="auto"/>
              </w:rPr>
            </w:pPr>
          </w:p>
        </w:tc>
        <w:tc>
          <w:tcPr>
            <w:tcW w:w="4600" w:type="dxa"/>
            <w:vAlign w:val="bottom"/>
            <w:tcBorders>
              <w:left w:val="single" w:sz="8" w:color="BDE1E9"/>
            </w:tcBorders>
            <w:gridSpan w:val="3"/>
            <w:shd w:val="clear" w:color="auto" w:fill="BDE1E9"/>
          </w:tcPr>
          <w:p>
            <w:pPr>
              <w:spacing w:after="0"/>
              <w:rPr>
                <w:sz w:val="20"/>
                <w:szCs w:val="20"/>
                <w:color w:val="auto"/>
              </w:rPr>
            </w:pPr>
            <w:r>
              <w:rPr>
                <w:rFonts w:ascii="Times New Roman" w:cs="Times New Roman" w:eastAsia="Times New Roman" w:hAnsi="Times New Roman"/>
                <w:sz w:val="16"/>
                <w:szCs w:val="16"/>
                <w:color w:val="auto"/>
              </w:rPr>
              <w:t>and contained in Exhibit 101)</w:t>
            </w:r>
          </w:p>
        </w:tc>
        <w:tc>
          <w:tcPr>
            <w:tcW w:w="60" w:type="dxa"/>
            <w:vAlign w:val="bottom"/>
            <w:shd w:val="clear" w:color="auto" w:fill="BDE1E9"/>
          </w:tcPr>
          <w:p>
            <w:pPr>
              <w:spacing w:after="0"/>
              <w:rPr>
                <w:sz w:val="18"/>
                <w:szCs w:val="18"/>
                <w:color w:val="auto"/>
              </w:rPr>
            </w:pPr>
          </w:p>
        </w:tc>
        <w:tc>
          <w:tcPr>
            <w:tcW w:w="380" w:type="dxa"/>
            <w:vAlign w:val="bottom"/>
            <w:shd w:val="clear" w:color="auto" w:fill="BDE1E9"/>
          </w:tcPr>
          <w:p>
            <w:pPr>
              <w:spacing w:after="0"/>
              <w:rPr>
                <w:sz w:val="18"/>
                <w:szCs w:val="18"/>
                <w:color w:val="auto"/>
              </w:rPr>
            </w:pPr>
          </w:p>
        </w:tc>
        <w:tc>
          <w:tcPr>
            <w:tcW w:w="200" w:type="dxa"/>
            <w:vAlign w:val="bottom"/>
            <w:tcBorders>
              <w:right w:val="single" w:sz="8" w:color="BDE1E9"/>
            </w:tcBorders>
            <w:shd w:val="clear" w:color="auto" w:fill="BDE1E9"/>
          </w:tcPr>
          <w:p>
            <w:pPr>
              <w:spacing w:after="0"/>
              <w:rPr>
                <w:sz w:val="18"/>
                <w:szCs w:val="18"/>
                <w:color w:val="auto"/>
              </w:rPr>
            </w:pPr>
          </w:p>
        </w:tc>
        <w:tc>
          <w:tcPr>
            <w:tcW w:w="1540" w:type="dxa"/>
            <w:vAlign w:val="bottom"/>
            <w:shd w:val="clear" w:color="auto" w:fill="BDE1E9"/>
          </w:tcPr>
          <w:p>
            <w:pPr>
              <w:spacing w:after="0"/>
              <w:rPr>
                <w:sz w:val="18"/>
                <w:szCs w:val="18"/>
                <w:color w:val="auto"/>
              </w:rPr>
            </w:pPr>
          </w:p>
        </w:tc>
        <w:tc>
          <w:tcPr>
            <w:tcW w:w="260" w:type="dxa"/>
            <w:vAlign w:val="bottom"/>
            <w:shd w:val="clear" w:color="auto" w:fill="BDE1E9"/>
          </w:tcPr>
          <w:p>
            <w:pPr>
              <w:spacing w:after="0"/>
              <w:rPr>
                <w:sz w:val="18"/>
                <w:szCs w:val="18"/>
                <w:color w:val="auto"/>
              </w:rPr>
            </w:pPr>
          </w:p>
        </w:tc>
        <w:tc>
          <w:tcPr>
            <w:tcW w:w="600" w:type="dxa"/>
            <w:vAlign w:val="bottom"/>
            <w:shd w:val="clear" w:color="auto" w:fill="BDE1E9"/>
          </w:tcPr>
          <w:p>
            <w:pPr>
              <w:spacing w:after="0"/>
              <w:rPr>
                <w:sz w:val="18"/>
                <w:szCs w:val="18"/>
                <w:color w:val="auto"/>
              </w:rPr>
            </w:pPr>
          </w:p>
        </w:tc>
        <w:tc>
          <w:tcPr>
            <w:tcW w:w="40" w:type="dxa"/>
            <w:vAlign w:val="bottom"/>
            <w:shd w:val="clear" w:color="auto" w:fill="BDE1E9"/>
          </w:tcPr>
          <w:p>
            <w:pPr>
              <w:spacing w:after="0"/>
              <w:rPr>
                <w:sz w:val="18"/>
                <w:szCs w:val="18"/>
                <w:color w:val="auto"/>
              </w:rPr>
            </w:pPr>
          </w:p>
        </w:tc>
        <w:tc>
          <w:tcPr>
            <w:tcW w:w="1940" w:type="dxa"/>
            <w:vAlign w:val="bottom"/>
            <w:shd w:val="clear" w:color="auto" w:fill="BDE1E9"/>
          </w:tcPr>
          <w:p>
            <w:pPr>
              <w:spacing w:after="0"/>
              <w:rPr>
                <w:sz w:val="18"/>
                <w:szCs w:val="18"/>
                <w:color w:val="auto"/>
              </w:rPr>
            </w:pPr>
          </w:p>
        </w:tc>
        <w:tc>
          <w:tcPr>
            <w:tcW w:w="80" w:type="dxa"/>
            <w:vAlign w:val="bottom"/>
            <w:shd w:val="clear" w:color="auto" w:fill="BDE1E9"/>
          </w:tcPr>
          <w:p>
            <w:pPr>
              <w:spacing w:after="0"/>
              <w:rPr>
                <w:sz w:val="18"/>
                <w:szCs w:val="18"/>
                <w:color w:val="auto"/>
              </w:rPr>
            </w:pPr>
          </w:p>
        </w:tc>
        <w:tc>
          <w:tcPr>
            <w:tcW w:w="140" w:type="dxa"/>
            <w:vAlign w:val="bottom"/>
            <w:shd w:val="clear" w:color="auto" w:fill="BDE1E9"/>
          </w:tcPr>
          <w:p>
            <w:pPr>
              <w:spacing w:after="0"/>
              <w:rPr>
                <w:sz w:val="18"/>
                <w:szCs w:val="18"/>
                <w:color w:val="auto"/>
              </w:rPr>
            </w:pPr>
          </w:p>
        </w:tc>
        <w:tc>
          <w:tcPr>
            <w:tcW w:w="80" w:type="dxa"/>
            <w:vAlign w:val="bottom"/>
            <w:shd w:val="clear" w:color="auto" w:fill="BDE1E9"/>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Filed or furnished herewith</w:t>
      </w:r>
    </w:p>
    <w:p>
      <w:pPr>
        <w:jc w:val="both"/>
        <w:ind w:right="20" w:firstLine="8"/>
        <w:spacing w:after="0" w:line="228" w:lineRule="auto"/>
        <w:tabs>
          <w:tab w:leader="none" w:pos="13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w:t>
      </w:r>
    </w:p>
    <w:p>
      <w:pPr>
        <w:spacing w:after="0" w:line="2" w:lineRule="exact"/>
        <w:rPr>
          <w:rFonts w:ascii="Times New Roman" w:cs="Times New Roman" w:eastAsia="Times New Roman" w:hAnsi="Times New Roman"/>
          <w:sz w:val="16"/>
          <w:szCs w:val="16"/>
          <w:color w:val="auto"/>
        </w:rPr>
      </w:pPr>
    </w:p>
    <w:p>
      <w:pPr>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or compensatory plan or arrangement.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Included is the amended and restated version of this exhibit, redlined to show the amendment adopted on November 7, 2017.</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READING INTERNATIONAL,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0" w:right="3880" w:hanging="5656"/>
        <w:spacing w:after="0" w:line="250" w:lineRule="auto"/>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April 20, 2026 By: /s/ Gilbert Avanes Gilbert Avanes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wp:posOffset>
            </wp:positionV>
            <wp:extent cx="3531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6">
                      <a:extLst>
                        <a:ext uri="{28A0092B-C50C-407E-A947-70E740481C1C}"/>
                      </a:extLst>
                    </a:blip>
                    <a:srcRect/>
                    <a:stretch>
                      <a:fillRect/>
                    </a:stretch>
                  </pic:blipFill>
                  <pic:spPr bwMode="auto">
                    <a:xfrm>
                      <a:off x="0" y="0"/>
                      <a:ext cx="3531870" cy="17145"/>
                    </a:xfrm>
                    <a:prstGeom prst="rect">
                      <a:avLst/>
                    </a:prstGeom>
                    <a:noFill/>
                  </pic:spPr>
                </pic:pic>
              </a:graphicData>
            </a:graphic>
          </wp:anchor>
        </w:drawing>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Executive Vice President, Chief Financial Officer and Treasurer</w:t>
      </w:r>
    </w:p>
    <w:p>
      <w:pPr>
        <w:ind w:left="57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91" w:right="599" w:bottom="1440" w:gutter="0" w:footer="0" w:header="0"/>
        </w:sectPr>
      </w:pPr>
    </w:p>
    <w:bookmarkStart w:id="8" w:name="page9"/>
    <w:bookmarkEnd w:id="8"/>
    <w:p>
      <w:pPr>
        <w:ind w:left="770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14(a) AS ADOPTED PURSUANT TO SECTION 302 OF THE SARBANES-OXLEY ACT OF 2002</w:t>
      </w: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Ellen M. Cotter, certify that:</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1)I have reviewed this Amendment No. 1 to the Annual Report on Form 10-K/A of Reading International, Inc.; and</w:t>
      </w:r>
    </w:p>
    <w:p>
      <w:pPr>
        <w:spacing w:after="0" w:line="225" w:lineRule="exact"/>
        <w:rPr>
          <w:sz w:val="20"/>
          <w:szCs w:val="20"/>
          <w:color w:val="auto"/>
        </w:rPr>
      </w:pPr>
    </w:p>
    <w:p>
      <w:pPr>
        <w:jc w:val="both"/>
        <w:ind w:left="500" w:right="199" w:hanging="323"/>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1"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Ellen M. Cotter</w:t>
            </w:r>
          </w:p>
        </w:tc>
      </w:tr>
      <w:tr>
        <w:trPr>
          <w:trHeight w:val="178"/>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Ellen M. Cotter</w:t>
            </w:r>
          </w:p>
        </w:tc>
        <w:tc>
          <w:tcPr>
            <w:tcW w:w="6680" w:type="dxa"/>
            <w:vAlign w:val="bottom"/>
          </w:tcPr>
          <w:p>
            <w:pPr>
              <w:spacing w:after="0"/>
              <w:rPr>
                <w:sz w:val="15"/>
                <w:szCs w:val="15"/>
                <w:color w:val="auto"/>
              </w:rPr>
            </w:pPr>
          </w:p>
        </w:tc>
      </w:tr>
      <w:tr>
        <w:trPr>
          <w:trHeight w:val="203"/>
        </w:trPr>
        <w:tc>
          <w:tcPr>
            <w:tcW w:w="460" w:type="dxa"/>
            <w:vAlign w:val="bottom"/>
          </w:tcPr>
          <w:p>
            <w:pPr>
              <w:spacing w:after="0"/>
              <w:rPr>
                <w:sz w:val="17"/>
                <w:szCs w:val="17"/>
                <w:color w:val="auto"/>
              </w:rPr>
            </w:pPr>
          </w:p>
        </w:tc>
        <w:tc>
          <w:tcPr>
            <w:tcW w:w="822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60" w:type="dxa"/>
            <w:vAlign w:val="bottom"/>
          </w:tcPr>
          <w:p>
            <w:pPr>
              <w:spacing w:after="0"/>
              <w:rPr>
                <w:sz w:val="20"/>
                <w:szCs w:val="20"/>
                <w:color w:val="auto"/>
              </w:rPr>
            </w:pPr>
          </w:p>
        </w:tc>
        <w:tc>
          <w:tcPr>
            <w:tcW w:w="8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April 20, 2026</w:t>
            </w:r>
          </w:p>
        </w:tc>
      </w:tr>
      <w:tr>
        <w:trPr>
          <w:trHeight w:val="418"/>
        </w:trPr>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r>
        <w:trPr>
          <w:trHeight w:val="20"/>
        </w:trPr>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6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-37465</wp:posOffset>
            </wp:positionV>
            <wp:extent cx="3365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7">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8">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 w:name="page10"/>
    <w:bookmarkEnd w:id="9"/>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14(a) AS ADOPTED PURSUANT TO SECTION 302 OF THE SARBANES-OXLEY ACT OF 2002</w:t>
      </w: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Gilbert Avanes, certify that:</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1)I have reviewed this Amendment No. 1 to the Annual Report on Form 10-K/A of Reading International, Inc.; and</w:t>
      </w:r>
    </w:p>
    <w:p>
      <w:pPr>
        <w:spacing w:after="0" w:line="225" w:lineRule="exact"/>
        <w:rPr>
          <w:sz w:val="20"/>
          <w:szCs w:val="20"/>
          <w:color w:val="auto"/>
        </w:rPr>
      </w:pPr>
    </w:p>
    <w:p>
      <w:pPr>
        <w:jc w:val="both"/>
        <w:ind w:left="500" w:right="199" w:hanging="323"/>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/s/ Gilbert Avanes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Gilbert Avanes</w:t>
      </w:r>
    </w:p>
    <w:p>
      <w:pPr>
        <w:spacing w:after="0" w:line="9" w:lineRule="exact"/>
        <w:rPr>
          <w:sz w:val="20"/>
          <w:szCs w:val="20"/>
          <w:color w:val="auto"/>
        </w:rPr>
      </w:pPr>
    </w:p>
    <w:p>
      <w:pPr>
        <w:ind w:left="180" w:right="4239"/>
        <w:spacing w:after="0" w:line="260" w:lineRule="auto"/>
        <w:rPr>
          <w:sz w:val="20"/>
          <w:szCs w:val="20"/>
          <w:color w:val="auto"/>
        </w:rPr>
      </w:pPr>
      <w:r>
        <w:rPr>
          <w:rFonts w:ascii="Times New Roman" w:cs="Times New Roman" w:eastAsia="Times New Roman" w:hAnsi="Times New Roman"/>
          <w:sz w:val="18"/>
          <w:szCs w:val="18"/>
          <w:color w:val="auto"/>
        </w:rPr>
        <w:t xml:space="preserve">Executive Vice President, Chief Financial Officer and Treasurer </w:t>
      </w:r>
      <w:r>
        <w:rPr>
          <w:rFonts w:ascii="Times New Roman" w:cs="Times New Roman" w:eastAsia="Times New Roman" w:hAnsi="Times New Roman"/>
          <w:sz w:val="18"/>
          <w:szCs w:val="18"/>
          <w:i w:val="1"/>
          <w:iCs w:val="1"/>
          <w:color w:val="auto"/>
        </w:rPr>
        <w:t>(Principal Financial Officer)</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313055</wp:posOffset>
            </wp:positionV>
            <wp:extent cx="552894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4" Type="http://schemas.openxmlformats.org/officeDocument/2006/relationships/image" Target="media/image29.png"/><Relationship Id="rId65" Type="http://schemas.openxmlformats.org/officeDocument/2006/relationships/image" Target="media/image30.png"/><Relationship Id="rId67" Type="http://schemas.openxmlformats.org/officeDocument/2006/relationships/image" Target="media/image31.png"/><Relationship Id="rId68"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7" Type="http://schemas.openxmlformats.org/officeDocument/2006/relationships/image" Target="media/image42.png"/><Relationship Id="rId100" Type="http://schemas.openxmlformats.org/officeDocument/2006/relationships/image" Target="media/image43.png"/><Relationship Id="rId104" Type="http://schemas.openxmlformats.org/officeDocument/2006/relationships/image" Target="media/image44.png"/><Relationship Id="rId105" Type="http://schemas.openxmlformats.org/officeDocument/2006/relationships/image" Target="media/image45.png"/><Relationship Id="rId107" Type="http://schemas.openxmlformats.org/officeDocument/2006/relationships/image" Target="media/image46.png"/><Relationship Id="rId108" Type="http://schemas.openxmlformats.org/officeDocument/2006/relationships/image" Target="media/image47.png"/><Relationship Id="rId109" Type="http://schemas.openxmlformats.org/officeDocument/2006/relationships/image" Target="media/image48.png"/><Relationship Id="rId111" Type="http://schemas.openxmlformats.org/officeDocument/2006/relationships/image" Target="media/image49.png"/><Relationship Id="rId112" Type="http://schemas.openxmlformats.org/officeDocument/2006/relationships/image" Target="media/image50.png"/><Relationship Id="rId115" Type="http://schemas.openxmlformats.org/officeDocument/2006/relationships/image" Target="media/image51.png"/><Relationship Id="rId116" Type="http://schemas.openxmlformats.org/officeDocument/2006/relationships/image" Target="media/image52.png"/><Relationship Id="rId125" Type="http://schemas.openxmlformats.org/officeDocument/2006/relationships/image" Target="media/image53.png"/><Relationship Id="rId126" Type="http://schemas.openxmlformats.org/officeDocument/2006/relationships/image" Target="media/image54.png"/><Relationship Id="rId127" Type="http://schemas.openxmlformats.org/officeDocument/2006/relationships/image" Target="media/image55.png"/><Relationship Id="rId128" Type="http://schemas.openxmlformats.org/officeDocument/2006/relationships/image" Target="media/image56.png"/><Relationship Id="rId129" Type="http://schemas.openxmlformats.org/officeDocument/2006/relationships/image" Target="media/image57.png"/><Relationship Id="rId10" Type="http://schemas.openxmlformats.org/officeDocument/2006/relationships/hyperlink" Target="https://protect.checkpoint.com/v2/r01/___http:/www.sec.gov/Archives/edgar/data/716634/000071663416000067/rdi-20151231xex3_1.htm___.YzJ1OnJlYWRpbmc6YzpvOmMyYmViMDEyNjhhMmQxY2JkNmMyNjhmNjA1ZmNlMWUyOjc6ZmNiNTo4YmM1YjBlZjg3YzY5YzQ3OTc0NWUzYzkzNDk3NzgzOWZiM2NiNTNmNGIzNTZjODA5YmY5MDhmYWVmYmYzNGU2OnA6RjpG" TargetMode="External"/><Relationship Id="rId12" Type="http://schemas.openxmlformats.org/officeDocument/2006/relationships/hyperlink" Target="https://protect.checkpoint.com/v2/r01/___http:/www.sec.gov/Archives/edgar/data/716634/000071663418000006/rdi-20171231xex3_2.htm___.YzJ1OnJlYWRpbmc6YzpvOmMyYmViMDEyNjhhMmQxY2JkNmMyNjhmNjA1ZmNlMWUyOjc6OTgzMTo3NWQyMWNiY2NmYjdjYmJlYjliNDMyMWUzYTU3MDEzZGM2ODJlNDg3YzU0ZjUwOTRhNzY1ZDFjODM0NDQzNDkyOnA6RjpG" TargetMode="External"/><Relationship Id="rId15" Type="http://schemas.openxmlformats.org/officeDocument/2006/relationships/hyperlink" Target="https://protect.checkpoint.com/v2/r01/___http:/www.sec.gov/Archives/edgar/data/716634/000071663407000004/ex4_1.htm___.YzJ1OnJlYWRpbmc6YzpvOmMyYmViMDEyNjhhMmQxY2JkNmMyNjhmNjA1ZmNlMWUyOjc6MzY3NToxODk2M2M3OWYzODhjYTM2MzljMzkzMDM4OGU0YjA1MGYyZjQ4NWIxNDY0ZGEzZWVhNWZhMTdkNzM2ODY1ZjliOnA6RjpG" TargetMode="External"/><Relationship Id="rId16" Type="http://schemas.openxmlformats.org/officeDocument/2006/relationships/hyperlink" Target="https://protect.checkpoint.com/v2/r01/___http:/www.sec.gov/Archives/edgar/data/716634/000071663407000004/ex4_2.htm___.YzJ1OnJlYWRpbmc6YzpvOmMyYmViMDEyNjhhMmQxY2JkNmMyNjhmNjA1ZmNlMWUyOjc6Y2MzODoxNWEyOWY1OGZhMmI3ZmU1MTMwMTA1MDAxN2RjYzc5YzRlZGM4MGI5MjAwNThkNmE2MGU4ZWQ1MGJhMmM5MGY2OnA6RjpG" TargetMode="External"/><Relationship Id="rId17" Type="http://schemas.openxmlformats.org/officeDocument/2006/relationships/hyperlink" Target="https://protect.checkpoint.com/v2/r01/___http:/www.sec.gov/Archives/edgar/data/716634/000071663407000004/ex4_3.htm___.YzJ1OnJlYWRpbmc6YzpvOmMyYmViMDEyNjhhMmQxY2JkNmMyNjhmNjA1ZmNlMWUyOjc6YzA1NToyZjA4YWM2ODRiNmY0ZGNlYzEwMzhhMmEzZjZlOWY2MGRmOTM0OWVmMmRmZmY1ODc2MDI2NDNkYWFhYzhhZjg1OnA6RjpG" TargetMode="External"/><Relationship Id="rId18" Type="http://schemas.openxmlformats.org/officeDocument/2006/relationships/hyperlink" Target="https://protect.checkpoint.com/v2/r01/___http:/www.sec.gov/Archives/edgar/data/716634/000071663407000004/ex10_4.htm___.YzJ1OnJlYWRpbmc6YzpvOmMyYmViMDEyNjhhMmQxY2JkNmMyNjhmNjA1ZmNlMWUyOjc6ZDgzNDpiYzAzMzBkMmNmNTdlMjEwZTE5MGU1ZmU2MzE1MDk3OTBmYmFkYjUzY2RlZTY4NTMwYWVjMmNlNzg0MmNkMmRhOnA6RjpG" TargetMode="External"/><Relationship Id="rId26" Type="http://schemas.openxmlformats.org/officeDocument/2006/relationships/hyperlink" Target="https://protect.checkpoint.com/v2/r01/___http:/www.sec.gov/Archives/edgar/data/716634/000071663409000036/exhibit4_4.htm___.YzJ1OnJlYWRpbmc6YzpvOmMyYmViMDEyNjhhMmQxY2JkNmMyNjhmNjA1ZmNlMWUyOjc6MzE4NToyZjExNjQ2OGU2ZmFlOGUxNTljNTc2ZTIxNGJmOTZmMjJmMmM5Y2YyZDllODRlNDk5MGU1M2FlN2JkZjk0NzFhOnA6RjpG" TargetMode="External"/><Relationship Id="rId27" Type="http://schemas.openxmlformats.org/officeDocument/2006/relationships/hyperlink" Target="https://protect.checkpoint.com/v2/r01/___http:/www.sec.gov/Archives/edgar/data/0000716634/000071663421000005/rdi-20201231xex4_6.htm___.YzJ1OnJlYWRpbmc6YzpvOmMyYmViMDEyNjhhMmQxY2JkNmMyNjhmNjA1ZmNlMWUyOjc6ZDQ0ODpmODY3YTlmNzAzYmVjYzk2YmQxNTRhOWQ0OWY4YjA2YzdkYTQxNmQzOGQ2NGY5ZGYyM2EyZGIwYzY0ZTBhMjgzOnA6RjpG" TargetMode="External"/><Relationship Id="rId30" Type="http://schemas.openxmlformats.org/officeDocument/2006/relationships/hyperlink" Target="https://protect.checkpoint.com/v2/r01/___http:/www.sec.gov/Archives/edgar/data/716634/000071663420000042/rdi-20201106xdef14a.htm___.YzJ1OnJlYWRpbmc6YzpvOmMyYmViMDEyNjhhMmQxY2JkNmMyNjhmNjA1ZmNlMWUyOjc6MzFkZjozNzNkYTFmODQ2ODQ0MTQ4MTcxY2FhZWM2NzgwZDY4YTMyMThmMWI5N2FlOWYxMDg4NGQ5YTMyNjNlOTNlZTkwOnA6RjpG#Exhibits" TargetMode="External"/><Relationship Id="rId31" Type="http://schemas.openxmlformats.org/officeDocument/2006/relationships/hyperlink" Target="https://protect.checkpoint.com/v2/r01/___http:/www.sec.gov/Archives/edgar/data/716634/000071663423000021/rdi-20221231xdef14a.htm___.YzJ1OnJlYWRpbmc6YzpvOmMyYmViMDEyNjhhMmQxY2JkNmMyNjhmNjA1ZmNlMWUyOjc6MjZhMjozOTM4ZWRiNmJiOGY3MTk1ZmVhZGQ3NGI0ODE2OWU3MmJiMzIyNDJkYzkzMTc1YmEwNWM4YTU2NGFkMTljNmNmOnA6RjpG" TargetMode="External"/><Relationship Id="rId34" Type="http://schemas.openxmlformats.org/officeDocument/2006/relationships/hyperlink" Target="https://protect.checkpoint.com/v2/r01/___http:/www.sec.gov/Archives/edgar/data/716634/000071663424000031/rdi-20231231xdef14a.htm___.YzJ1OnJlYWRpbmc6YzpvOmMyYmViMDEyNjhhMmQxY2JkNmMyNjhmNjA1ZmNlMWUyOjc6YWI3OTpmOWQ1NjBlOGVkYzFkZDExMGJkOTAwODY3MzkyZDVjMDEyZjE1M2RmMzMxMDE2OTg3NDgwZTUyNDRkMDAzNWI5OnA6RjpG" TargetMode="External"/><Relationship Id="rId35" Type="http://schemas.openxmlformats.org/officeDocument/2006/relationships/hyperlink" Target="https://protect.checkpoint.com/v2/r01/___http:/www.sec.gov/Archives/edgar/data/0000716634/000071663421000005/rdi-20201231xex10_7.htm___.YzJ1OnJlYWRpbmc6YzpvOmMyYmViMDEyNjhhMmQxY2JkNmMyNjhmNjA1ZmNlMWUyOjc6MDBhNTo2ZDlhNjNhYjAwYTg5MzlkYjMzMjUzZmZlZDRjYTNhNzdiMDgwMGYyODgyNDQ1MWY0NTE3ODY1OGU4MzIxYzllOnA6RjpG" TargetMode="External"/><Relationship Id="rId36" Type="http://schemas.openxmlformats.org/officeDocument/2006/relationships/hyperlink" Target="https://protect.checkpoint.com/v2/r01/___http:/www.sec.gov/Archives/edgar/data/0000716634/000071663421000005/rdi-20201231xex10_8.htm___.YzJ1OnJlYWRpbmc6YzpvOmMyYmViMDEyNjhhMmQxY2JkNmMyNjhmNjA1ZmNlMWUyOjc6NTFlNTo1Mzg1NTE2NmZjYjNlOWJjNmNkYzA3NGUxZTk2YmI2MzRmNzEwNDQ3MWIwN2QzODRlMjNlYjc0MjQ2OWE5ZDcxOnA6RjpG" TargetMode="External"/><Relationship Id="rId37" Type="http://schemas.openxmlformats.org/officeDocument/2006/relationships/hyperlink" Target="https://protect.checkpoint.com/v2/r01/___https:/www.sec.gov/Archives/edgar/data/716634/000071663425000048/rdi-20250930xex10_2.htm___.YzJ1OnJlYWRpbmc6YzpvOmMyYmViMDEyNjhhMmQxY2JkNmMyNjhmNjA1ZmNlMWUyOjc6Zjc0ODpiOTAyM2I4NmM0MmRlMDEyNjNlNjIwNmRlOWJmYjg0Y2EyOWZiZjU2YjEwMzQ4YzI4N2E3YjkzMDdmNWUzNWU2OnA6RjpG" TargetMode="External"/><Relationship Id="rId38" Type="http://schemas.openxmlformats.org/officeDocument/2006/relationships/hyperlink" Target="https://protect.checkpoint.com/v2/r01/___http:/www.sec.gov/Archives/edgar/data/0000716634/000071663421000005/rdi-20201231xex10_9.htm___.YzJ1OnJlYWRpbmc6YzpvOmMyYmViMDEyNjhhMmQxY2JkNmMyNjhmNjA1ZmNlMWUyOjc6ZjcxZTpkOWY4YzdjMjZhYjUwZWFlZmNmYzY0N2RmMGI1MDZjODAxYmRjODYyNWZiNjQ1NDA1MGQ3MWY4YjliMDk4OWQ3OnA6RjpG" TargetMode="External"/><Relationship Id="rId39" Type="http://schemas.openxmlformats.org/officeDocument/2006/relationships/hyperlink" Target="https://protect.checkpoint.com/v2/r01/___http:/www.sec.gov/ix?doc=/Archives/edgar/data/0000716634/000071663423000010/rdi-20221231x10ka.htm___.YzJ1OnJlYWRpbmc6YzpvOmMyYmViMDEyNjhhMmQxY2JkNmMyNjhmNjA1ZmNlMWUyOjc6OGYxMDo0YWJiM2VkMDA4OTkyYzUxNjdjMjdiNjcyYTQ1N2VlZWNjNTkzZmI5NjhhMjkwNzM1NDk1MmQ3NTZmY2UwNjk2OnA6RjpG" TargetMode="External"/><Relationship Id="rId40" Type="http://schemas.openxmlformats.org/officeDocument/2006/relationships/hyperlink" Target="https://protect.checkpoint.com/v2/r01/___http:/www.sec.gov/Archives/edgar/data/716634/000095015003000386/a88762exv10w40.txt___.YzJ1OnJlYWRpbmc6YzpvOmMyYmViMDEyNjhhMmQxY2JkNmMyNjhmNjA1ZmNlMWUyOjc6MTc2NjoxMWI5MWMyMjZlOTM1YTg2NjRhOTkyNDFhODY4ZTllYjk3MDMyYzE1MzM4ODk2MWIyYWY4YzYxNjNkYTYwOGQwOnA6RjpG" TargetMode="External"/><Relationship Id="rId47" Type="http://schemas.openxmlformats.org/officeDocument/2006/relationships/hyperlink" Target="https://protect.checkpoint.com/v2/r01/___http:/www.sec.gov/Archives/edgar/data/716634/000095012905009355/a12618exv10w58.htm___.YzJ1OnJlYWRpbmc6YzpvOmMyYmViMDEyNjhhMmQxY2JkNmMyNjhmNjA1ZmNlMWUyOjc6NDA4MDoxMmJiYjZiOWUwOGJhNjhhMGI2ZmRkYzA5YmY1NzcxNWY0M2YzMDYwNTcxZGU4YWVkNTZhMTI4OGU2OThhMDFjOnA6RjpG" TargetMode="External"/><Relationship Id="rId48" Type="http://schemas.openxmlformats.org/officeDocument/2006/relationships/hyperlink" Target="https://protect.checkpoint.com/v2/r01/___http:/www.sec.gov/Archives/edgar/data/716634/000095012905009355/a12618exv10w56.htm___.YzJ1OnJlYWRpbmc6YzpvOmMyYmViMDEyNjhhMmQxY2JkNmMyNjhmNjA1ZmNlMWUyOjc6N2JmYTozN2U1MzhjMmEwNjBjMjU1OTA0ZjFlMjlhYTg3ZmY2NzM4MjEyMjhhMjA5NWM5Y2M1NmIxYzRlYjlkYWViZTIwOnA6RjpG" TargetMode="External"/><Relationship Id="rId49" Type="http://schemas.openxmlformats.org/officeDocument/2006/relationships/hyperlink" Target="https://protect.checkpoint.com/v2/r01/___http:/www.sec.gov/Archives/edgar/data/716634/000071663411000002/exhibit10_21.htm___.YzJ1OnJlYWRpbmc6YzpvOmMyYmViMDEyNjhhMmQxY2JkNmMyNjhmNjA1ZmNlMWUyOjc6ODI3ZDo1NTI2YzQyYzA5NGJjOTcyZjA1OTZjODYyNzExNzgyOTczMTMwOGIxMWZkMThlZWZiYzQ3MzlkMDQ1OThkNmRhOnA6RjpG" TargetMode="External"/><Relationship Id="rId50" Type="http://schemas.openxmlformats.org/officeDocument/2006/relationships/hyperlink" Target="https://protect.checkpoint.com/v2/r01/___http:/www.sec.gov/Archives/edgar/data/716634/000095015003001354/a94399exv10w49.txt___.YzJ1OnJlYWRpbmc6YzpvOmMyYmViMDEyNjhhMmQxY2JkNmMyNjhmNjA1ZmNlMWUyOjc6ZDg1Njo2MzRhMmZiOWM5MjFjZmM3ZjBlYzE4OGQ4OTVkMWViODk0ZGM2NTUwNzEzMzc3YzFkZWM5MjcyYzRkZmU0NDA2OnA6RjpG" TargetMode="External"/><Relationship Id="rId51" Type="http://schemas.openxmlformats.org/officeDocument/2006/relationships/hyperlink" Target="https://protect.checkpoint.com/v2/r01/___http:/www.sec.gov/Archives/edgar/data/716634/000071663407000004/ex10_2.htm___.YzJ1OnJlYWRpbmc6YzpvOmMyYmViMDEyNjhhMmQxY2JkNmMyNjhmNjA1ZmNlMWUyOjc6MTY4ODpiYzc4NGI0OWE4YmU1Yzc1OWY2ZmJlZDhlY2EwNTU2YWJlYzViZTRhNzQ1NTBkNjkwN2QzMTkyYjRjNjE4MjYyOnA6RjpG" TargetMode="External"/><Relationship Id="rId52" Type="http://schemas.openxmlformats.org/officeDocument/2006/relationships/hyperlink" Target="https://protect.checkpoint.com/v2/r01/___http:/www.sec.gov/Archives/edgar/data/716634/000071663416000067/rdi-20151231xex10_9.htm___.YzJ1OnJlYWRpbmc6YzpvOmMyYmViMDEyNjhhMmQxY2JkNmMyNjhmNjA1ZmNlMWUyOjc6YmU0ZDo4YTMxMzhlNTkxMzhlNTYxMTJiODI4YWRjZGQ1OWU2OWEyOThjNDlkYTExYmQzNzRiOGY3NTU0MGQ1NmRiODhjOnA6RjpG" TargetMode="External"/><Relationship Id="rId53" Type="http://schemas.openxmlformats.org/officeDocument/2006/relationships/hyperlink" Target="https://protect.checkpoint.com/v2/r01/___http:/www.sec.gov/Archives/edgar/data/0000716634/000071663420000015/rdi-20200602x8k.htm___.YzJ1OnJlYWRpbmc6YzpvOmMyYmViMDEyNjhhMmQxY2JkNmMyNjhmNjA1ZmNlMWUyOjc6MGJmZDphYmMzMzg2Yzg5YWE3OGNmOTJkNTMxOWVkZmU4ODM1ZTNhNzhlZGU0MTExMGQ0YTcwNDRkNmViOTlkZmUzMDVlOnA6RjpG" TargetMode="External"/><Relationship Id="rId58" Type="http://schemas.openxmlformats.org/officeDocument/2006/relationships/hyperlink" Target="https://protect.checkpoint.com/v2/r01/___http:/www.sec.gov/ix?doc=/Archives/edgar/data/0000716634/000071663420000034/rdi-20200630x10q.htm___.YzJ1OnJlYWRpbmc6YzpvOmMyYmViMDEyNjhhMmQxY2JkNmMyNjhmNjA1ZmNlMWUyOjc6ZDUzMjphODNmMWI2NjgyYTg2Zjc2NmYzMzBjZWRjODk2ZDJkNmVlODI5NmQzY2I2ZGI5ZDEzNTk5ZTJjOGY3MmQwZWMwOnA6RjpG" TargetMode="External"/><Relationship Id="rId59" Type="http://schemas.openxmlformats.org/officeDocument/2006/relationships/hyperlink" Target="https://protect.checkpoint.com/v2/r01/___http:/www.sec.gov/Archives/edgar/data/0000716634/000156276221000331/rdi-20210630xex10_3.htm___.YzJ1OnJlYWRpbmc6YzpvOmMyYmViMDEyNjhhMmQxY2JkNmMyNjhmNjA1ZmNlMWUyOjc6NWE0Mjo5NjViZTk0YTgwZTAzOTUwMmE0M2JlOTQ4ZDhlYmQ3Nzc3NjdjZjRhY2NhMjI3NTEwMDJkMzY4YmI1MTI3YTU0OnA6RjpG" TargetMode="External"/><Relationship Id="rId62" Type="http://schemas.openxmlformats.org/officeDocument/2006/relationships/hyperlink" Target="https://protect.checkpoint.com/v2/r01/___http:/www.sec.gov/Archives/edgar/data/0000716634/000071663421000029/rdi-20210930xex10_1.htm___.YzJ1OnJlYWRpbmc6YzpvOmMyYmViMDEyNjhhMmQxY2JkNmMyNjhmNjA1ZmNlMWUyOjc6ZmZjNDpjYWUwMWNkNGU2ZjhhZTY1MTZiZTFhZTY0MWMyOTI4MGFjZmQzNDU4NDNlZmYzMTQ3MTk0ZDY4M2U2ODkxYjM0OnA6RjpG" TargetMode="External"/><Relationship Id="rId63" Type="http://schemas.openxmlformats.org/officeDocument/2006/relationships/hyperlink" Target="https://protect.checkpoint.com/v2/r01/___http:/www.sec.gov/Archives/edgar/data/716634/000071663422000009/rdi-20211231xex10_45.htm___.YzJ1OnJlYWRpbmc6YzpvOmMyYmViMDEyNjhhMmQxY2JkNmMyNjhmNjA1ZmNlMWUyOjc6YjJhOTo4ZTIwNmNiY2E0YWUwZTAyYzIxOGE4MDg2YjdiZjc2ZGE2NWIyOGI4M2UxNjY0MWY5ZDJlY2MzNjJhNTk2NmQ3OnA6RjpG" TargetMode="External"/><Relationship Id="rId66" Type="http://schemas.openxmlformats.org/officeDocument/2006/relationships/hyperlink" Target="https://protect.checkpoint.com/v2/r01/___https:/www.sec.gov/ix?doc=/Archives/edgar/data/0000716634/000071663422000038/rdi-20221216x8k.htm___.YzJ1OnJlYWRpbmc6YzpvOmMyYmViMDEyNjhhMmQxY2JkNmMyNjhmNjA1ZmNlMWUyOjc6MzAwZjphZWEyYzJjZDk0ZTY5MmMwMmMyNThiYzgxYWNmYjU0YjVkN2ZmMmEwNWU3OTI0MTU0NDZjMTU2YmE2YzAxODRlOnA6RjpG" TargetMode="External"/><Relationship Id="rId69" Type="http://schemas.openxmlformats.org/officeDocument/2006/relationships/hyperlink" Target="https://protect.checkpoint.com/v2/r01/___http:/www.sec.gov/Archives/edgar/data/716634/000071663423000016/rdi-20230630xex10_1.htm___.YzJ1OnJlYWRpbmc6YzpvOmMyYmViMDEyNjhhMmQxY2JkNmMyNjhmNjA1ZmNlMWUyOjc6OWNhMjpiN2I2ZTA0N2I3N2M0ZDExNDY1NTI5YjRiYjYxMjY1MjM2MTZlODhhMTYyMjBhY2ZlMzYzZDc1MGE5ZTEwNTEyOnA6RjpG" TargetMode="External"/><Relationship Id="rId70" Type="http://schemas.openxmlformats.org/officeDocument/2006/relationships/hyperlink" Target="https://protect.checkpoint.com/v2/r01/___http:/www.sec.gov/Archives/edgar/data/716634/000071663423000031/rdi-20230930xex10_1.htm___.YzJ1OnJlYWRpbmc6YzpvOmMyYmViMDEyNjhhMmQxY2JkNmMyNjhmNjA1ZmNlMWUyOjc6ZjFiNjo0MmZlZGY0YTYxNWMzOGUwOTdjZjVhNDAxMTIyMzgzZjRmM2EzMTA2YjllNDYxZThiNTVmZmFkMmUxOTdmZjA1OnA6RjpG" TargetMode="External"/><Relationship Id="rId74" Type="http://schemas.openxmlformats.org/officeDocument/2006/relationships/hyperlink" Target="https://protect.checkpoint.com/v2/r01/___http:/www.sec.gov/ix?doc=/Archives/edgar/data/0000716634/000071663424000009/rdi-20231231x10k.htm___.YzJ1OnJlYWRpbmc6YzpvOmMyYmViMDEyNjhhMmQxY2JkNmMyNjhmNjA1ZmNlMWUyOjc6NTg3Njo1YzA2NmU5ODViMzRlMDZmYmYxNTk1Mjg5M2ZlZWI4Yjc4Njk3NWZjY2Q0ZDU1OTk1MzZiZjM5N2ZlM2YzN2I4OnA6RjpG" TargetMode="External"/><Relationship Id="rId75" Type="http://schemas.openxmlformats.org/officeDocument/2006/relationships/hyperlink" Target="https://protect.checkpoint.com/v2/r01/___http:/www.sec.gov/Archives/edgar/data/716634/000071663424000025/rdi-20240630xex10_1.htm___.YzJ1OnJlYWRpbmc6YzpvOmMyYmViMDEyNjhhMmQxY2JkNmMyNjhmNjA1ZmNlMWUyOjc6ZWNiYjozYjAyMTdiZDUxZjg0OGI3OTFjY2E5NzRjZDg5YjVlZjNiMTIzODllY2ZmNjBkODRjOTNlMjY4NWYxMDU5Mzk4OnA6RjpG" TargetMode="External"/><Relationship Id="rId76" Type="http://schemas.openxmlformats.org/officeDocument/2006/relationships/hyperlink" Target="https://protect.checkpoint.com/v2/r01/___https:/www.sec.gov/Archives/edgar/data/716634/000071663425000030/rdi-20250331xex10_4.htm___.YzJ1OnJlYWRpbmc6YzpvOmMyYmViMDEyNjhhMmQxY2JkNmMyNjhmNjA1ZmNlMWUyOjc6ZGVmYjo4MWU1Y2JiMjJmZGFkNjAzM2JmMmYxNGQ0M2Y2ZGE3OTQ1M2M2ZDlhYjJjNWNhOGRmOGM4ZDllMzMwNmNkYjMxOnA6RjpG" TargetMode="External"/><Relationship Id="rId77" Type="http://schemas.openxmlformats.org/officeDocument/2006/relationships/hyperlink" Target="https://protect.checkpoint.com/v2/r01/___https:/www.sec.gov/Archives/edgar/data/716634/000071663425000037/rdi-20250630xex10_3.htm___.YzJ1OnJlYWRpbmc6YzpvOmMyYmViMDEyNjhhMmQxY2JkNmMyNjhmNjA1ZmNlMWUyOjc6YTY1NDpjMGE5MTM0MDQzN2Q4MDFlYzdmYmM5NTUwYjlmZTY4YjM5NTdjNDdiYTY1YjQwNWFmYTRhNjEwMmZiMmYyYThhOnA6RjpG" TargetMode="External"/><Relationship Id="rId78" Type="http://schemas.openxmlformats.org/officeDocument/2006/relationships/hyperlink" Target="https://protect.checkpoint.com/v2/r01/___https:/www.sec.gov/Archives/edgar/data/716634/000071663425000037/rdi-20250630xex10_4.htm___.YzJ1OnJlYWRpbmc6YzpvOmMyYmViMDEyNjhhMmQxY2JkNmMyNjhmNjA1ZmNlMWUyOjc6MGUyYzo4ZTljM2I3NDJjNDY1NmM3YzMwNDcyNTA4ZWRmOTIwNjE0ZDYxZmMwNjg1YWFjMjM0ZTM1OTBlM2Q0ZGM4MjhlOnA6RjpG" TargetMode="External"/><Relationship Id="rId79" Type="http://schemas.openxmlformats.org/officeDocument/2006/relationships/hyperlink" Target="https://protect.checkpoint.com/v2/r01/___https:/www.sec.gov/Archives/edgar/data/716634/000071663426000005/rdi-20251231xex10_32.htm___.YzJ1OnJlYWRpbmc6YzpvOmMyYmViMDEyNjhhMmQxY2JkNmMyNjhmNjA1ZmNlMWUyOjc6NTNmMzo5MTU1ZTBiZTYxNTdkNDM5ZDc3OTk2YzhkMzcxYmI1NDY5ZDA1YzdmZTZjZmU2OTIyNjI2MDM4YzQ5MWJlYjMxOnA6RjpG" TargetMode="External"/><Relationship Id="rId80" Type="http://schemas.openxmlformats.org/officeDocument/2006/relationships/hyperlink" Target="https://protect.checkpoint.com/v2/r01/___http:/www.sec.gov/Archives/edgar/data/716634/000071663425000008/rdi-20241231xex10_28.htm___.YzJ1OnJlYWRpbmc6YzpvOmMyYmViMDEyNjhhMmQxY2JkNmMyNjhmNjA1ZmNlMWUyOjc6ZjZjNTpmYTUxM2Y3MDBmMDMxNTM1YTZhNDE4NWRlZjYwZTZiYjIzZTBiMWM1YTkwMTg5NzdmMzQ2MWI4NTc5MzhmMmI0OnA6RjpG" TargetMode="External"/><Relationship Id="rId81" Type="http://schemas.openxmlformats.org/officeDocument/2006/relationships/hyperlink" Target="https://protect.checkpoint.com/v2/r01/___http:/www.sec.gov/Archives/edgar/data/0000716634/000071663421000029/rdi-20210930xex10_2.htm___.YzJ1OnJlYWRpbmc6YzpvOmMyYmViMDEyNjhhMmQxY2JkNmMyNjhmNjA1ZmNlMWUyOjc6YzgxZjpiNzBiY2Q4ODA0ZTdlOTg5MjhlNTBlOTcyNWM4NWU3YmEwNGY0NzM2Y2Q1ZmExNTllYzJhMDM0Zjg1M2FiYWE4OnA6RjpG" TargetMode="External"/><Relationship Id="rId82" Type="http://schemas.openxmlformats.org/officeDocument/2006/relationships/hyperlink" Target="https://protect.checkpoint.com/v2/r01/___http:/www.sec.gov/Archives/edgar/data/716634/000071663422000036/rdi-20221129xex10_1.htm___.YzJ1OnJlYWRpbmc6YzpvOmMyYmViMDEyNjhhMmQxY2JkNmMyNjhmNjA1ZmNlMWUyOjc6OTRhYTozZjU1MDY4ODVkMTI3YTRhOTZlNmVhNjlmM2Y0N2FjMDJjOWVmMDgyOTJjYjQzMzIzNzE2YmQ5YjY5NWM3MjcyOnA6RjpG" TargetMode="External"/><Relationship Id="rId83" Type="http://schemas.openxmlformats.org/officeDocument/2006/relationships/hyperlink" Target="https://protect.checkpoint.com/v2/r01/___http:/www.sec.gov/Archives/edgar/data/716634/000071663423000012/rdi-20230331xex10_1.htm___.YzJ1OnJlYWRpbmc6YzpvOmMyYmViMDEyNjhhMmQxY2JkNmMyNjhmNjA1ZmNlMWUyOjc6MGQwZTo2ODE1ZjlhNjkzZDBkYmUyZjVlMDY4MjNhNzIwMjZhZGU3YWFlOTU5MDMxYTdmZjdmNzYzZTE4ZjljZWU4ZjNhOnA6RjpG" TargetMode="External"/><Relationship Id="rId84" Type="http://schemas.openxmlformats.org/officeDocument/2006/relationships/hyperlink" Target="https://protect.checkpoint.com/v2/r01/___http:/www.sec.gov/Archives/edgar/data/716634/000071663424000018/rdi-20240331xex10_1.htm___.YzJ1OnJlYWRpbmc6YzpvOmMyYmViMDEyNjhhMmQxY2JkNmMyNjhmNjA1ZmNlMWUyOjc6ZjNiYzpjMWRkOTcyZTA3NTFlZjBjMjYxN2I1NTQ5OTE2YjY1YTI2Yjg2OWNhYjdjMDU5MzM4NWZmNWM1MDQ4MzBlOTBlOnA6RjpG" TargetMode="External"/><Relationship Id="rId85" Type="http://schemas.openxmlformats.org/officeDocument/2006/relationships/hyperlink" Target="https://protect.checkpoint.com/v2/r01/___http:/www.sec.gov/Archives/edgar/data/716634/000071663425000008/rdi-20241231xex10_36.htm___.YzJ1OnJlYWRpbmc6YzpvOmMyYmViMDEyNjhhMmQxY2JkNmMyNjhmNjA1ZmNlMWUyOjc6MzgxMDozOWMzNWNjNWVhODQ5MTY2MmYzOGMwNmQxODc1MDc0ZjAxNTlhNjhmODUyZWQ4MWE2ZTA4NzIyZTZhMWNiOTYwOnA6RjpG" TargetMode="External"/><Relationship Id="rId88" Type="http://schemas.openxmlformats.org/officeDocument/2006/relationships/hyperlink" Target="https://protect.checkpoint.com/v2/r01/___https:/www.sec.gov/Archives/edgar/data/716634/000071663425000008/rdi-20241231xex10_37.htm___.YzJ1OnJlYWRpbmc6YzpvOmMyYmViMDEyNjhhMmQxY2JkNmMyNjhmNjA1ZmNlMWUyOjc6NWFmNDphMzlmM2M1MWU3YjY3OGI1OTZkY2ExZjcwMzZhY2QwZTYxODFhYWRiMDEyZjQ4ZDY0NDBjYmIxNGEwMzgxYTI3OnA6RjpG" TargetMode="External"/><Relationship Id="rId89" Type="http://schemas.openxmlformats.org/officeDocument/2006/relationships/hyperlink" Target="https://protect.checkpoint.com/v2/r01/___https:/www.sec.gov/Archives/edgar/data/716634/000071663425000037/rdi-20250630xex10_1.htm___.YzJ1OnJlYWRpbmc6YzpvOmMyYmViMDEyNjhhMmQxY2JkNmMyNjhmNjA1ZmNlMWUyOjc6NTQ2ZjpkZjk3MTAzZDgzMTU2YmUxZGFmOTVhMGU3OGQ3OWNhNGU5MDljMjM0Nzc1ZTVkMWU5MjY3MmU4NTJhNDhlMDc4OnA6RjpG" TargetMode="External"/><Relationship Id="rId90" Type="http://schemas.openxmlformats.org/officeDocument/2006/relationships/hyperlink" Target="https://protect.checkpoint.com/v2/r01/___https:/www.sec.gov/Archives/edgar/data/716634/000071663425000048/rdi-20250930xex10_1.htm___.YzJ1OnJlYWRpbmc6YzpvOmMyYmViMDEyNjhhMmQxY2JkNmMyNjhmNjA1ZmNlMWUyOjc6Njc0YTo2YTVmN2E0M2Q4ODdhNjkxZWFkMmRhYzQxZDM1ZWIwYzYwMTM0ZmQxMmYwOGI2YTM0NDgyNjRmNmE2NDc4YmU1OnA6RjpG" TargetMode="External"/><Relationship Id="rId91" Type="http://schemas.openxmlformats.org/officeDocument/2006/relationships/hyperlink" Target="https://protect.checkpoint.com/v2/r01/___https:/www.sec.gov/Archives/edgar/data/716634/000071663426000005/rdi-20251231xex10_45.htm___.YzJ1OnJlYWRpbmc6YzpvOmMyYmViMDEyNjhhMmQxY2JkNmMyNjhmNjA1ZmNlMWUyOjc6YmRkYTo1MWY0MDY1ODM4MGRmYTQyMjc4NTJjMjBmNmFlNjFjZTVhYzkzZjU3MDIwYzZhMDNiNWJkNTM0MzMxNWMxZGE3OnA6RjpG" TargetMode="External"/><Relationship Id="rId96" Type="http://schemas.openxmlformats.org/officeDocument/2006/relationships/hyperlink" Target="https://protect.checkpoint.com/v2/r01/___https:/www.sec.gov/Archives/edgar/data/716634/000071663425000030/rdi-20250331xex10_1.htm___.YzJ1OnJlYWRpbmc6YzpvOmMyYmViMDEyNjhhMmQxY2JkNmMyNjhmNjA1ZmNlMWUyOjc6ZmI5ZDo5MDg1Mjg0ZDkzZDI0M2I1MjY2MTczYzgwMDlkMGJiOWMzZWMwYWEwYjNkOWZlMTcyODA4MzcxNmE2MWExYTRhOnA6RjpG" TargetMode="External"/><Relationship Id="rId98" Type="http://schemas.openxmlformats.org/officeDocument/2006/relationships/hyperlink" Target="https://protect.checkpoint.com/v2/r01/___https:/www.sec.gov/Archives/edgar/data/716634/000071663425000020/rdi-20241231xex10_44.htm___.YzJ1OnJlYWRpbmc6YzpvOmMyYmViMDEyNjhhMmQxY2JkNmMyNjhmNjA1ZmNlMWUyOjc6NWU5YjphM2EwOTkxNzEyMmI5YmQzYTczNzVjNTg3NjVkYjllNjc0MDY4YWU0MGQ2N2NiOTUwZjIwYTAxYTQ1NTE2NzE2OnA6RjpG" TargetMode="External"/><Relationship Id="rId99" Type="http://schemas.openxmlformats.org/officeDocument/2006/relationships/hyperlink" Target="https://protect.checkpoint.com/v2/r01/___https:/www.sec.gov/Archives/edgar/data/716634/000071663425000030/rdi-20250331xex10_2.htm___.YzJ1OnJlYWRpbmc6YzpvOmMyYmViMDEyNjhhMmQxY2JkNmMyNjhmNjA1ZmNlMWUyOjc6ZjZlMToxMDlkY2I3MTFlZTgyYTg4NzgwYjNiMzNhZDY3OTJmZDhlOWQ0ZTEzYjg5ZGNkNDFkMzQ3ODkyNjQ5NTA2YzdlOnA6RjpG" TargetMode="External"/><Relationship Id="rId101" Type="http://schemas.openxmlformats.org/officeDocument/2006/relationships/hyperlink" Target="https://protect.checkpoint.com/v2/r01/___https:/www.sec.gov/Archives/edgar/data/716634/000071663425000030/rdi-20250331xex10_3.htm___.YzJ1OnJlYWRpbmc6YzpvOmMyYmViMDEyNjhhMmQxY2JkNmMyNjhmNjA1ZmNlMWUyOjc6NDc0ODo1M2FkZjY2ZWU1ZWFlZWUxOGNmYjc4MTAyY2IwN2QxYjVmYWVhOWQyNWQ4NDg3MjVhOWJiOWUxOWY2ZTc1ZjQ4OnA6RjpG" TargetMode="External"/><Relationship Id="rId102" Type="http://schemas.openxmlformats.org/officeDocument/2006/relationships/hyperlink" Target="https://protect.checkpoint.com/v2/r01/___https:/www.sec.gov/Archives/edgar/data/716634/000071663426000005/rdi-20251231xex10_51.htm___.YzJ1OnJlYWRpbmc6YzpvOmMyYmViMDEyNjhhMmQxY2JkNmMyNjhmNjA1ZmNlMWUyOjc6YmM2NTpjMDBiNGVlZDA1ZDRmM2MzZmUxN2FkMTVlMWVlNmZlNzFlODA3OGE2ODU4MDkyZGIzNmIyZWVhNWE2OGVlYjIzOnA6RjpG" TargetMode="External"/><Relationship Id="rId103" Type="http://schemas.openxmlformats.org/officeDocument/2006/relationships/hyperlink" Target="https://protect.checkpoint.com/v2/r01/___http:/www.sec.gov/Archives/edgar/data/0000716634/000156276221000331/rdi-20210630xex10_1.htm___.YzJ1OnJlYWRpbmc6YzpvOmMyYmViMDEyNjhhMmQxY2JkNmMyNjhmNjA1ZmNlMWUyOjc6NjBlYTo2MTUyNjE4MGJkYzcwNDI3ZjBhOGEyZjFjZGI2ZDRmNzM3Njk0ODE5MzFjZDExODhmMzk1OTc3YWZhZGNiNTI5OnA6RjpG" TargetMode="External"/><Relationship Id="rId106" Type="http://schemas.openxmlformats.org/officeDocument/2006/relationships/hyperlink" Target="https://protect.checkpoint.com/v2/r01/___http:/www.sec.gov/Archives/edgar/data/716634/000071663424000025/rdi-20240630xex10_2.htm___.YzJ1OnJlYWRpbmc6YzpvOmMyYmViMDEyNjhhMmQxY2JkNmMyNjhmNjA1ZmNlMWUyOjc6N2YyZTo1NzA2NjA5ODM2NGNlMGI4NzIyODU3MzIxODQzMGFlMGM0ODdkNDVmNGZiYWZkNWYzZGJjNjIyMzYyYzhiYzdlOnA6RjpG" TargetMode="External"/><Relationship Id="rId110" Type="http://schemas.openxmlformats.org/officeDocument/2006/relationships/hyperlink" Target="https://protect.checkpoint.com/v2/r01/___https:/www.sec.gov/Archives/edgar/data/716634/000071663425000037/rdi-20250630xex10_2.htm___.YzJ1OnJlYWRpbmc6YzpvOmMyYmViMDEyNjhhMmQxY2JkNmMyNjhmNjA1ZmNlMWUyOjc6YWM3Njo4OGRhODcyMTQ0NjQzOWVjNTBhMzQ4NTVjYzAzYjdkZjRlNGY3OTM1Njg5ODhjY2M4NDAyNTYwYzRlMDM5MTZkOnA6RjpG" TargetMode="External"/><Relationship Id="rId113" Type="http://schemas.openxmlformats.org/officeDocument/2006/relationships/hyperlink" Target="https://protect.checkpoint.com/v2/r01/___http:/www.sec.gov/Archives/edgar/data/0000716634/000071663420000024/rdi-20200331x10q.htm___.YzJ1OnJlYWRpbmc6YzpvOmMyYmViMDEyNjhhMmQxY2JkNmMyNjhmNjA1ZmNlMWUyOjc6ZTQ3MDoxODgzMjk3Njk4NTE2MTI0ZWIwZTY0MjdmNjA0MzJhYTM0NDY4MDEzZTIwODIzOWM4MGI3NGZmODlkOTUwM2M0OnA6RjpG" TargetMode="External"/><Relationship Id="rId114" Type="http://schemas.openxmlformats.org/officeDocument/2006/relationships/hyperlink" Target="https://protect.checkpoint.com/v2/r01/___http:/www.sec.gov/Archives/edgar/data/716634/000071663417000007/rdi-20161231xex18.htm___.YzJ1OnJlYWRpbmc6YzpvOmMyYmViMDEyNjhhMmQxY2JkNmMyNjhmNjA1ZmNlMWUyOjc6YmRjODo4MGY1OGJkMjgyMTI0ZmJiOTY2Yzk0MWNkOGZjZDhkNDk3YjIyMzNmOThhODIxNGJiNGM1MGM0MjYwNzFlZTNiOnA6RjpG" TargetMode="External"/><Relationship Id="rId117" Type="http://schemas.openxmlformats.org/officeDocument/2006/relationships/hyperlink" Target="https://protect.checkpoint.com/v2/r01/___https:/www.sec.gov/Archives/edgar/data/716634/000071663425000015/rdi-20241231xex19_1.htm___.YzJ1OnJlYWRpbmc6YzpvOmMyYmViMDEyNjhhMmQxY2JkNmMyNjhmNjA1ZmNlMWUyOjc6NTk5NDpkZjczOTRlY2RjYWNkNTk5OTQ0ZThhN2U0Y2M5ODhlMjg1OWI5NmIxMzY1YmVjYjczMDEwNTE5YTQxZDc2ZWE3OnA6RjpG" TargetMode="External"/><Relationship Id="rId118" Type="http://schemas.openxmlformats.org/officeDocument/2006/relationships/hyperlink" Target="https://protect.checkpoint.com/v2/r01/___http:/www.sec.gov/Archives/edgar/data/716634/000071663425000015/rdi-20241231xex19_2.htm___.YzJ1OnJlYWRpbmc6YzpvOmMyYmViMDEyNjhhMmQxY2JkNmMyNjhmNjA1ZmNlMWUyOjc6NzQzNzphOTUyZmNmMGY3N2MyN2QxMDRhN2U4Y2I3NGIyNWJiMTk5MmEyYTBiOGIzOTg1Nzk0NmQ2NDZkZmFmM2FmNDdhOnA6RjpG" TargetMode="External"/><Relationship Id="rId119" Type="http://schemas.openxmlformats.org/officeDocument/2006/relationships/hyperlink" Target="https://protect.checkpoint.com/v2/r01/___https:/www.sec.gov/Archives/edgar/data/716634/000071663426000005/rdi-20251231xex21.htm___.YzJ1OnJlYWRpbmc6YzpvOmMyYmViMDEyNjhhMmQxY2JkNmMyNjhmNjA1ZmNlMWUyOjc6NWUyYTpjZGE4NmY3ZTMzZGJlYjQ5MDg5NjdmZTNiOTRlOWMzOWMxZGJiMzJmYTc0NjVlZWI3Njk4YWU3Y2U0NDE3ZWViOnA6RjpG" TargetMode="External"/><Relationship Id="rId120" Type="http://schemas.openxmlformats.org/officeDocument/2006/relationships/hyperlink" Target="https://protect.checkpoint.com/v2/r01/___https:/www.sec.gov/Archives/edgar/data/716634/000071663426000005/rdi-20251231xex23_1.htm___.YzJ1OnJlYWRpbmc6YzpvOmMyYmViMDEyNjhhMmQxY2JkNmMyNjhmNjA1ZmNlMWUyOjc6YzE2YToyMzk5N2Q3OTg5NzA5YTc3NGNhYWEzMzg4ZmNiOGQ0ZjdiMmE3MTcxY2FjYzVhYWZkNDNkZDYwMTEwZTdjYTAxOnA6RjpG" TargetMode="External"/><Relationship Id="rId121" Type="http://schemas.openxmlformats.org/officeDocument/2006/relationships/hyperlink" Target="https://protect.checkpoint.com/v2/r01/___https:/www.sec.gov/Archives/edgar/data/716634/000071663426000005/rdi-20251231xex31_1.htm___.YzJ1OnJlYWRpbmc6YzpvOmMyYmViMDEyNjhhMmQxY2JkNmMyNjhmNjA1ZmNlMWUyOjc6NTY5NDpiOWMzMjU0MThmM2UxMDhhZDBmMjFjMTAzMjRlODM0MGQ5MTliYWNiZWVmMDE4YmE3Mzc0NGQyNzYzZTU1ODA4OnA6RjpG" TargetMode="External"/><Relationship Id="rId122" Type="http://schemas.openxmlformats.org/officeDocument/2006/relationships/hyperlink" Target="https://protect.checkpoint.com/v2/r01/___https:/www.sec.gov/Archives/edgar/data/716634/000071663426000005/rdi-20251231xex32_2.htm___.YzJ1OnJlYWRpbmc6YzpvOmMyYmViMDEyNjhhMmQxY2JkNmMyNjhmNjA1ZmNlMWUyOjc6NWUwOTo4OTA0OWI4MmNlY2U3ZjI0NTFhYzQ4ZTNiNjUwMWYxN2E3YjM3NzNiNzk4ODMxYjgyZThlODQzYTRlN2ZlODA5OnA6RjpG" TargetMode="External"/><Relationship Id="rId123" Type="http://schemas.openxmlformats.org/officeDocument/2006/relationships/hyperlink" Target="https://protect.checkpoint.com/v2/r01/___https:/www.sec.gov/Archives/edgar/data/716634/000071663426000005/rdi-20251231xex32_1.htm___.YzJ1OnJlYWRpbmc6YzpvOmMyYmViMDEyNjhhMmQxY2JkNmMyNjhmNjA1ZmNlMWUyOjc6YjFjYTpmZDQ5NTVkMTMwZDZhMjg0OWQ5YzkzZWRiM2FmNTY0NDYxNDA1YjI0OGNhN2Y2ZTI2ZGU4YjdhNjAyODc4ZDdhOnA6RjpG" TargetMode="External"/><Relationship Id="rId124" Type="http://schemas.openxmlformats.org/officeDocument/2006/relationships/hyperlink" Target="https://protect.checkpoint.com/v2/r01/___https:/www.sec.gov/Archives/edgar/data/716634/000071663424000015/rdi-20231231xex97_1.htm___.YzJ1OnJlYWRpbmc6YzpvOmMyYmViMDEyNjhhMmQxY2JkNmMyNjhmNjA1ZmNlMWUyOjc6ZWYzZTo4MGU3MDc2MTk2NjkxMjc0MzUwOWQyZGZhNDAzNzEwMWU3ODY1Y2ViMGUwNWJhNWU3OWE4M2Q0ZWExZjg3MDM4OnA6Rjp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2026-04-20T15:08:22Z</dcterms:created>
  <dcterms:modified xsi:type="dcterms:W3CDTF">2026-04-20T15:08:22Z</dcterms:modified>
</cp:coreProperties>
</file>